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B97" w:rsidRDefault="003A55AE">
      <w:pPr>
        <w:spacing w:after="191" w:line="270" w:lineRule="auto"/>
        <w:ind w:left="162" w:right="367"/>
      </w:pPr>
      <w:r>
        <w:rPr>
          <w:b/>
          <w:sz w:val="21"/>
        </w:rPr>
        <w:t>l. I Všeobecné informácie o účtovnej jednotke</w:t>
      </w:r>
    </w:p>
    <w:p w:rsidR="00B65B97" w:rsidRDefault="003A55AE">
      <w:pPr>
        <w:pStyle w:val="Heading1"/>
        <w:spacing w:after="125"/>
        <w:ind w:left="-5" w:right="367"/>
      </w:pPr>
      <w:r>
        <w:t>Čl. I (1) (5) Všeobecné informácie</w:t>
      </w:r>
    </w:p>
    <w:p w:rsidR="00B65B97" w:rsidRDefault="003A55AE">
      <w:pPr>
        <w:spacing w:after="96"/>
        <w:ind w:left="25" w:right="181"/>
      </w:pPr>
      <w:r>
        <w:t>Čl. I (1)</w:t>
      </w:r>
    </w:p>
    <w:tbl>
      <w:tblPr>
        <w:tblStyle w:val="TableGrid"/>
        <w:tblW w:w="4463" w:type="dxa"/>
        <w:tblInd w:w="30" w:type="dxa"/>
        <w:tblLook w:val="04A0" w:firstRow="1" w:lastRow="0" w:firstColumn="1" w:lastColumn="0" w:noHBand="0" w:noVBand="1"/>
      </w:tblPr>
      <w:tblGrid>
        <w:gridCol w:w="2670"/>
        <w:gridCol w:w="1793"/>
      </w:tblGrid>
      <w:tr w:rsidR="00B65B97">
        <w:trPr>
          <w:trHeight w:val="344"/>
        </w:trPr>
        <w:tc>
          <w:tcPr>
            <w:tcW w:w="2670" w:type="dxa"/>
            <w:tcBorders>
              <w:top w:val="nil"/>
              <w:left w:val="nil"/>
              <w:bottom w:val="nil"/>
              <w:right w:val="nil"/>
            </w:tcBorders>
          </w:tcPr>
          <w:p w:rsidR="00B65B97" w:rsidRDefault="003A55AE">
            <w:pPr>
              <w:spacing w:after="70" w:line="259" w:lineRule="auto"/>
              <w:ind w:left="0" w:firstLine="0"/>
            </w:pPr>
            <w:r>
              <w:t>Obchodné meno účtovnej jednotky:</w:t>
            </w:r>
          </w:p>
          <w:p w:rsidR="00B65B97" w:rsidRDefault="003A55AE">
            <w:pPr>
              <w:spacing w:after="0" w:line="259" w:lineRule="auto"/>
              <w:ind w:left="0" w:firstLine="0"/>
            </w:pPr>
            <w:r>
              <w:t>Sídlo účtovnej jednotky:</w:t>
            </w:r>
          </w:p>
        </w:tc>
        <w:tc>
          <w:tcPr>
            <w:tcW w:w="1793" w:type="dxa"/>
            <w:tcBorders>
              <w:top w:val="nil"/>
              <w:left w:val="nil"/>
              <w:bottom w:val="nil"/>
              <w:right w:val="nil"/>
            </w:tcBorders>
          </w:tcPr>
          <w:p w:rsidR="00B65B97" w:rsidRDefault="003A55AE">
            <w:pPr>
              <w:spacing w:after="70" w:line="259" w:lineRule="auto"/>
              <w:ind w:left="0" w:firstLine="0"/>
            </w:pPr>
            <w:r>
              <w:t>FERRING Slovakia s. r. o.</w:t>
            </w:r>
          </w:p>
          <w:p w:rsidR="00B65B97" w:rsidRDefault="003A55AE">
            <w:pPr>
              <w:spacing w:after="0" w:line="259" w:lineRule="auto"/>
              <w:ind w:left="0" w:firstLine="0"/>
              <w:jc w:val="both"/>
            </w:pPr>
            <w:proofErr w:type="spellStart"/>
            <w:r>
              <w:t>Galvaniho</w:t>
            </w:r>
            <w:proofErr w:type="spellEnd"/>
            <w:r>
              <w:t xml:space="preserve"> 7/D, 82104 Bratislava</w:t>
            </w:r>
          </w:p>
        </w:tc>
      </w:tr>
    </w:tbl>
    <w:p w:rsidR="00B65B97" w:rsidRDefault="003A55AE">
      <w:pPr>
        <w:spacing w:after="73"/>
        <w:ind w:left="25" w:right="181"/>
      </w:pPr>
      <w:r>
        <w:t>Opis hospodárskej činnosti v nadväznosti na predmet podnikania</w:t>
      </w:r>
    </w:p>
    <w:p w:rsidR="00B65B97" w:rsidRDefault="003A55AE">
      <w:pPr>
        <w:spacing w:after="2"/>
        <w:ind w:left="25" w:right="1953"/>
      </w:pPr>
      <w:r>
        <w:t>kúpa tovaru na účely jeho predaja konečnému spotrebiteľovi (maloobchod) alebo iným prevádzkovateľom živnosti (veľkoobchod) sprostredkovateľská činnosť v oblasti obchodu sprostredkovateľská činnosť v oblasti služieb reklamné a marketingové služby prieskum trhu a verejnej mienky činnosť podnikateľských, organizačných a ekonomických poradcov vykonávanie mimoškolskej vzdelávacej činnosti prenájom nehnuteľností spojený s poskytovaním iných než základných služieb spojených s prenájmom prenájom hnuteľných vecí administratívne služby</w:t>
      </w:r>
    </w:p>
    <w:p w:rsidR="00B65B97" w:rsidRDefault="003A55AE">
      <w:pPr>
        <w:spacing w:after="78"/>
        <w:ind w:left="25" w:right="181"/>
      </w:pPr>
      <w:r>
        <w:t xml:space="preserve">služby súvisiace s počítačovým spracovaním údajov </w:t>
      </w:r>
    </w:p>
    <w:p w:rsidR="00B65B97" w:rsidRDefault="003A55AE">
      <w:pPr>
        <w:spacing w:after="65"/>
        <w:ind w:left="25" w:right="181"/>
      </w:pPr>
      <w:r>
        <w:t>Čl. I (5)</w:t>
      </w:r>
    </w:p>
    <w:p w:rsidR="00B65B97" w:rsidRDefault="003A55AE">
      <w:pPr>
        <w:spacing w:after="0"/>
        <w:ind w:left="25" w:right="181"/>
      </w:pPr>
      <w:r>
        <w:t>Priemerný počet zamestnancov počas účtovného obdobia</w:t>
      </w:r>
    </w:p>
    <w:tbl>
      <w:tblPr>
        <w:tblStyle w:val="TableGrid"/>
        <w:tblW w:w="9840" w:type="dxa"/>
        <w:tblInd w:w="40" w:type="dxa"/>
        <w:tblCellMar>
          <w:top w:w="66" w:type="dxa"/>
          <w:right w:w="115" w:type="dxa"/>
        </w:tblCellMar>
        <w:tblLook w:val="04A0" w:firstRow="1" w:lastRow="0" w:firstColumn="1" w:lastColumn="0" w:noHBand="0" w:noVBand="1"/>
      </w:tblPr>
      <w:tblGrid>
        <w:gridCol w:w="3265"/>
        <w:gridCol w:w="3217"/>
        <w:gridCol w:w="293"/>
        <w:gridCol w:w="2785"/>
        <w:gridCol w:w="280"/>
      </w:tblGrid>
      <w:tr w:rsidR="00B65B97" w:rsidTr="002B5312">
        <w:trPr>
          <w:trHeight w:val="413"/>
        </w:trPr>
        <w:tc>
          <w:tcPr>
            <w:tcW w:w="3265" w:type="dxa"/>
            <w:tcBorders>
              <w:top w:val="single" w:sz="8" w:space="0" w:color="000000"/>
              <w:left w:val="single" w:sz="8" w:space="0" w:color="000000"/>
              <w:bottom w:val="single" w:sz="4" w:space="0" w:color="000000"/>
              <w:right w:val="single" w:sz="4" w:space="0" w:color="000000"/>
            </w:tcBorders>
            <w:vAlign w:val="center"/>
          </w:tcPr>
          <w:p w:rsidR="00B65B97" w:rsidRDefault="003A55AE">
            <w:pPr>
              <w:spacing w:after="0" w:line="259" w:lineRule="auto"/>
              <w:ind w:left="173" w:firstLine="0"/>
              <w:jc w:val="center"/>
            </w:pPr>
            <w:r>
              <w:rPr>
                <w:b/>
                <w:sz w:val="10"/>
              </w:rPr>
              <w:t>Názov položky</w:t>
            </w:r>
          </w:p>
        </w:tc>
        <w:tc>
          <w:tcPr>
            <w:tcW w:w="3217" w:type="dxa"/>
            <w:tcBorders>
              <w:top w:val="single" w:sz="8" w:space="0" w:color="000000"/>
              <w:left w:val="single" w:sz="4" w:space="0" w:color="000000"/>
              <w:bottom w:val="single" w:sz="4" w:space="0" w:color="000000"/>
              <w:right w:val="nil"/>
            </w:tcBorders>
            <w:vAlign w:val="center"/>
          </w:tcPr>
          <w:p w:rsidR="00B65B97" w:rsidRDefault="003A55AE">
            <w:pPr>
              <w:spacing w:after="0" w:line="259" w:lineRule="auto"/>
              <w:ind w:left="407" w:firstLine="0"/>
              <w:jc w:val="center"/>
            </w:pPr>
            <w:r>
              <w:rPr>
                <w:b/>
                <w:sz w:val="10"/>
              </w:rPr>
              <w:t>Bežné účtovné obdobie</w:t>
            </w:r>
          </w:p>
        </w:tc>
        <w:tc>
          <w:tcPr>
            <w:tcW w:w="293" w:type="dxa"/>
            <w:tcBorders>
              <w:top w:val="single" w:sz="8" w:space="0" w:color="000000"/>
              <w:left w:val="nil"/>
              <w:bottom w:val="single" w:sz="4" w:space="0" w:color="000000"/>
              <w:right w:val="single" w:sz="4" w:space="0" w:color="000000"/>
            </w:tcBorders>
          </w:tcPr>
          <w:p w:rsidR="00B65B97" w:rsidRDefault="00B65B97">
            <w:pPr>
              <w:spacing w:after="160" w:line="259" w:lineRule="auto"/>
              <w:ind w:left="0" w:firstLine="0"/>
            </w:pPr>
          </w:p>
        </w:tc>
        <w:tc>
          <w:tcPr>
            <w:tcW w:w="2785" w:type="dxa"/>
            <w:tcBorders>
              <w:top w:val="single" w:sz="8" w:space="0" w:color="000000"/>
              <w:left w:val="single" w:sz="4" w:space="0" w:color="000000"/>
              <w:bottom w:val="single" w:sz="4" w:space="0" w:color="000000"/>
              <w:right w:val="nil"/>
            </w:tcBorders>
          </w:tcPr>
          <w:p w:rsidR="00B65B97" w:rsidRDefault="003A55AE">
            <w:pPr>
              <w:spacing w:after="0" w:line="259" w:lineRule="auto"/>
              <w:ind w:left="1411" w:hanging="800"/>
            </w:pPr>
            <w:r>
              <w:rPr>
                <w:b/>
                <w:sz w:val="10"/>
              </w:rPr>
              <w:t>Bezprostredne predchádzajúce účtovné obdobie</w:t>
            </w:r>
          </w:p>
        </w:tc>
        <w:tc>
          <w:tcPr>
            <w:tcW w:w="280"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rsidTr="002B5312">
        <w:trPr>
          <w:trHeight w:val="251"/>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firstLine="0"/>
            </w:pPr>
            <w:r>
              <w:rPr>
                <w:sz w:val="11"/>
              </w:rPr>
              <w:t>Priemerný prepočítaný počet zamestnancov</w:t>
            </w:r>
          </w:p>
        </w:tc>
        <w:tc>
          <w:tcPr>
            <w:tcW w:w="321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93" w:type="dxa"/>
            <w:tcBorders>
              <w:top w:val="single" w:sz="4" w:space="0" w:color="000000"/>
              <w:left w:val="nil"/>
              <w:bottom w:val="single" w:sz="4" w:space="0" w:color="000000"/>
              <w:right w:val="single" w:sz="4" w:space="0" w:color="000000"/>
            </w:tcBorders>
          </w:tcPr>
          <w:p w:rsidR="00B65B97" w:rsidRDefault="00914041" w:rsidP="002B5312">
            <w:pPr>
              <w:spacing w:after="0" w:line="259" w:lineRule="auto"/>
              <w:ind w:left="18" w:firstLine="0"/>
            </w:pPr>
            <w:r>
              <w:rPr>
                <w:sz w:val="11"/>
              </w:rPr>
              <w:t xml:space="preserve"> </w:t>
            </w:r>
            <w:r w:rsidR="002B5312">
              <w:rPr>
                <w:sz w:val="11"/>
              </w:rPr>
              <w:t>15</w:t>
            </w: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2B5312">
            <w:pPr>
              <w:spacing w:after="0" w:line="259" w:lineRule="auto"/>
              <w:ind w:left="0" w:firstLine="0"/>
            </w:pPr>
            <w:r>
              <w:rPr>
                <w:sz w:val="11"/>
              </w:rPr>
              <w:t>17</w:t>
            </w:r>
          </w:p>
        </w:tc>
      </w:tr>
      <w:tr w:rsidR="00B65B97" w:rsidTr="002B5312">
        <w:trPr>
          <w:trHeight w:val="251"/>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firstLine="0"/>
            </w:pPr>
            <w:r>
              <w:rPr>
                <w:sz w:val="11"/>
              </w:rPr>
              <w:t>Priemerný prepočítaný počet zamestnancov</w:t>
            </w:r>
          </w:p>
        </w:tc>
        <w:tc>
          <w:tcPr>
            <w:tcW w:w="321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93" w:type="dxa"/>
            <w:tcBorders>
              <w:top w:val="single" w:sz="4" w:space="0" w:color="000000"/>
              <w:left w:val="nil"/>
              <w:bottom w:val="single" w:sz="4" w:space="0" w:color="000000"/>
              <w:right w:val="single" w:sz="4" w:space="0" w:color="000000"/>
            </w:tcBorders>
          </w:tcPr>
          <w:p w:rsidR="00B65B97" w:rsidRDefault="00B65B97">
            <w:pPr>
              <w:spacing w:after="160" w:line="259" w:lineRule="auto"/>
              <w:ind w:left="0" w:firstLine="0"/>
            </w:pP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rsidTr="002B5312">
        <w:trPr>
          <w:trHeight w:val="327"/>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right="114" w:firstLine="0"/>
            </w:pPr>
            <w:r>
              <w:rPr>
                <w:sz w:val="11"/>
              </w:rPr>
              <w:t>Stav zamestnancov ku dňu, ku ktorému sa zostavuje účtovná závierka, z toho:</w:t>
            </w:r>
          </w:p>
        </w:tc>
        <w:tc>
          <w:tcPr>
            <w:tcW w:w="321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93" w:type="dxa"/>
            <w:tcBorders>
              <w:top w:val="single" w:sz="4" w:space="0" w:color="000000"/>
              <w:left w:val="nil"/>
              <w:bottom w:val="single" w:sz="4" w:space="0" w:color="000000"/>
              <w:right w:val="single" w:sz="4" w:space="0" w:color="000000"/>
            </w:tcBorders>
          </w:tcPr>
          <w:p w:rsidR="00B65B97" w:rsidRDefault="003A55AE" w:rsidP="002B5312">
            <w:pPr>
              <w:spacing w:after="0" w:line="259" w:lineRule="auto"/>
              <w:ind w:left="18" w:firstLine="0"/>
            </w:pPr>
            <w:r>
              <w:rPr>
                <w:sz w:val="11"/>
              </w:rPr>
              <w:t xml:space="preserve"> </w:t>
            </w:r>
            <w:r w:rsidR="002B5312">
              <w:rPr>
                <w:sz w:val="11"/>
              </w:rPr>
              <w:t>13</w:t>
            </w: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2B5312">
            <w:pPr>
              <w:spacing w:after="0" w:line="259" w:lineRule="auto"/>
              <w:ind w:left="0" w:firstLine="0"/>
            </w:pPr>
            <w:r>
              <w:rPr>
                <w:sz w:val="11"/>
              </w:rPr>
              <w:t>15</w:t>
            </w:r>
          </w:p>
        </w:tc>
      </w:tr>
      <w:tr w:rsidR="00B65B97" w:rsidTr="002B5312">
        <w:trPr>
          <w:trHeight w:val="256"/>
        </w:trPr>
        <w:tc>
          <w:tcPr>
            <w:tcW w:w="3265"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106" w:firstLine="0"/>
            </w:pPr>
            <w:r>
              <w:rPr>
                <w:sz w:val="11"/>
              </w:rPr>
              <w:t>Počet vedúcich zamestnancov</w:t>
            </w:r>
          </w:p>
        </w:tc>
        <w:tc>
          <w:tcPr>
            <w:tcW w:w="3217" w:type="dxa"/>
            <w:tcBorders>
              <w:top w:val="single" w:sz="4" w:space="0" w:color="000000"/>
              <w:left w:val="single" w:sz="4" w:space="0" w:color="000000"/>
              <w:bottom w:val="single" w:sz="8" w:space="0" w:color="000000"/>
              <w:right w:val="nil"/>
            </w:tcBorders>
          </w:tcPr>
          <w:p w:rsidR="00B65B97" w:rsidRDefault="00B65B97">
            <w:pPr>
              <w:spacing w:after="160" w:line="259" w:lineRule="auto"/>
              <w:ind w:left="0" w:firstLine="0"/>
            </w:pPr>
          </w:p>
        </w:tc>
        <w:tc>
          <w:tcPr>
            <w:tcW w:w="293" w:type="dxa"/>
            <w:tcBorders>
              <w:top w:val="single" w:sz="4" w:space="0" w:color="000000"/>
              <w:left w:val="nil"/>
              <w:bottom w:val="single" w:sz="8" w:space="0" w:color="000000"/>
              <w:right w:val="single" w:sz="4" w:space="0" w:color="000000"/>
            </w:tcBorders>
          </w:tcPr>
          <w:p w:rsidR="00B65B97" w:rsidRDefault="003A55AE">
            <w:pPr>
              <w:spacing w:after="0" w:line="259" w:lineRule="auto"/>
              <w:ind w:left="78" w:firstLine="0"/>
            </w:pPr>
            <w:r>
              <w:rPr>
                <w:sz w:val="11"/>
              </w:rPr>
              <w:t xml:space="preserve"> 1</w:t>
            </w:r>
          </w:p>
        </w:tc>
        <w:tc>
          <w:tcPr>
            <w:tcW w:w="2785" w:type="dxa"/>
            <w:tcBorders>
              <w:top w:val="single" w:sz="4" w:space="0" w:color="000000"/>
              <w:left w:val="single" w:sz="4" w:space="0" w:color="000000"/>
              <w:bottom w:val="single" w:sz="8"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8" w:space="0" w:color="000000"/>
              <w:right w:val="single" w:sz="8" w:space="0" w:color="000000"/>
            </w:tcBorders>
          </w:tcPr>
          <w:p w:rsidR="00B65B97" w:rsidRDefault="003A55AE">
            <w:pPr>
              <w:spacing w:after="0" w:line="259" w:lineRule="auto"/>
              <w:ind w:left="60" w:firstLine="0"/>
            </w:pPr>
            <w:r>
              <w:rPr>
                <w:sz w:val="11"/>
              </w:rPr>
              <w:t xml:space="preserve"> 1</w:t>
            </w:r>
          </w:p>
        </w:tc>
      </w:tr>
    </w:tbl>
    <w:p w:rsidR="00B65B97" w:rsidRDefault="003A55AE">
      <w:pPr>
        <w:pStyle w:val="Heading1"/>
        <w:spacing w:after="120"/>
        <w:ind w:left="-5" w:right="367"/>
      </w:pPr>
      <w:r>
        <w:t>Čl. I (2) (3) Dátum schválenia účtovnej závierky a právny dôvod</w:t>
      </w:r>
    </w:p>
    <w:p w:rsidR="00B65B97" w:rsidRDefault="003A55AE">
      <w:pPr>
        <w:tabs>
          <w:tab w:val="center" w:pos="5205"/>
        </w:tabs>
        <w:spacing w:after="143"/>
        <w:ind w:left="0" w:firstLine="0"/>
      </w:pPr>
      <w:r>
        <w:t>Čl. I (2) Dátum schválenia účtovnej závierky za predchádzajúce obdobie:</w:t>
      </w:r>
      <w:r>
        <w:tab/>
      </w:r>
      <w:r w:rsidR="002B5312">
        <w:t>10.12.2017</w:t>
      </w:r>
    </w:p>
    <w:p w:rsidR="00B65B97" w:rsidRDefault="003A55AE">
      <w:pPr>
        <w:spacing w:after="42"/>
        <w:ind w:left="25" w:right="181"/>
      </w:pPr>
      <w:r>
        <w:t>Čl. I (3) Právny dôvod na zostavenie účtovnej závierky</w:t>
      </w:r>
    </w:p>
    <w:p w:rsidR="00B65B97" w:rsidRDefault="003A55AE">
      <w:pPr>
        <w:tabs>
          <w:tab w:val="center" w:pos="620"/>
          <w:tab w:val="center" w:pos="984"/>
          <w:tab w:val="center" w:pos="3069"/>
        </w:tabs>
        <w:ind w:left="0" w:firstLine="0"/>
      </w:pPr>
      <w:r>
        <w:rPr>
          <w:rFonts w:ascii="Calibri" w:eastAsia="Calibri" w:hAnsi="Calibri" w:cs="Calibri"/>
          <w:sz w:val="22"/>
        </w:rPr>
        <w:tab/>
      </w:r>
      <w:r>
        <w:rPr>
          <w:b/>
          <w:sz w:val="12"/>
          <w:bdr w:val="single" w:sz="16" w:space="0" w:color="000000"/>
        </w:rPr>
        <w:t>x</w:t>
      </w:r>
      <w:r>
        <w:rPr>
          <w:b/>
          <w:sz w:val="12"/>
          <w:bdr w:val="single" w:sz="16" w:space="0" w:color="000000"/>
        </w:rPr>
        <w:tab/>
      </w:r>
      <w:r>
        <w:t>riadna</w:t>
      </w:r>
      <w:r>
        <w:tab/>
      </w:r>
      <w:r>
        <w:rPr>
          <w:rFonts w:ascii="Calibri" w:eastAsia="Calibri" w:hAnsi="Calibri" w:cs="Calibri"/>
          <w:noProof/>
          <w:sz w:val="22"/>
        </w:rPr>
        <mc:AlternateContent>
          <mc:Choice Requires="wpg">
            <w:drawing>
              <wp:inline distT="0" distB="0" distL="0" distR="0">
                <wp:extent cx="102235" cy="88265"/>
                <wp:effectExtent l="0" t="0" r="0" b="0"/>
                <wp:docPr id="14651" name="Group 14651"/>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94" name="Shape 194"/>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FE36CC8" id="Group 14651"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HnI33lzAgAAPQYAAA4AAAAAAAAAAAAA&#10;AAAALgIAAGRycy9lMm9Eb2MueG1sUEsBAi0AFAAGAAgAAAAhAE7ppyDaAAAAAwEAAA8AAAAAAAAA&#10;AAAAAAAAzQQAAGRycy9kb3ducmV2LnhtbFBLBQYAAAAABAAEAPMAAADUBQAAAAA=&#10;">
                <v:shape id="Shape 194"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QsMYA&#10;AADcAAAADwAAAGRycy9kb3ducmV2LnhtbESP0WrCQBBF3wv9h2UEX4puWqS20U3QguBDRUz9gCE7&#10;TaLZ2ZBdzerXdwuFvs1w7z1zZ5kH04or9a6xrOB5moAgLq1uuFJw/NpM3kA4j6yxtUwKbuQgzx4f&#10;lphqO/CBroWvRISwS1FB7X2XSunKmgy6qe2Io/Zte4M+rn0ldY9DhJtWviTJqzTYcLxQY0cfNZXn&#10;4mIiZRdOw+6+t5vVvFt/PrEtQtgqNR6F1QKEp+D/zX/prY7132fw+0ycQG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fQsMYAAADc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t xml:space="preserve"> mimoriadna</w:t>
      </w:r>
    </w:p>
    <w:p w:rsidR="00B65B97" w:rsidRDefault="003A55AE">
      <w:pPr>
        <w:pStyle w:val="Heading1"/>
        <w:spacing w:after="80"/>
        <w:ind w:left="-5" w:right="367"/>
      </w:pPr>
      <w:r>
        <w:t>Čl. I (4) Údaje o skupine</w:t>
      </w:r>
    </w:p>
    <w:p w:rsidR="00B65B97" w:rsidRDefault="003A55AE">
      <w:pPr>
        <w:spacing w:after="94"/>
        <w:ind w:left="25" w:right="181"/>
      </w:pPr>
      <w:r>
        <w:t>(4) a) Obchodné meno a sídlo účtovnej jednotky, ktorá zostavuje konsolidovanú účtovnú závierku za najväčšiu skupinu, ktorej súčasťou je účtovná jednotka ako dcérska účtovná jednotka:</w:t>
      </w:r>
    </w:p>
    <w:p w:rsidR="00B65B97" w:rsidRDefault="003A55AE">
      <w:pPr>
        <w:spacing w:after="110"/>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94"/>
        <w:ind w:left="25" w:right="181"/>
      </w:pPr>
      <w:r>
        <w:t xml:space="preserve">(4) b) Obchodné meno a sídlo účtovnej jednotky, ktorá zostavuje konsolidovanú účtovnú závierku za najmenšiu skupinu, ktorej súčasťou je účtovná jednotka ako dcérska účtovná </w:t>
      </w:r>
      <w:proofErr w:type="spellStart"/>
      <w:r>
        <w:t>jednodka</w:t>
      </w:r>
      <w:proofErr w:type="spellEnd"/>
      <w:r>
        <w:t xml:space="preserve"> a ktorá je tiež začlenená do skupiny účtovných jednotiek uvedených v písmene a):</w:t>
      </w:r>
    </w:p>
    <w:p w:rsidR="00B65B97" w:rsidRDefault="003A55AE">
      <w:pPr>
        <w:spacing w:after="110"/>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93"/>
        <w:ind w:left="25" w:right="181"/>
      </w:pPr>
      <w:r>
        <w:t>(4) c) Adresa, kde sa môže vyžiadať kópia konsolidovaných účtovných závierok uvedených v písmenách a) a b):</w:t>
      </w:r>
    </w:p>
    <w:p w:rsidR="00B65B97" w:rsidRDefault="003A55AE">
      <w:pPr>
        <w:spacing w:after="112"/>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76"/>
        <w:ind w:left="25" w:right="181"/>
      </w:pPr>
      <w:r>
        <w:t>(4) d) Účtovná jednotka je materskou účtovnou jednotkou</w:t>
      </w:r>
    </w:p>
    <w:p w:rsidR="00B65B97" w:rsidRDefault="003A55AE">
      <w:pPr>
        <w:tabs>
          <w:tab w:val="center" w:pos="801"/>
          <w:tab w:val="center" w:pos="2675"/>
          <w:tab w:val="center" w:pos="2959"/>
        </w:tabs>
        <w:spacing w:after="159"/>
        <w:ind w:left="0" w:firstLine="0"/>
      </w:pPr>
      <w:r>
        <w:rPr>
          <w:rFonts w:ascii="Calibri" w:eastAsia="Calibri" w:hAnsi="Calibri" w:cs="Calibri"/>
          <w:sz w:val="22"/>
        </w:rPr>
        <w:tab/>
      </w:r>
      <w:r>
        <w:t>Áno</w:t>
      </w:r>
      <w:r>
        <w:tab/>
      </w:r>
      <w:r>
        <w:rPr>
          <w:b/>
          <w:sz w:val="12"/>
          <w:bdr w:val="single" w:sz="16" w:space="0" w:color="000000"/>
        </w:rPr>
        <w:t>x</w:t>
      </w:r>
      <w:r>
        <w:rPr>
          <w:b/>
          <w:sz w:val="12"/>
          <w:bdr w:val="single" w:sz="16" w:space="0" w:color="000000"/>
        </w:rPr>
        <w:tab/>
      </w:r>
      <w:r>
        <w:t>Nie</w:t>
      </w:r>
    </w:p>
    <w:p w:rsidR="00B65B97" w:rsidRDefault="003A55AE">
      <w:pPr>
        <w:spacing w:after="80"/>
        <w:ind w:left="430" w:right="181"/>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273050</wp:posOffset>
                </wp:positionH>
                <wp:positionV relativeFrom="paragraph">
                  <wp:posOffset>-216532</wp:posOffset>
                </wp:positionV>
                <wp:extent cx="102235" cy="450215"/>
                <wp:effectExtent l="0" t="0" r="0" b="0"/>
                <wp:wrapNone/>
                <wp:docPr id="14652" name="Group 14652"/>
                <wp:cNvGraphicFramePr/>
                <a:graphic xmlns:a="http://schemas.openxmlformats.org/drawingml/2006/main">
                  <a:graphicData uri="http://schemas.microsoft.com/office/word/2010/wordprocessingGroup">
                    <wpg:wgp>
                      <wpg:cNvGrpSpPr/>
                      <wpg:grpSpPr>
                        <a:xfrm>
                          <a:off x="0" y="0"/>
                          <a:ext cx="102235" cy="450215"/>
                          <a:chOff x="0" y="0"/>
                          <a:chExt cx="102235" cy="450215"/>
                        </a:xfrm>
                      </wpg:grpSpPr>
                      <wps:wsp>
                        <wps:cNvPr id="209" name="Shape 209"/>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211" name="Shape 211"/>
                        <wps:cNvSpPr/>
                        <wps:spPr>
                          <a:xfrm>
                            <a:off x="0" y="36195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A1411D8" id="Group 14652" o:spid="_x0000_s1026" style="position:absolute;margin-left:21.5pt;margin-top:-17.05pt;width:8.05pt;height:35.45pt;z-index:-251658240" coordsize="102235,45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">
                <v:shape id="Shape 209"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mL1cQA&#10;AADcAAAADwAAAGRycy9kb3ducmV2LnhtbESPQWvCQBSE74L/YXkFL6IbPVQbXUUFwUNFjP0Bj+xr&#10;kjb7NmRXs+2vdwXB4zAz3zDLdTC1uFHrKssKJuMEBHFudcWFgq/LfjQH4TyyxtoyKfgjB+tVv7fE&#10;VNuOz3TLfCEihF2KCkrvm1RKl5dk0I1tQxy9b9sa9FG2hdQtdhFuajlNkndpsOK4UGJDu5Ly3+xq&#10;IuUYfrrj/8nuN7Nm+zlkm4VwUGrwFjYLEJ6Cf4Wf7YNWME0+4H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i9XEAAAA3AAAAA8AAAAAAAAAAAAAAAAAmAIAAGRycy9k&#10;b3ducmV2LnhtbFBLBQYAAAAABAAEAPUAAACJAwAAAAA=&#10;" path="m,88265r102235,l102235,,,,,88265xe" filled="f" strokeweight="1pt">
                  <v:stroke miterlimit="83231f" joinstyle="miter" endcap="square"/>
                  <v:path arrowok="t" textboxrect="0,0,102235,88265"/>
                </v:shape>
                <v:shape id="Shape 211" o:spid="_x0000_s1028" style="position:absolute;top:361950;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RDsUA&#10;AADcAAAADwAAAGRycy9kb3ducmV2LnhtbESPQWvCQBSE7wX/w/IEL6Vu4qGV1E3QguBBkUZ/wCP7&#10;mqRm34bs1qz++q5Q6HGYmW+YVRFMJ640uNaygnSegCCurG65VnA+bV+WIJxH1thZJgU3clDkk6cV&#10;ZtqO/EnX0tciQthlqKDxvs+kdFVDBt3c9sTR+7KDQR/lUEs94BjhppOLJHmVBluOCw329NFQdSl/&#10;TKQcwvd4uB/tdv3Wb/bPbMsQdkrNpmH9DsJT8P/hv/ZOK1ikKTz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hEOxQAAANwAAAAPAAAAAAAAAAAAAAAAAJgCAABkcnMv&#10;ZG93bnJldi54bWxQSwUGAAAAAAQABAD1AAAAigMAAAAA&#10;" path="m,88265r102235,l102235,,,,,88265xe" filled="f" strokeweight="1pt">
                  <v:stroke miterlimit="83231f" joinstyle="miter" endcap="square"/>
                  <v:path arrowok="t" textboxrect="0,0,102235,88265"/>
                </v:shape>
              </v:group>
            </w:pict>
          </mc:Fallback>
        </mc:AlternateContent>
      </w:r>
      <w:r>
        <w:t>Účtovná jednotka je oslobodená od povinnosti zostaviť konsolidovanú účtovnú závierku a konsolidovanú výročnú správu podľa § 22</w:t>
      </w:r>
    </w:p>
    <w:p w:rsidR="00B65B97" w:rsidRDefault="003A55AE">
      <w:pPr>
        <w:tabs>
          <w:tab w:val="center" w:pos="801"/>
          <w:tab w:val="center" w:pos="2829"/>
        </w:tabs>
        <w:ind w:left="0" w:firstLine="0"/>
      </w:pPr>
      <w:r>
        <w:rPr>
          <w:rFonts w:ascii="Calibri" w:eastAsia="Calibri" w:hAnsi="Calibri" w:cs="Calibri"/>
          <w:sz w:val="22"/>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4653" name="Group 1465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212" name="Shape 2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64804D6" id="Group 1465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GTgwclzAgAAPQYAAA4AAAAAAAAAAAAA&#10;AAAALgIAAGRycy9lMm9Eb2MueG1sUEsBAi0AFAAGAAgAAAAhAE7ppyDaAAAAAwEAAA8AAAAAAAAA&#10;AAAAAAAAzQQAAGRycy9kb3ducmV2LnhtbFBLBQYAAAAABAAEAPMAAADUBQAAAAA=&#10;">
                <v:shape id="Shape 212"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PecUA&#10;AADcAAAADwAAAGRycy9kb3ducmV2LnhtbESPQWvCQBSE7wX/w/IEL6VuzKGV1DXEguBBkUZ/wCP7&#10;mqRm34bs1qz++q5Q6HGYmW+YVR5MJ640uNaygsU8AUFcWd1yreB82r4sQTiPrLGzTApu5CBfT55W&#10;mGk78iddS1+LCGGXoYLG+z6T0lUNGXRz2xNH78sOBn2UQy31gGOEm06mSfIqDbYcFxrs6aOh6lL+&#10;mEg5hO/xcD/abfHWb/bPbMsQdkrNpqF4B+Ep+P/wX3unFaSLFB5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5I95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 Informácie o orgánoch spoločnosti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a) Výška jednotlivých druhov záruk alebo iných zabezpečení poskytnutých pre členov orgánov spoločnosti</w:t>
      </w:r>
    </w:p>
    <w:p w:rsidR="00B65B97" w:rsidRDefault="003A55AE">
      <w:pPr>
        <w:ind w:left="25" w:right="181"/>
      </w:pPr>
      <w:r>
        <w:t>Účtovná jednotka nemá náplň pre túto položku.</w:t>
      </w:r>
    </w:p>
    <w:p w:rsidR="00B65B97" w:rsidRDefault="003A55AE">
      <w:pPr>
        <w:spacing w:after="16" w:line="270" w:lineRule="auto"/>
        <w:ind w:left="-5" w:right="1499"/>
      </w:pPr>
      <w:r>
        <w:rPr>
          <w:b/>
          <w:sz w:val="21"/>
        </w:rPr>
        <w:t>Čl. II b) Informácie o pôžičkách poskytnutých členom orgánov spoločnosti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c) Hlavné podmienky, na základe ktorých boli členom orgánov spoločnosti záruky alebo iné zabezpečenia a pôžičky poskytnuté</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lastRenderedPageBreak/>
        <w:t>l. II d) Informácie o celkovej sume použitých finančných prostriedkov alebo iného plnenia na súkromné účely členmi orgánov spoločnosti, ktoré je potrebné vyúčtovať</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Informácie o prijatých postupoch</w:t>
      </w:r>
    </w:p>
    <w:p w:rsidR="00B65B97" w:rsidRDefault="003A55AE">
      <w:pPr>
        <w:pStyle w:val="Heading1"/>
        <w:spacing w:after="95"/>
        <w:ind w:left="-5" w:right="367"/>
      </w:pPr>
      <w:r>
        <w:t>Čl. III (1) Nepretržité pokračovanie účtovnej jednotky</w:t>
      </w:r>
    </w:p>
    <w:p w:rsidR="00B65B97" w:rsidRDefault="003A55AE">
      <w:pPr>
        <w:spacing w:after="184" w:line="362" w:lineRule="auto"/>
        <w:ind w:left="616" w:right="4908" w:hanging="601"/>
      </w:pPr>
      <w:r>
        <w:t xml:space="preserve">Čl. III (1) Účtovná jednotka bude nepretržite pokračovať vo svojej činnosti: </w:t>
      </w:r>
      <w:r>
        <w:rPr>
          <w:b/>
          <w:sz w:val="12"/>
          <w:bdr w:val="single" w:sz="16" w:space="0" w:color="000000"/>
        </w:rPr>
        <w:t>x</w:t>
      </w:r>
      <w:r>
        <w:rPr>
          <w:b/>
          <w:sz w:val="12"/>
          <w:bdr w:val="single" w:sz="16" w:space="0" w:color="000000"/>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5183" name="Group 1518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420" name="Shape 420"/>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186296" id="Group 1518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FSvhmpzAgAAPQYAAA4AAAAAAAAAAAAA&#10;AAAALgIAAGRycy9lMm9Eb2MueG1sUEsBAi0AFAAGAAgAAAAhAE7ppyDaAAAAAwEAAA8AAAAAAAAA&#10;AAAAAAAAzQQAAGRycy9kb3ducmV2LnhtbFBLBQYAAAAABAAEAPMAAADUBQAAAAA=&#10;">
                <v:shape id="Shape 420"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280MUA&#10;AADcAAAADwAAAGRycy9kb3ducmV2LnhtbESPwWrCQBCG7wXfYRnBS6kbpbQluooKgodKafQBhuyY&#10;pM3Ohuxq1j5951Docfjn/2a+5Tq5Vt2oD41nA7NpBoq49LbhysD5tH96AxUissXWMxm4U4D1avSw&#10;xNz6gT/pVsRKCYRDjgbqGLtc61DW5DBMfUcs2cX3DqOMfaVtj4PAXavnWfaiHTYsF2rsaFdT+V1c&#10;nVCO6Ws4/nz4/ea1274/si9SOhgzGafNAlSkFP+X/9oHa+B5Lu+LjIi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XbzQ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III (2) Účtovné zásady a metódy, zmeny účtovných zásad a metód</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(3) Transakcie, ktoré sa neuvádzajú v súvahe a ich finančný vplyv</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(4) Spôsob a určenie ocenenia majetku a záväzkov</w:t>
      </w:r>
    </w:p>
    <w:p w:rsidR="00B65B97" w:rsidRDefault="003A55AE">
      <w:pPr>
        <w:pStyle w:val="Heading1"/>
        <w:spacing w:after="62"/>
        <w:ind w:left="-5" w:right="367"/>
      </w:pPr>
      <w:r>
        <w:t>Čl. III (4) a) Spôsob oceňovania majetku a záväzkov - obstarávacia cena, vlastné náklady, menovitá hodnota</w:t>
      </w:r>
    </w:p>
    <w:p w:rsidR="00B65B97" w:rsidRDefault="003A55AE">
      <w:pPr>
        <w:spacing w:after="0"/>
        <w:ind w:left="25" w:right="181"/>
      </w:pPr>
      <w:r>
        <w:t>Čl. III (4) a) Spôsob oceňovania majetku a záväzkov - obstarávacia cena, vlastné náklady, menovitá hodnota</w:t>
      </w:r>
    </w:p>
    <w:tbl>
      <w:tblPr>
        <w:tblStyle w:val="TableGrid"/>
        <w:tblW w:w="9840" w:type="dxa"/>
        <w:tblInd w:w="40" w:type="dxa"/>
        <w:tblCellMar>
          <w:top w:w="57" w:type="dxa"/>
          <w:left w:w="66" w:type="dxa"/>
          <w:right w:w="115" w:type="dxa"/>
        </w:tblCellMar>
        <w:tblLook w:val="04A0" w:firstRow="1" w:lastRow="0" w:firstColumn="1" w:lastColumn="0" w:noHBand="0" w:noVBand="1"/>
      </w:tblPr>
      <w:tblGrid>
        <w:gridCol w:w="4294"/>
        <w:gridCol w:w="1271"/>
        <w:gridCol w:w="4275"/>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9"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1" w:firstLine="0"/>
              <w:jc w:val="center"/>
            </w:pPr>
            <w:r>
              <w:rPr>
                <w:b/>
                <w:sz w:val="10"/>
              </w:rPr>
              <w:t>ÚJ má náplň (x)</w:t>
            </w:r>
          </w:p>
        </w:tc>
        <w:tc>
          <w:tcPr>
            <w:tcW w:w="427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55" w:firstLine="0"/>
              <w:jc w:val="center"/>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Obstarávacou cenou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8"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71" w:firstLine="0"/>
            </w:pPr>
            <w:r>
              <w:rPr>
                <w:sz w:val="11"/>
              </w:rPr>
              <w:t>1. Hmotný majetok s výnimkou 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s výnimkou zásob vytvorených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211" w:firstLine="0"/>
            </w:pPr>
            <w:r>
              <w:rPr>
                <w:sz w:val="11"/>
              </w:rPr>
              <w:t>3. Podiely na základnom imaní obchodných spoločností, deriváty a cenné papiere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42" w:firstLine="0"/>
            </w:pPr>
            <w:r>
              <w:rPr>
                <w:sz w:val="11"/>
              </w:rPr>
              <w:t>4. Pohľadávky pri odplatnom nadobudnutí alebo pohľadávky nadobudnuté vkladom do ZI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5. Nehmotný majetok s výnimkou nehmotného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6. Záväzky pri ich prevzatí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Vlastnými nákladmi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vytvorené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3. Nehmotný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4. Príchovky a prírastky zvierat</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Menovitou hodnotou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Peňažné prostriedky a ceniny</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Pohľadávky pri ich vzniku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0" w:firstLine="0"/>
            </w:pPr>
            <w:r>
              <w:rPr>
                <w:sz w:val="11"/>
              </w:rPr>
              <w:t>3. Záväzky pri ich vzniku</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Heading1"/>
        <w:spacing w:after="62"/>
        <w:ind w:left="-5" w:right="367"/>
      </w:pPr>
      <w:r>
        <w:t>Čl. III (4) a) Spôsob oceňovania majetku a záväzkov - reálna hodnota, hodnota zistená metódou vlastného imania, iné</w:t>
      </w:r>
    </w:p>
    <w:p w:rsidR="00B65B97" w:rsidRDefault="003A55AE">
      <w:pPr>
        <w:spacing w:after="0"/>
        <w:ind w:left="25" w:right="181"/>
      </w:pPr>
      <w:r>
        <w:t>Čl. III (4) a) Spôsob oceňovania majetku a záväzkov - reálna hodnota, hodnota zistená metódou vlastného imania, iné</w:t>
      </w:r>
    </w:p>
    <w:tbl>
      <w:tblPr>
        <w:tblStyle w:val="TableGrid"/>
        <w:tblW w:w="9840" w:type="dxa"/>
        <w:tblInd w:w="40" w:type="dxa"/>
        <w:tblCellMar>
          <w:top w:w="57" w:type="dxa"/>
          <w:right w:w="115" w:type="dxa"/>
        </w:tblCellMar>
        <w:tblLook w:val="04A0" w:firstRow="1" w:lastRow="0" w:firstColumn="1" w:lastColumn="0" w:noHBand="0" w:noVBand="1"/>
      </w:tblPr>
      <w:tblGrid>
        <w:gridCol w:w="4294"/>
        <w:gridCol w:w="1271"/>
        <w:gridCol w:w="1597"/>
        <w:gridCol w:w="2678"/>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05"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97" w:firstLine="0"/>
              <w:jc w:val="center"/>
            </w:pPr>
            <w:r>
              <w:rPr>
                <w:b/>
                <w:sz w:val="10"/>
              </w:rPr>
              <w:t>ÚJ má náplň (x)</w:t>
            </w:r>
          </w:p>
        </w:tc>
        <w:tc>
          <w:tcPr>
            <w:tcW w:w="1597"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Reálnou hodnotou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8"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1. Majetok a záväzky nadobudnuté kúpou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lastRenderedPageBreak/>
              <w:t>2. Majetok a záväzky nadobudnuté vkladom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3. Záväzky nadobudnuté zámenou s výnimkou ÚJ účtujúcej v jednoduchom účtovníctve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4. Cenné papiere a deriváty a podiely na základnom imaní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5. Drahé kovy v majetku fondu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Hodnotou zistenou metódou vlastného imania</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Iné</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right="349" w:firstLine="0"/>
            </w:pPr>
            <w:r>
              <w:rPr>
                <w:sz w:val="11"/>
              </w:rPr>
              <w:t>1. Prenajatý majetok a majetok obstaraný na základe zmluvy o kúpe prenajatej veci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66" w:firstLine="0"/>
            </w:pPr>
            <w:r>
              <w:rPr>
                <w:sz w:val="11"/>
              </w:rPr>
              <w:t>2. Daň z príjmov - splatná</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108" w:firstLine="0"/>
              <w:jc w:val="center"/>
            </w:pPr>
            <w:r>
              <w:rPr>
                <w:sz w:val="11"/>
              </w:rPr>
              <w:t>x</w:t>
            </w:r>
          </w:p>
        </w:tc>
        <w:tc>
          <w:tcPr>
            <w:tcW w:w="1597" w:type="dxa"/>
            <w:tcBorders>
              <w:top w:val="single" w:sz="4" w:space="0" w:color="000000"/>
              <w:left w:val="single" w:sz="4" w:space="0" w:color="000000"/>
              <w:bottom w:val="single" w:sz="8" w:space="0" w:color="000000"/>
              <w:right w:val="nil"/>
            </w:tcBorders>
          </w:tcPr>
          <w:p w:rsidR="00B65B97" w:rsidRDefault="003A55AE">
            <w:pPr>
              <w:spacing w:after="0" w:line="259" w:lineRule="auto"/>
              <w:ind w:left="72" w:firstLine="0"/>
            </w:pPr>
            <w:r>
              <w:rPr>
                <w:sz w:val="11"/>
              </w:rPr>
              <w:t>menovitou hodnotou</w:t>
            </w:r>
          </w:p>
        </w:tc>
        <w:tc>
          <w:tcPr>
            <w:tcW w:w="2678" w:type="dxa"/>
            <w:tcBorders>
              <w:top w:val="single" w:sz="4" w:space="0" w:color="000000"/>
              <w:left w:val="nil"/>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Heading1"/>
        <w:spacing w:after="67"/>
        <w:ind w:right="367"/>
      </w:pPr>
      <w:r>
        <w:t>l. III (4) a) Spôsob oceňovania majetku a záväzkov - vážený aritmetický priemer, FIFO metóda</w:t>
      </w:r>
    </w:p>
    <w:p w:rsidR="00B65B97" w:rsidRDefault="003A55AE">
      <w:pPr>
        <w:spacing w:after="80"/>
        <w:ind w:left="25" w:right="181"/>
      </w:pPr>
      <w:r>
        <w:t>Čl. III (4) a) Spôsob oceňovania majetku a záväzkov - vážený aritmetický priemer, FIFO metóda</w:t>
      </w:r>
    </w:p>
    <w:p w:rsidR="00B65B97" w:rsidRDefault="003A55AE">
      <w:pPr>
        <w:spacing w:after="96"/>
        <w:ind w:left="595" w:right="181"/>
      </w:pPr>
      <w:r>
        <w:t>Pri účtovaní zásob postupovala účtovná jednotka podľa § 43 postupov účtovania v PÚ:</w:t>
      </w:r>
    </w:p>
    <w:p w:rsidR="00B65B97" w:rsidRDefault="003A55AE">
      <w:pPr>
        <w:spacing w:after="62" w:line="362" w:lineRule="auto"/>
        <w:ind w:left="1080" w:right="5819" w:hanging="224"/>
      </w:pPr>
      <w:r>
        <w:rPr>
          <w:b/>
          <w:sz w:val="12"/>
          <w:bdr w:val="single" w:sz="16" w:space="0" w:color="000000"/>
        </w:rPr>
        <w:t>x</w:t>
      </w:r>
      <w:r>
        <w:rPr>
          <w:b/>
          <w:sz w:val="12"/>
          <w:bdr w:val="single" w:sz="16" w:space="0" w:color="000000"/>
        </w:rPr>
        <w:tab/>
      </w:r>
      <w:r>
        <w:t>spôsobom A účtovania zásob spôsobom B účtovania zásob</w:t>
      </w:r>
    </w:p>
    <w:p w:rsidR="00B65B97" w:rsidRDefault="003A55AE">
      <w:pPr>
        <w:spacing w:after="65"/>
        <w:ind w:left="595" w:right="181"/>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520700</wp:posOffset>
                </wp:positionH>
                <wp:positionV relativeFrom="paragraph">
                  <wp:posOffset>-193671</wp:posOffset>
                </wp:positionV>
                <wp:extent cx="102235" cy="675005"/>
                <wp:effectExtent l="0" t="0" r="0" b="0"/>
                <wp:wrapSquare wrapText="bothSides"/>
                <wp:docPr id="12555" name="Group 12555"/>
                <wp:cNvGraphicFramePr/>
                <a:graphic xmlns:a="http://schemas.openxmlformats.org/drawingml/2006/main">
                  <a:graphicData uri="http://schemas.microsoft.com/office/word/2010/wordprocessingGroup">
                    <wpg:wgp>
                      <wpg:cNvGrpSpPr/>
                      <wpg:grpSpPr>
                        <a:xfrm>
                          <a:off x="0" y="0"/>
                          <a:ext cx="102235" cy="675005"/>
                          <a:chOff x="0" y="0"/>
                          <a:chExt cx="102235" cy="675005"/>
                        </a:xfrm>
                      </wpg:grpSpPr>
                      <wps:wsp>
                        <wps:cNvPr id="812" name="Shape 8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4" name="Shape 814"/>
                        <wps:cNvSpPr/>
                        <wps:spPr>
                          <a:xfrm>
                            <a:off x="0" y="45339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5" name="Shape 815"/>
                        <wps:cNvSpPr/>
                        <wps:spPr>
                          <a:xfrm>
                            <a:off x="0" y="58674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43" name="Rectangle 843"/>
                        <wps:cNvSpPr/>
                        <wps:spPr>
                          <a:xfrm>
                            <a:off x="22860" y="328872"/>
                            <a:ext cx="56818" cy="96053"/>
                          </a:xfrm>
                          <a:prstGeom prst="rect">
                            <a:avLst/>
                          </a:prstGeom>
                          <a:ln>
                            <a:noFill/>
                          </a:ln>
                        </wps:spPr>
                        <wps:txbx>
                          <w:txbxContent>
                            <w:p w:rsidR="00B65B97" w:rsidRDefault="003A55AE">
                              <w:pPr>
                                <w:spacing w:after="160" w:line="259" w:lineRule="auto"/>
                                <w:ind w:left="0" w:firstLine="0"/>
                              </w:pPr>
                              <w:r>
                                <w:rPr>
                                  <w:b/>
                                  <w:sz w:val="12"/>
                                  <w:bdr w:val="single" w:sz="16" w:space="0" w:color="000000"/>
                                </w:rPr>
                                <w:t>x</w:t>
                              </w:r>
                            </w:p>
                          </w:txbxContent>
                        </wps:txbx>
                        <wps:bodyPr horzOverflow="overflow" vert="horz" lIns="0" tIns="0" rIns="0" bIns="0" rtlCol="0">
                          <a:noAutofit/>
                        </wps:bodyPr>
                      </wps:wsp>
                    </wpg:wgp>
                  </a:graphicData>
                </a:graphic>
              </wp:anchor>
            </w:drawing>
          </mc:Choice>
          <mc:Fallback>
            <w:pict>
              <v:group id="Group 12555" o:spid="_x0000_s1026" style="position:absolute;left:0;text-align:left;margin-left:41pt;margin-top:-15.25pt;width:8.05pt;height:53.15pt;z-index:251659264" coordsize="1022,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">
                <v:shape id="Shape 812" o:spid="_x0000_s1027" style="position:absolute;width:1022;height:882;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64q8UA&#10;AADcAAAADwAAAGRycy9kb3ducmV2LnhtbESPwWrDMBBE74X8g9hALiWRnUMbnCjBKQR8qCl1+wGL&#10;tbGdWCtjqbHSr68KhR6HmXnD7A7B9OJGo+ssK0hXCQji2uqOGwWfH6flBoTzyBp7y6TgTg4O+9nD&#10;DjNtJ36nW+UbESHsMlTQej9kUrq6JYNuZQfi6J3taNBHOTZSjzhFuOnlOkmepMGO40KLA720VF+r&#10;LxMpZbhM5febPeXPw/H1kW0VQqHUYh7yLQhPwf+H/9qFVrBJ1/B7Jh4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rirxQAAANwAAAAPAAAAAAAAAAAAAAAAAJgCAABkcnMv&#10;ZG93bnJldi54bWxQSwUGAAAAAAQABAD1AAAAigMAAAAA&#10;" path="m,88265r102235,l102235,,,,,88265xe" filled="f" strokeweight="1pt">
                  <v:stroke miterlimit="83231f" joinstyle="miter" endcap="square"/>
                  <v:path arrowok="t" textboxrect="0,0,102235,88265"/>
                </v:shape>
                <v:shape id="Shape 814" o:spid="_x0000_s1028" style="position:absolute;top:4533;width:1022;height:883;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uFRMUA&#10;AADcAAAADwAAAGRycy9kb3ducmV2LnhtbESP0WrCQBRE3wv9h+UW+lJ0Yyk1RDfBFgQfKmL0Ay7Z&#10;axKbvRuyW7Pt17uC0MdhZs4wyyKYTlxocK1lBbNpAoK4srrlWsHxsJ6kIJxH1thZJgW/5KDIHx+W&#10;mGk78p4upa9FhLDLUEHjfZ9J6aqGDLqp7Ymjd7KDQR/lUEs94BjhppOvSfIuDbYcFxrs6bOh6rv8&#10;MZGyDedx+7ez69W8//h6YVuGsFHq+SmsFiA8Bf8fvrc3WkE6e4PbmXgE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4VExQAAANwAAAAPAAAAAAAAAAAAAAAAAJgCAABkcnMv&#10;ZG93bnJldi54bWxQSwUGAAAAAAQABAD1AAAAigMAAAAA&#10;" path="m,88265r102235,l102235,,,,,88265xe" filled="f" strokeweight="1pt">
                  <v:stroke miterlimit="83231f" joinstyle="miter" endcap="square"/>
                  <v:path arrowok="t" textboxrect="0,0,102235,88265"/>
                </v:shape>
                <v:shape id="Shape 815" o:spid="_x0000_s1029" style="position:absolute;top:5867;width:1022;height:883;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cg38UA&#10;AADcAAAADwAAAGRycy9kb3ducmV2LnhtbESP0WrCQBRE3wv9h+UW+lJ0Y6E1RDfBFgQfKmL0Ay7Z&#10;axKbvRuyW7Pt17uC0MdhZs4wyyKYTlxocK1lBbNpAoK4srrlWsHxsJ6kIJxH1thZJgW/5KDIHx+W&#10;mGk78p4upa9FhLDLUEHjfZ9J6aqGDLqp7Ymjd7KDQR/lUEs94BjhppOvSfIuDbYcFxrs6bOh6rv8&#10;MZGyDedx+7ez69W8//h6YVuGsFHq+SmsFiA8Bf8fvrc3WkE6e4PbmXgE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1yDfxQAAANwAAAAPAAAAAAAAAAAAAAAAAJgCAABkcnMv&#10;ZG93bnJldi54bWxQSwUGAAAAAAQABAD1AAAAigMAAAAA&#10;" path="m,88265r102235,l102235,,,,,88265xe" filled="f" strokeweight="1pt">
                  <v:stroke miterlimit="83231f" joinstyle="miter" endcap="square"/>
                  <v:path arrowok="t" textboxrect="0,0,102235,88265"/>
                </v:shape>
                <v:rect id="Rectangle 843" o:spid="_x0000_s1030" style="position:absolute;left:228;top:3288;width:568;height:9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ydU8YA&#10;AADcAAAADwAAAGRycy9kb3ducmV2LnhtbESPT2vCQBTE74V+h+UVvNWNVUqM2Yj0D3qsUVBvj+wz&#10;CWbfhuzWxH76bqHgcZiZ3zDpcjCNuFLnassKJuMIBHFhdc2lgv3u8zkG4TyyxsYyKbiRg2X2+JBi&#10;om3PW7rmvhQBwi5BBZX3bSKlKyoy6Ma2JQ7e2XYGfZBdKXWHfYCbRr5E0as0WHNYqLClt4qKS/5t&#10;FKzjdnXc2J++bD5O68PXYf6+m3ulRk/DagHC0+Dv4f/2RiuIZ1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XydU8YAAADcAAAADwAAAAAAAAAAAAAAAACYAgAAZHJz&#10;L2Rvd25yZXYueG1sUEsFBgAAAAAEAAQA9QAAAIsDAAAAAA==&#10;" filled="f" stroked="f">
                  <v:textbox inset="0,0,0,0">
                    <w:txbxContent>
                      <w:p w:rsidR="00B65B97" w:rsidRDefault="003A55AE">
                        <w:pPr>
                          <w:spacing w:after="160" w:line="259" w:lineRule="auto"/>
                          <w:ind w:left="0" w:firstLine="0"/>
                        </w:pPr>
                        <w:r>
                          <w:rPr>
                            <w:b/>
                            <w:sz w:val="12"/>
                            <w:bdr w:val="single" w:sz="16" w:space="0" w:color="000000"/>
                          </w:rPr>
                          <w:t>x</w:t>
                        </w:r>
                      </w:p>
                    </w:txbxContent>
                  </v:textbox>
                </v:rect>
                <w10:wrap type="square"/>
              </v:group>
            </w:pict>
          </mc:Fallback>
        </mc:AlternateContent>
      </w:r>
      <w:r>
        <w:t>Úbytok zásob rovnakého druhu účtovná jednotka oceňovala:</w:t>
      </w:r>
    </w:p>
    <w:p w:rsidR="00B65B97" w:rsidRDefault="003A55AE">
      <w:pPr>
        <w:spacing w:after="50"/>
        <w:ind w:left="830" w:right="181"/>
      </w:pPr>
      <w:r>
        <w:t>váženým aritmetickým priemerom z obstarávacích cien alebo vlastných nákladov</w:t>
      </w:r>
    </w:p>
    <w:p w:rsidR="00B65B97" w:rsidRDefault="003A55AE">
      <w:pPr>
        <w:spacing w:after="221" w:line="351" w:lineRule="auto"/>
        <w:ind w:left="830" w:right="2048"/>
      </w:pPr>
      <w:r>
        <w:t>metódou FIFO (1. cena na ocenenie prírastku zásob sa použila ako 1. cena na ocenenie úbytku zásob) iným spôsobom:</w:t>
      </w:r>
    </w:p>
    <w:p w:rsidR="00B65B97" w:rsidRDefault="003A55AE">
      <w:pPr>
        <w:spacing w:after="63" w:line="270" w:lineRule="auto"/>
        <w:ind w:left="-5" w:right="367"/>
      </w:pPr>
      <w:r>
        <w:rPr>
          <w:b/>
          <w:sz w:val="21"/>
        </w:rPr>
        <w:t>Čl. III (4) b) Odhad zníženia hodnoty majetku, tvorba opravnej položky</w:t>
      </w:r>
    </w:p>
    <w:p w:rsidR="00B65B97" w:rsidRDefault="003A55AE">
      <w:pPr>
        <w:ind w:left="25" w:right="181"/>
      </w:pPr>
      <w:r>
        <w:t>Účtovná jednotka nemá náplň pre túto položku.</w:t>
      </w:r>
    </w:p>
    <w:p w:rsidR="00B65B97" w:rsidRDefault="003A55AE">
      <w:pPr>
        <w:pStyle w:val="Heading1"/>
        <w:spacing w:after="108"/>
        <w:ind w:left="-5" w:right="367"/>
      </w:pPr>
      <w:r>
        <w:t>Čl. III (4) c) Určenie ocenenia záväzkov, odhad ocenenia rezerv</w:t>
      </w:r>
    </w:p>
    <w:p w:rsidR="00B65B97" w:rsidRDefault="003A55AE">
      <w:pPr>
        <w:spacing w:after="166"/>
        <w:ind w:left="25" w:right="181"/>
      </w:pPr>
      <w:r>
        <w:t>Čl. III (4) c) Určenie ocenenia záväzkov, odhad ocenenia rezerv</w:t>
      </w:r>
    </w:p>
    <w:p w:rsidR="00B65B97" w:rsidRDefault="003A55AE">
      <w:pPr>
        <w:ind w:left="25" w:right="181"/>
      </w:pPr>
      <w:r>
        <w:t>Účtovná jednotka tvorila rezervy na dodané služby vo výške predpokladanej hodnoty dodaných služieb, na nevyčerpané dovolenky podľa platných zákonov.</w:t>
      </w:r>
    </w:p>
    <w:p w:rsidR="00B65B97" w:rsidRDefault="003A55AE">
      <w:pPr>
        <w:spacing w:after="16" w:line="270" w:lineRule="auto"/>
        <w:ind w:left="-5" w:right="367"/>
      </w:pPr>
      <w:r>
        <w:rPr>
          <w:b/>
          <w:sz w:val="21"/>
        </w:rPr>
        <w:t>Čl. III (4) d) Finančné nástroje alebo majetok, ktorý nie je finančným nástrojom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d) 1. - 2. Určenie ocenenia finančných nástrojov alebo majetku, ktorý nie je finančným nástrojom pri oceňovaní reálnou hodnotou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d) 3. Derivátové finančné nástroje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Finančné nástroje alebo majetok, ktorý nie je finančným nástrojom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1. Derivátové finančné nástroje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2. Informácie o dlhodobom finančnom majetku, ktorý sa vykazuje vo vyššej hodnote ako je jeho reálna hodnota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f) Stanovenie metódy vlastného imania</w:t>
      </w:r>
    </w:p>
    <w:p w:rsidR="00B65B97" w:rsidRDefault="003A55AE">
      <w:pPr>
        <w:ind w:left="25" w:right="181"/>
      </w:pPr>
      <w:r>
        <w:t>Účtovná jednotka nemá náplň pre túto položku.</w:t>
      </w:r>
    </w:p>
    <w:p w:rsidR="00B65B97" w:rsidRDefault="003A55AE">
      <w:pPr>
        <w:pStyle w:val="Heading1"/>
        <w:spacing w:after="95"/>
        <w:ind w:right="367"/>
      </w:pPr>
      <w:r>
        <w:lastRenderedPageBreak/>
        <w:t>l. III (4) g) Tvorba odpisového plánu</w:t>
      </w:r>
    </w:p>
    <w:p w:rsidR="00B65B97" w:rsidRDefault="003A55AE">
      <w:pPr>
        <w:spacing w:after="3"/>
        <w:ind w:left="25" w:right="181"/>
      </w:pPr>
      <w:r>
        <w:t>Čl. III (4) g) Tvorba odpisového plánu</w:t>
      </w:r>
    </w:p>
    <w:tbl>
      <w:tblPr>
        <w:tblStyle w:val="TableGrid"/>
        <w:tblW w:w="9810" w:type="dxa"/>
        <w:tblInd w:w="76" w:type="dxa"/>
        <w:tblLook w:val="04A0" w:firstRow="1" w:lastRow="0" w:firstColumn="1" w:lastColumn="0" w:noHBand="0" w:noVBand="1"/>
      </w:tblPr>
      <w:tblGrid>
        <w:gridCol w:w="194"/>
        <w:gridCol w:w="1830"/>
        <w:gridCol w:w="7786"/>
      </w:tblGrid>
      <w:tr w:rsidR="00B65B97">
        <w:trPr>
          <w:trHeight w:val="535"/>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nehmotný majetok:</w:t>
            </w:r>
          </w:p>
        </w:tc>
        <w:tc>
          <w:tcPr>
            <w:tcW w:w="7786" w:type="dxa"/>
            <w:tcBorders>
              <w:top w:val="nil"/>
              <w:left w:val="nil"/>
              <w:bottom w:val="nil"/>
              <w:right w:val="nil"/>
            </w:tcBorders>
          </w:tcPr>
          <w:p w:rsidR="00B65B97" w:rsidRDefault="003A55AE">
            <w:pPr>
              <w:spacing w:after="0" w:line="259" w:lineRule="auto"/>
              <w:ind w:left="180" w:right="35" w:firstLine="0"/>
              <w:jc w:val="both"/>
            </w:pPr>
            <w:r>
              <w:t>odpisový plán účtovných odpisov vychádzal z požiadavky zákona č. 431/2002 o účtovníctve. Majetok sa odpisoval počas predpokladanej doby používania zodpovedajúcej spotrebe budúcich ekonomických úžitkov z majetku. Odpisové sadzby pre účtovné a daňové odpisy dlhodobého nehmotného majetku sa rovnajú.</w:t>
            </w:r>
          </w:p>
        </w:tc>
      </w:tr>
      <w:tr w:rsidR="00B65B97">
        <w:trPr>
          <w:trHeight w:val="372"/>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hmotný majetok:</w:t>
            </w:r>
          </w:p>
        </w:tc>
        <w:tc>
          <w:tcPr>
            <w:tcW w:w="7786" w:type="dxa"/>
            <w:tcBorders>
              <w:top w:val="nil"/>
              <w:left w:val="nil"/>
              <w:bottom w:val="nil"/>
              <w:right w:val="nil"/>
            </w:tcBorders>
          </w:tcPr>
          <w:p w:rsidR="00B65B97" w:rsidRDefault="003A55AE">
            <w:pPr>
              <w:spacing w:after="0" w:line="259" w:lineRule="auto"/>
              <w:ind w:left="0" w:firstLine="0"/>
              <w:jc w:val="both"/>
            </w:pPr>
            <w:r>
              <w:t>odpisový plán účtovných odpisov sa zostavil interným predpisom, v ktorom sa vychádzalo z predpokladaného opotrebenia zaraďovaného majetku zodpovedajúceho bežným podmienkam jeho používania. Účtovné a daňové odpisy sa nerovnajú.</w:t>
            </w:r>
          </w:p>
        </w:tc>
      </w:tr>
    </w:tbl>
    <w:p w:rsidR="00B65B97" w:rsidRDefault="003A55AE">
      <w:pPr>
        <w:spacing w:after="171"/>
        <w:ind w:left="2075" w:hanging="2060"/>
      </w:pPr>
      <w:r>
        <w:rPr>
          <w:rFonts w:ascii="Calibri" w:eastAsia="Calibri" w:hAnsi="Calibri" w:cs="Calibri"/>
          <w:noProof/>
          <w:sz w:val="22"/>
        </w:rPr>
        <mc:AlternateContent>
          <mc:Choice Requires="wpg">
            <w:drawing>
              <wp:inline distT="0" distB="0" distL="0" distR="0">
                <wp:extent cx="102235" cy="88265"/>
                <wp:effectExtent l="0" t="0" r="0" b="0"/>
                <wp:docPr id="15360" name="Group 15360"/>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007" name="Shape 1007"/>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ED93CE8" id="Group 15360"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PO59p9zAgAAPwYAAA4AAAAAAAAAAAAA&#10;AAAALgIAAGRycy9lMm9Eb2MueG1sUEsBAi0AFAAGAAgAAAAhAE7ppyDaAAAAAwEAAA8AAAAAAAAA&#10;AAAAAAAAzQQAAGRycy9kb3ducmV2LnhtbFBLBQYAAAAABAAEAPMAAADUBQAAAAA=&#10;">
                <v:shape id="Shape 1007"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XydsYA&#10;AADdAAAADwAAAGRycy9kb3ducmV2LnhtbESPQWvCQBCF7wX/wzJCL0V320Mt0U1QQfCglKb+gCE7&#10;JtHsbMhuzdpf3y0UepvhvffNm1URbSduNPjWsYbnuQJBXDnTcq3h9LmbvYHwAdlg55g03MlDkU8e&#10;VpgZN/IH3cpQiwRhn6GGJoQ+k9JXDVn0c9cTJ+3sBoshrUMtzYBjgttOvij1Ki22nC402NO2oepa&#10;ftlEOcbLePx+d7v1ot8cntiVMe61fpzG9RJEoBj+zX/pvUn1lVrA7zdpB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XydsYAAADd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rPr>
          <w:b/>
          <w:sz w:val="12"/>
        </w:rPr>
        <w:t xml:space="preserve"> Dlhodobý hmotný majetok:</w:t>
      </w:r>
      <w:r>
        <w:rPr>
          <w:b/>
          <w:sz w:val="12"/>
        </w:rPr>
        <w:tab/>
      </w:r>
      <w:r>
        <w:t>odpisový plán účtovných odpisov sa zostavil interným predpisom, v ktorom sa vychádzalo z metód používaných pri vyčíslovaní daňových odpisov. Účtovné a daňové odpisy sa rovnajú.</w:t>
      </w:r>
    </w:p>
    <w:p w:rsidR="00B65B97" w:rsidRDefault="003A55AE">
      <w:pPr>
        <w:spacing w:after="76"/>
        <w:ind w:left="25" w:right="181"/>
      </w:pPr>
      <w:r>
        <w:t>Odpisový plán bol ovplyvnený týmito skutočnosťami</w:t>
      </w:r>
    </w:p>
    <w:p w:rsidR="00B65B97" w:rsidRDefault="003A55AE">
      <w:pPr>
        <w:numPr>
          <w:ilvl w:val="0"/>
          <w:numId w:val="1"/>
        </w:numPr>
        <w:spacing w:after="18"/>
        <w:ind w:right="181" w:hanging="360"/>
      </w:pPr>
      <w:r>
        <w:t>ÚJ používa kategóriu drobného dlhodobého nehmotného majetku - položky nad 1 000 EUR a pod 2 400 eur jednotkovej ceny (§ 13/2 PU).</w:t>
      </w:r>
    </w:p>
    <w:p w:rsidR="00B65B97" w:rsidRDefault="003A55AE">
      <w:pPr>
        <w:numPr>
          <w:ilvl w:val="0"/>
          <w:numId w:val="1"/>
        </w:numPr>
        <w:spacing w:after="18"/>
        <w:ind w:right="181" w:hanging="360"/>
      </w:pPr>
      <w:r>
        <w:t>ÚJ používa kategóriu drobného dlhodobého hmotného majetku - položky nad 1000 EUR a pod 1 700 eur jednotkovej ceny (§ 13/6 PU).</w:t>
      </w:r>
    </w:p>
    <w:p w:rsidR="00B65B97" w:rsidRDefault="003A55AE">
      <w:pPr>
        <w:numPr>
          <w:ilvl w:val="0"/>
          <w:numId w:val="1"/>
        </w:numPr>
        <w:spacing w:after="18"/>
        <w:ind w:right="181" w:hanging="360"/>
      </w:pPr>
      <w:r>
        <w:t>ÚJ nepoužíva dobrovoľné účtovanie podlimitného technického zhodnotenia do odpisovaného dlhodobého majetku (§ 21/3 PU).</w:t>
      </w:r>
    </w:p>
    <w:p w:rsidR="00B65B97" w:rsidRDefault="003A55AE">
      <w:pPr>
        <w:numPr>
          <w:ilvl w:val="0"/>
          <w:numId w:val="1"/>
        </w:numPr>
        <w:spacing w:after="18"/>
        <w:ind w:right="181" w:hanging="360"/>
      </w:pPr>
      <w:r>
        <w:t>ÚJ nepoužíva dobrovoľnú kapitalizáciu úrokov do obstarávacej ceny odpisovaného dlhodobého majetku (§ 34/1 PU; § 35/2/h PU).</w:t>
      </w:r>
    </w:p>
    <w:p w:rsidR="00B65B97" w:rsidRDefault="003A55AE">
      <w:pPr>
        <w:numPr>
          <w:ilvl w:val="0"/>
          <w:numId w:val="1"/>
        </w:numPr>
        <w:spacing w:after="0"/>
        <w:ind w:right="181" w:hanging="360"/>
      </w:pPr>
      <w:r>
        <w:t>Sadzby účtovných odpisov používaných účtovnou jednotkou pri odpisovaní dlhodobého hmotného a nehmotného majetku (s výnimkou drobného majetku) sú zhodné so sadzbami odpisov pre účely daňového odpisovania, pričom dĺžka odpisovania sa líši vzhľadom na dĺžku odpisovania. Spôsob zostavenia odpisového plánu pre jednotlivé druhy dlhodobého hmotného a nehmotného majetku</w:t>
      </w:r>
    </w:p>
    <w:tbl>
      <w:tblPr>
        <w:tblStyle w:val="TableGrid"/>
        <w:tblW w:w="9825" w:type="dxa"/>
        <w:tblInd w:w="55" w:type="dxa"/>
        <w:tblCellMar>
          <w:top w:w="78" w:type="dxa"/>
          <w:right w:w="115" w:type="dxa"/>
        </w:tblCellMar>
        <w:tblLook w:val="04A0" w:firstRow="1" w:lastRow="0" w:firstColumn="1" w:lastColumn="0" w:noHBand="0" w:noVBand="1"/>
      </w:tblPr>
      <w:tblGrid>
        <w:gridCol w:w="2457"/>
        <w:gridCol w:w="2415"/>
        <w:gridCol w:w="810"/>
        <w:gridCol w:w="1608"/>
        <w:gridCol w:w="752"/>
        <w:gridCol w:w="1783"/>
      </w:tblGrid>
      <w:tr w:rsidR="00B65B97">
        <w:trPr>
          <w:trHeight w:val="285"/>
        </w:trPr>
        <w:tc>
          <w:tcPr>
            <w:tcW w:w="245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57" w:firstLine="0"/>
              <w:jc w:val="center"/>
            </w:pPr>
            <w:r>
              <w:rPr>
                <w:b/>
                <w:sz w:val="10"/>
              </w:rPr>
              <w:t>Druh majetku</w:t>
            </w:r>
          </w:p>
        </w:tc>
        <w:tc>
          <w:tcPr>
            <w:tcW w:w="241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12" w:firstLine="0"/>
              <w:jc w:val="center"/>
            </w:pPr>
            <w:r>
              <w:rPr>
                <w:b/>
                <w:sz w:val="10"/>
              </w:rPr>
              <w:t>Doba odpisovania</w:t>
            </w:r>
          </w:p>
        </w:tc>
        <w:tc>
          <w:tcPr>
            <w:tcW w:w="810"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60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Sadzba odpisov</w:t>
            </w:r>
          </w:p>
        </w:tc>
        <w:tc>
          <w:tcPr>
            <w:tcW w:w="752"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783"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Odpisová metóda</w:t>
            </w:r>
          </w:p>
        </w:tc>
      </w:tr>
      <w:tr w:rsidR="00B65B97">
        <w:trPr>
          <w:trHeight w:val="241"/>
        </w:trPr>
        <w:tc>
          <w:tcPr>
            <w:tcW w:w="245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Oceniteľné práva</w:t>
            </w:r>
          </w:p>
        </w:tc>
        <w:tc>
          <w:tcPr>
            <w:tcW w:w="2415" w:type="dxa"/>
            <w:tcBorders>
              <w:top w:val="single" w:sz="8"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8"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8"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8"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8"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stavby</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25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48</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proofErr w:type="spellStart"/>
            <w:r>
              <w:rPr>
                <w:sz w:val="11"/>
              </w:rPr>
              <w:t>goodwill</w:t>
            </w:r>
            <w:proofErr w:type="spellEnd"/>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5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Policový systém</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12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8,3</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kancelársky nábytok</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40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30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SHV a SHV - server, kopírovací stroj</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8"/>
        </w:trPr>
        <w:tc>
          <w:tcPr>
            <w:tcW w:w="245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95" w:firstLine="0"/>
            </w:pPr>
            <w:r>
              <w:rPr>
                <w:sz w:val="11"/>
              </w:rPr>
              <w:t>SHV a SHV - počítače</w:t>
            </w:r>
          </w:p>
        </w:tc>
        <w:tc>
          <w:tcPr>
            <w:tcW w:w="2415"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53" w:firstLine="0"/>
            </w:pPr>
            <w:r>
              <w:rPr>
                <w:sz w:val="11"/>
              </w:rPr>
              <w:t>3 roky</w:t>
            </w:r>
          </w:p>
        </w:tc>
        <w:tc>
          <w:tcPr>
            <w:tcW w:w="810" w:type="dxa"/>
            <w:tcBorders>
              <w:top w:val="single" w:sz="2" w:space="0" w:color="000000"/>
              <w:left w:val="single" w:sz="2" w:space="0" w:color="000000"/>
              <w:bottom w:val="single" w:sz="9" w:space="0" w:color="000000"/>
              <w:right w:val="nil"/>
            </w:tcBorders>
          </w:tcPr>
          <w:p w:rsidR="00B65B97" w:rsidRDefault="003A55AE">
            <w:pPr>
              <w:spacing w:after="0" w:line="259" w:lineRule="auto"/>
              <w:ind w:left="53" w:firstLine="0"/>
            </w:pPr>
            <w:r>
              <w:rPr>
                <w:sz w:val="11"/>
              </w:rPr>
              <w:t>33,33</w:t>
            </w:r>
          </w:p>
        </w:tc>
        <w:tc>
          <w:tcPr>
            <w:tcW w:w="1608" w:type="dxa"/>
            <w:tcBorders>
              <w:top w:val="single" w:sz="2" w:space="0" w:color="000000"/>
              <w:left w:val="nil"/>
              <w:bottom w:val="single" w:sz="9"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9"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9" w:space="0" w:color="000000"/>
              <w:right w:val="single" w:sz="8" w:space="0" w:color="000000"/>
            </w:tcBorders>
          </w:tcPr>
          <w:p w:rsidR="00B65B97" w:rsidRDefault="00B65B97">
            <w:pPr>
              <w:spacing w:after="160" w:line="259" w:lineRule="auto"/>
              <w:ind w:left="0" w:firstLine="0"/>
            </w:pPr>
          </w:p>
        </w:tc>
      </w:tr>
    </w:tbl>
    <w:p w:rsidR="00B65B97" w:rsidRDefault="003A55AE">
      <w:pPr>
        <w:spacing w:after="63" w:line="270" w:lineRule="auto"/>
        <w:ind w:left="-5" w:right="367"/>
      </w:pPr>
      <w:r>
        <w:rPr>
          <w:b/>
          <w:sz w:val="21"/>
        </w:rPr>
        <w:t>Čl. III (4) h) Poskytnuté dotácie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(5) Oprava 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6" w:line="270" w:lineRule="auto"/>
        <w:ind w:left="-5" w:right="1137"/>
      </w:pPr>
      <w:r>
        <w:rPr>
          <w:b/>
          <w:sz w:val="21"/>
        </w:rPr>
        <w:t>Čl. III (5) Oprava nevýznamných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IV Informácie, ktoré vysvetľujú a dopĺňajú súvahu a výkaz ziskov a strát</w:t>
      </w:r>
    </w:p>
    <w:p w:rsidR="00B65B97" w:rsidRDefault="003A55AE">
      <w:pPr>
        <w:pStyle w:val="Heading1"/>
        <w:spacing w:after="95"/>
        <w:ind w:left="-5" w:right="367"/>
      </w:pPr>
      <w:r>
        <w:t xml:space="preserve">Čl. IV (1) Charakteristika </w:t>
      </w:r>
      <w:proofErr w:type="spellStart"/>
      <w:r>
        <w:t>goodwillu</w:t>
      </w:r>
      <w:proofErr w:type="spellEnd"/>
      <w:r>
        <w:t xml:space="preserve"> alebo záporného </w:t>
      </w:r>
      <w:proofErr w:type="spellStart"/>
      <w:r>
        <w:t>goodwillu</w:t>
      </w:r>
      <w:proofErr w:type="spellEnd"/>
    </w:p>
    <w:p w:rsidR="00B65B97" w:rsidRDefault="003A55AE">
      <w:pPr>
        <w:spacing w:after="0"/>
        <w:ind w:left="25" w:right="181"/>
      </w:pPr>
      <w:r>
        <w:t xml:space="preserve">Čl. IV (1) Charakteristika </w:t>
      </w:r>
      <w:proofErr w:type="spellStart"/>
      <w:r>
        <w:t>goodwillu</w:t>
      </w:r>
      <w:proofErr w:type="spellEnd"/>
      <w:r>
        <w:t xml:space="preserve"> alebo záporného </w:t>
      </w:r>
      <w:proofErr w:type="spellStart"/>
      <w:r>
        <w:t>goodwillu</w:t>
      </w:r>
      <w:proofErr w:type="spellEnd"/>
    </w:p>
    <w:tbl>
      <w:tblPr>
        <w:tblStyle w:val="TableGrid"/>
        <w:tblW w:w="9840" w:type="dxa"/>
        <w:tblInd w:w="40" w:type="dxa"/>
        <w:tblCellMar>
          <w:top w:w="72" w:type="dxa"/>
          <w:right w:w="33" w:type="dxa"/>
        </w:tblCellMar>
        <w:tblLook w:val="04A0" w:firstRow="1" w:lastRow="0" w:firstColumn="1" w:lastColumn="0" w:noHBand="0" w:noVBand="1"/>
      </w:tblPr>
      <w:tblGrid>
        <w:gridCol w:w="3975"/>
        <w:gridCol w:w="2510"/>
        <w:gridCol w:w="394"/>
        <w:gridCol w:w="2961"/>
      </w:tblGrid>
      <w:tr w:rsidR="00B65B97">
        <w:trPr>
          <w:trHeight w:val="318"/>
        </w:trPr>
        <w:tc>
          <w:tcPr>
            <w:tcW w:w="3975"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38" w:firstLine="0"/>
              <w:jc w:val="center"/>
            </w:pPr>
            <w:r>
              <w:rPr>
                <w:b/>
                <w:sz w:val="10"/>
              </w:rPr>
              <w:t xml:space="preserve">Dôvod vzniku </w:t>
            </w:r>
            <w:proofErr w:type="spellStart"/>
            <w:r>
              <w:rPr>
                <w:b/>
                <w:sz w:val="10"/>
              </w:rPr>
              <w:t>goodwillu</w:t>
            </w:r>
            <w:proofErr w:type="spellEnd"/>
            <w:r>
              <w:rPr>
                <w:b/>
                <w:sz w:val="10"/>
              </w:rPr>
              <w:t xml:space="preserve">/záporného </w:t>
            </w:r>
            <w:proofErr w:type="spellStart"/>
            <w:r>
              <w:rPr>
                <w:b/>
                <w:sz w:val="10"/>
              </w:rPr>
              <w:t>goodwillu</w:t>
            </w:r>
            <w:proofErr w:type="spellEnd"/>
          </w:p>
        </w:tc>
        <w:tc>
          <w:tcPr>
            <w:tcW w:w="2510" w:type="dxa"/>
            <w:tcBorders>
              <w:top w:val="single" w:sz="8" w:space="0" w:color="000000"/>
              <w:left w:val="single" w:sz="8" w:space="0" w:color="000000"/>
              <w:bottom w:val="single" w:sz="8" w:space="0" w:color="000000"/>
              <w:right w:val="nil"/>
            </w:tcBorders>
            <w:vAlign w:val="center"/>
          </w:tcPr>
          <w:p w:rsidR="00B65B97" w:rsidRDefault="003A55AE">
            <w:pPr>
              <w:spacing w:after="0" w:line="259" w:lineRule="auto"/>
              <w:ind w:left="425" w:firstLine="0"/>
              <w:jc w:val="center"/>
            </w:pPr>
            <w:r>
              <w:rPr>
                <w:b/>
                <w:sz w:val="10"/>
              </w:rPr>
              <w:t>Hodnota</w:t>
            </w:r>
          </w:p>
        </w:tc>
        <w:tc>
          <w:tcPr>
            <w:tcW w:w="394" w:type="dxa"/>
            <w:tcBorders>
              <w:top w:val="single" w:sz="8" w:space="0" w:color="000000"/>
              <w:left w:val="nil"/>
              <w:bottom w:val="single" w:sz="8" w:space="0" w:color="000000"/>
              <w:right w:val="single" w:sz="8" w:space="0" w:color="000000"/>
            </w:tcBorders>
          </w:tcPr>
          <w:p w:rsidR="00B65B97" w:rsidRDefault="00B65B97">
            <w:pPr>
              <w:spacing w:after="160" w:line="259" w:lineRule="auto"/>
              <w:ind w:left="0" w:firstLine="0"/>
            </w:pPr>
          </w:p>
        </w:tc>
        <w:tc>
          <w:tcPr>
            <w:tcW w:w="2961"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0" w:right="17" w:firstLine="0"/>
              <w:jc w:val="center"/>
            </w:pPr>
            <w:r>
              <w:rPr>
                <w:b/>
                <w:sz w:val="10"/>
              </w:rPr>
              <w:t>Spôsob výpočtu hodnoty</w:t>
            </w:r>
          </w:p>
        </w:tc>
      </w:tr>
      <w:tr w:rsidR="00B65B97">
        <w:trPr>
          <w:trHeight w:val="476"/>
        </w:trPr>
        <w:tc>
          <w:tcPr>
            <w:tcW w:w="3975" w:type="dxa"/>
            <w:tcBorders>
              <w:top w:val="single" w:sz="8" w:space="0" w:color="000000"/>
              <w:left w:val="single" w:sz="8" w:space="0" w:color="000000"/>
              <w:bottom w:val="single" w:sz="9" w:space="0" w:color="000000"/>
              <w:right w:val="single" w:sz="2" w:space="0" w:color="000000"/>
            </w:tcBorders>
          </w:tcPr>
          <w:p w:rsidR="00B65B97" w:rsidRDefault="003A55AE">
            <w:pPr>
              <w:spacing w:after="0" w:line="259" w:lineRule="auto"/>
              <w:ind w:left="65" w:firstLine="0"/>
            </w:pPr>
            <w:r>
              <w:rPr>
                <w:sz w:val="11"/>
              </w:rPr>
              <w:t>kúpa časti podniku</w:t>
            </w:r>
          </w:p>
        </w:tc>
        <w:tc>
          <w:tcPr>
            <w:tcW w:w="2510" w:type="dxa"/>
            <w:tcBorders>
              <w:top w:val="single" w:sz="8" w:space="0" w:color="000000"/>
              <w:left w:val="single" w:sz="2" w:space="0" w:color="000000"/>
              <w:bottom w:val="single" w:sz="9" w:space="0" w:color="000000"/>
              <w:right w:val="nil"/>
            </w:tcBorders>
          </w:tcPr>
          <w:p w:rsidR="00B65B97" w:rsidRDefault="00B65B97">
            <w:pPr>
              <w:spacing w:after="160" w:line="259" w:lineRule="auto"/>
              <w:ind w:left="0" w:firstLine="0"/>
            </w:pPr>
          </w:p>
        </w:tc>
        <w:tc>
          <w:tcPr>
            <w:tcW w:w="394" w:type="dxa"/>
            <w:tcBorders>
              <w:top w:val="single" w:sz="8" w:space="0" w:color="000000"/>
              <w:left w:val="nil"/>
              <w:bottom w:val="single" w:sz="9" w:space="0" w:color="000000"/>
              <w:right w:val="single" w:sz="2" w:space="0" w:color="000000"/>
            </w:tcBorders>
          </w:tcPr>
          <w:p w:rsidR="00B65B97" w:rsidRDefault="003A55AE">
            <w:pPr>
              <w:spacing w:after="0" w:line="259" w:lineRule="auto"/>
              <w:ind w:left="0" w:firstLine="0"/>
              <w:jc w:val="both"/>
            </w:pPr>
            <w:r>
              <w:rPr>
                <w:sz w:val="11"/>
              </w:rPr>
              <w:t xml:space="preserve"> 83 677</w:t>
            </w:r>
          </w:p>
        </w:tc>
        <w:tc>
          <w:tcPr>
            <w:tcW w:w="2961" w:type="dxa"/>
            <w:tcBorders>
              <w:top w:val="single" w:sz="8" w:space="0" w:color="000000"/>
              <w:left w:val="single" w:sz="2" w:space="0" w:color="000000"/>
              <w:bottom w:val="single" w:sz="9" w:space="0" w:color="000000"/>
              <w:right w:val="single" w:sz="8" w:space="0" w:color="000000"/>
            </w:tcBorders>
          </w:tcPr>
          <w:p w:rsidR="00B65B97" w:rsidRDefault="003A55AE">
            <w:pPr>
              <w:spacing w:after="0" w:line="259" w:lineRule="auto"/>
              <w:ind w:left="41" w:right="41" w:firstLine="0"/>
            </w:pPr>
            <w:r>
              <w:rPr>
                <w:sz w:val="11"/>
              </w:rPr>
              <w:t>vypočítaný ako rozdiel medzi cenou trhovej hodnoty stanovenej znaleckým posudkom časti podniku a nákupnou cenou</w:t>
            </w:r>
          </w:p>
        </w:tc>
      </w:tr>
    </w:tbl>
    <w:p w:rsidR="00B65B97" w:rsidRDefault="003A55AE">
      <w:pPr>
        <w:spacing w:after="63" w:line="270" w:lineRule="auto"/>
        <w:ind w:left="-5" w:right="367"/>
      </w:pPr>
      <w:r>
        <w:rPr>
          <w:b/>
          <w:sz w:val="21"/>
        </w:rPr>
        <w:t>Čl. IV (2) Informácie o významných položkách derivátov</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(2) Pohyby v oceňovacích rozdieloch derivátov z ocenenia reálnou hodnotou počas účtovného obdobia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(2) Informácie o majetku a záväzkoch zabezpečených derivátmi</w:t>
      </w:r>
    </w:p>
    <w:p w:rsidR="00B65B97" w:rsidRDefault="003A55AE">
      <w:pPr>
        <w:ind w:left="25" w:right="181"/>
      </w:pPr>
      <w:r>
        <w:t>Účtovná jednotka nemá náplň pre túto položku.</w:t>
      </w:r>
    </w:p>
    <w:p w:rsidR="00B65B97" w:rsidRDefault="003A55AE">
      <w:pPr>
        <w:spacing w:after="63" w:line="270" w:lineRule="auto"/>
        <w:ind w:left="162" w:right="367"/>
      </w:pPr>
      <w:r>
        <w:rPr>
          <w:b/>
          <w:sz w:val="21"/>
        </w:rPr>
        <w:t>l. IV (3) Informácie o záväzkoch</w:t>
      </w:r>
    </w:p>
    <w:p w:rsidR="00B65B97" w:rsidRDefault="003A55AE">
      <w:pPr>
        <w:ind w:left="25" w:right="181"/>
      </w:pPr>
      <w:r>
        <w:lastRenderedPageBreak/>
        <w:t>Účtovná jednotka nemá náplň pre túto položku.</w:t>
      </w:r>
    </w:p>
    <w:p w:rsidR="00B65B97" w:rsidRDefault="003A55AE">
      <w:pPr>
        <w:spacing w:after="16" w:line="270" w:lineRule="auto"/>
        <w:ind w:left="-5" w:right="367"/>
      </w:pPr>
      <w:r>
        <w:rPr>
          <w:b/>
          <w:sz w:val="21"/>
        </w:rPr>
        <w:t>Čl. IV (3) a) Celková suma záväzkov so zostatkovou dobou splatnosti dlhšou ako päť rokov</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(3) b) Informácie o zabezpečených záväzkoch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Informácie o vlastných akciách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a) Dôvod nadobudnutia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nadobudnutých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prevedených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nadobudli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previedli na inú osobu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c) Počet, menovitá hodnota a protihodnota, za ktorú sa vlastné akcie nadobudli a ktoré účtovná jednotka má v držbe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(5) Informácie o sume a dôvodoch vzniku položiek nákladov a výnosov, ktoré majú výnimočný rozsah alebo výskyt</w:t>
      </w:r>
    </w:p>
    <w:p w:rsidR="00B65B97" w:rsidRDefault="003A55AE">
      <w:pPr>
        <w:ind w:left="25" w:right="181"/>
      </w:pPr>
      <w:r>
        <w:t>Účtovná jednotka nemá náplň pre túto položku.</w:t>
      </w:r>
    </w:p>
    <w:p w:rsidR="00B65B97" w:rsidRDefault="003A55AE">
      <w:pPr>
        <w:spacing w:after="16" w:line="458" w:lineRule="auto"/>
        <w:ind w:left="-5" w:right="3809"/>
      </w:pPr>
      <w:r>
        <w:rPr>
          <w:b/>
          <w:sz w:val="21"/>
        </w:rPr>
        <w:t>Čl. V Informácie o iných aktívach a iných pasívach Čl. V (1) Informácie k iným aktívam a iným pasívam</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a) Opis a hodnota podmieneného majetku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b) Opis a hodnota podmienených záväzkov</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(2) Významné položky ostatných finančných povinností nevykázaných v súvahe</w:t>
      </w:r>
    </w:p>
    <w:p w:rsidR="00B65B97" w:rsidRDefault="003A55AE">
      <w:pPr>
        <w:ind w:left="25" w:right="181"/>
      </w:pPr>
      <w:r>
        <w:t>Účtovná jednotka nemá náplň pre túto položku.</w:t>
      </w:r>
    </w:p>
    <w:p w:rsidR="00B65B97" w:rsidRDefault="003A55AE">
      <w:pPr>
        <w:pStyle w:val="Heading1"/>
        <w:spacing w:after="63"/>
        <w:ind w:right="367"/>
      </w:pPr>
      <w:r>
        <w:t>l. V (3) Informácie k údajom sledovaných na podsúvahových účtoch</w:t>
      </w:r>
    </w:p>
    <w:p w:rsidR="00B65B97" w:rsidRDefault="003A55AE">
      <w:pPr>
        <w:spacing w:after="158"/>
        <w:ind w:left="25" w:right="181"/>
      </w:pPr>
      <w:r>
        <w:t>Účtovná jednotka má operatívny lízing na autá a nájomnú zmluvu na kancelárske priestory.</w:t>
      </w:r>
    </w:p>
    <w:p w:rsidR="00B65B97" w:rsidRDefault="003A55AE">
      <w:pPr>
        <w:spacing w:after="0"/>
        <w:ind w:left="25" w:right="181"/>
      </w:pPr>
      <w:r>
        <w:t>Čl. V (3) Informácie k údajom sledovaných na podsúvahových účtoch</w:t>
      </w:r>
    </w:p>
    <w:tbl>
      <w:tblPr>
        <w:tblStyle w:val="TableGrid"/>
        <w:tblW w:w="9825" w:type="dxa"/>
        <w:tblInd w:w="55" w:type="dxa"/>
        <w:tblCellMar>
          <w:top w:w="63" w:type="dxa"/>
          <w:left w:w="50" w:type="dxa"/>
          <w:right w:w="63" w:type="dxa"/>
        </w:tblCellMar>
        <w:tblLook w:val="04A0" w:firstRow="1" w:lastRow="0" w:firstColumn="1" w:lastColumn="0" w:noHBand="0" w:noVBand="1"/>
      </w:tblPr>
      <w:tblGrid>
        <w:gridCol w:w="5187"/>
        <w:gridCol w:w="2277"/>
        <w:gridCol w:w="2361"/>
      </w:tblGrid>
      <w:tr w:rsidR="00B65B97">
        <w:trPr>
          <w:trHeight w:val="369"/>
        </w:trPr>
        <w:tc>
          <w:tcPr>
            <w:tcW w:w="518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0" w:right="21" w:firstLine="0"/>
              <w:jc w:val="center"/>
            </w:pPr>
            <w:r>
              <w:rPr>
                <w:b/>
                <w:sz w:val="10"/>
              </w:rPr>
              <w:lastRenderedPageBreak/>
              <w:t>Názov položky</w:t>
            </w:r>
          </w:p>
        </w:tc>
        <w:tc>
          <w:tcPr>
            <w:tcW w:w="2277"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0" w:right="4" w:firstLine="0"/>
              <w:jc w:val="center"/>
            </w:pPr>
            <w:r>
              <w:rPr>
                <w:b/>
                <w:sz w:val="10"/>
              </w:rPr>
              <w:t>Bežné účtovné obdobie</w:t>
            </w:r>
          </w:p>
        </w:tc>
        <w:tc>
          <w:tcPr>
            <w:tcW w:w="236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742" w:hanging="370"/>
            </w:pPr>
            <w:r>
              <w:rPr>
                <w:b/>
                <w:sz w:val="10"/>
              </w:rPr>
              <w:t>Bezprostredne predchádzajúce účtovné obdobie</w:t>
            </w:r>
          </w:p>
        </w:tc>
      </w:tr>
      <w:tr w:rsidR="00B65B97">
        <w:trPr>
          <w:trHeight w:val="241"/>
        </w:trPr>
        <w:tc>
          <w:tcPr>
            <w:tcW w:w="518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Prenajatý majetok</w:t>
            </w:r>
          </w:p>
        </w:tc>
        <w:tc>
          <w:tcPr>
            <w:tcW w:w="2277" w:type="dxa"/>
            <w:tcBorders>
              <w:top w:val="single" w:sz="8"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8"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v nájme (operatívny prenájom)</w:t>
            </w:r>
          </w:p>
        </w:tc>
        <w:tc>
          <w:tcPr>
            <w:tcW w:w="2277" w:type="dxa"/>
            <w:tcBorders>
              <w:top w:val="single" w:sz="2" w:space="0" w:color="000000"/>
              <w:left w:val="single" w:sz="2" w:space="0" w:color="000000"/>
              <w:bottom w:val="single" w:sz="2" w:space="0" w:color="000000"/>
              <w:right w:val="single" w:sz="2" w:space="0" w:color="000000"/>
            </w:tcBorders>
          </w:tcPr>
          <w:p w:rsidR="00B65B97" w:rsidRDefault="00A67DA2">
            <w:pPr>
              <w:spacing w:after="0" w:line="259" w:lineRule="auto"/>
              <w:ind w:left="0" w:firstLine="0"/>
              <w:jc w:val="right"/>
            </w:pPr>
            <w:r>
              <w:rPr>
                <w:sz w:val="11"/>
              </w:rPr>
              <w:t>132 328</w:t>
            </w:r>
          </w:p>
        </w:tc>
        <w:tc>
          <w:tcPr>
            <w:tcW w:w="2361" w:type="dxa"/>
            <w:tcBorders>
              <w:top w:val="single" w:sz="2" w:space="0" w:color="000000"/>
              <w:left w:val="single" w:sz="2" w:space="0" w:color="000000"/>
              <w:bottom w:val="single" w:sz="2" w:space="0" w:color="000000"/>
              <w:right w:val="single" w:sz="8" w:space="0" w:color="000000"/>
            </w:tcBorders>
          </w:tcPr>
          <w:p w:rsidR="00B65B97" w:rsidRDefault="002B5312">
            <w:pPr>
              <w:spacing w:after="0" w:line="259" w:lineRule="auto"/>
              <w:ind w:left="0" w:right="59" w:firstLine="0"/>
              <w:jc w:val="right"/>
            </w:pPr>
            <w:r>
              <w:rPr>
                <w:sz w:val="11"/>
              </w:rPr>
              <w:t>132 328</w:t>
            </w: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prijatý do úschovy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opcií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Odpísané pohľadávky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vAlign w:val="center"/>
          </w:tcPr>
          <w:p w:rsidR="00B65B97" w:rsidRDefault="00B65B97">
            <w:pPr>
              <w:spacing w:after="160" w:line="259" w:lineRule="auto"/>
              <w:ind w:left="0" w:firstLine="0"/>
            </w:pPr>
          </w:p>
        </w:tc>
      </w:tr>
      <w:tr w:rsidR="00B65B97">
        <w:trPr>
          <w:trHeight w:val="258"/>
        </w:trPr>
        <w:tc>
          <w:tcPr>
            <w:tcW w:w="518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0" w:firstLine="0"/>
            </w:pPr>
            <w:r>
              <w:rPr>
                <w:sz w:val="11"/>
              </w:rPr>
              <w:t>Iné položky - nájom kancelárskych priestorov</w:t>
            </w:r>
          </w:p>
        </w:tc>
        <w:tc>
          <w:tcPr>
            <w:tcW w:w="2277"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0" w:firstLine="0"/>
              <w:jc w:val="right"/>
            </w:pPr>
            <w:r>
              <w:rPr>
                <w:sz w:val="11"/>
              </w:rPr>
              <w:t xml:space="preserve"> 33 413</w:t>
            </w:r>
          </w:p>
        </w:tc>
        <w:tc>
          <w:tcPr>
            <w:tcW w:w="2361" w:type="dxa"/>
            <w:tcBorders>
              <w:top w:val="single" w:sz="2" w:space="0" w:color="000000"/>
              <w:left w:val="single" w:sz="2" w:space="0" w:color="000000"/>
              <w:bottom w:val="single" w:sz="9" w:space="0" w:color="000000"/>
              <w:right w:val="single" w:sz="8" w:space="0" w:color="000000"/>
            </w:tcBorders>
          </w:tcPr>
          <w:p w:rsidR="00B65B97" w:rsidRDefault="003A55AE" w:rsidP="00914041">
            <w:pPr>
              <w:spacing w:after="0" w:line="259" w:lineRule="auto"/>
              <w:ind w:left="0" w:right="60" w:firstLine="0"/>
              <w:jc w:val="right"/>
            </w:pPr>
            <w:r>
              <w:rPr>
                <w:sz w:val="11"/>
              </w:rPr>
              <w:t xml:space="preserve"> </w:t>
            </w:r>
            <w:r w:rsidR="00914041">
              <w:rPr>
                <w:sz w:val="11"/>
              </w:rPr>
              <w:t>33 413</w:t>
            </w:r>
          </w:p>
        </w:tc>
      </w:tr>
    </w:tbl>
    <w:p w:rsidR="00B65B97" w:rsidRDefault="003A55AE">
      <w:pPr>
        <w:spacing w:after="16" w:line="270" w:lineRule="auto"/>
        <w:ind w:left="-5" w:right="367"/>
      </w:pPr>
      <w:r>
        <w:rPr>
          <w:b/>
          <w:sz w:val="21"/>
        </w:rPr>
        <w:t>Čl. VI Informácie, ktoré nastali po dni, ku ktorému sa zostavuje účtovná závierka do dňa zostavenia účtovnej závierky</w:t>
      </w:r>
    </w:p>
    <w:p w:rsidR="00B65B97" w:rsidRDefault="003A55AE">
      <w:pPr>
        <w:ind w:left="25" w:right="181"/>
      </w:pPr>
      <w:r>
        <w:t>Účtovná jednotka nemá náplň pre túto položku.</w:t>
      </w:r>
      <w:bookmarkStart w:id="0" w:name="_GoBack"/>
      <w:bookmarkEnd w:id="0"/>
    </w:p>
    <w:p w:rsidR="00B65B97" w:rsidRDefault="003A55AE">
      <w:pPr>
        <w:spacing w:after="63" w:line="270" w:lineRule="auto"/>
        <w:ind w:left="-5" w:right="367"/>
      </w:pPr>
      <w:r>
        <w:rPr>
          <w:b/>
          <w:sz w:val="21"/>
        </w:rPr>
        <w:t>Čl. VII  Ostatné informácie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(1) Informácie o udelení výlučného práva alebo osobitného práva, ktorým sa udelilo právo poskytovať služby vo verejnom záujme a iných zároveň vykonávajúcich činnostiach</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Ostatné informácie o účtovnej jednotke, na ktorú sa vzťahuje § 23d ods. 6 zákona, ktorej činnosť je zaradená do kategórie priemyselnej výroby a ktorej čistý obrat bol väčší ako 250 000 000 eur</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a) Zloženie a výška základného imania pripadajúceho na orgány verejnej moci a iné osoby</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b) Cenné papiere vo vlastníctve orgánov verejnej moci a iných osôb</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c) Výška dotácií a návratných finančných výpomocí</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d) Informácie o prijatých úveroch, poskytnutých prečerpaniach úverov, prijatých kapitálových príspevkoch, podmienky poskytnutia úveru a zárukách poskytnutých účtovnou jednotkou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e) Záruky poskytnuté orgánom verejnej moci a záruky poskytnuté inou účtovnou jednotkou, podmienky poskytnutia a náklady na získanie</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f) Informácie o vyplatených dividendách a výške nerozdeleného zisku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g) Informácie o iných formách prijatej štátnej pomoci</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lastRenderedPageBreak/>
        <w:t>l. VII (3) Informácie o finančných vzťahoch medzi orgánom verejnej moci a účtovnou jednotkou</w:t>
      </w:r>
    </w:p>
    <w:p w:rsidR="00B65B97" w:rsidRDefault="003A55AE">
      <w:pPr>
        <w:ind w:left="25" w:right="181"/>
      </w:pPr>
      <w:r>
        <w:t>Účtovná jednotka nemá náplň pre túto položku.</w:t>
      </w:r>
    </w:p>
    <w:p w:rsidR="00B65B97" w:rsidRDefault="003A55AE">
      <w:pPr>
        <w:pStyle w:val="Heading1"/>
        <w:spacing w:after="63"/>
        <w:ind w:left="-5" w:right="367"/>
      </w:pPr>
      <w:r>
        <w:t>Miesto pre ďalšie záznamy</w:t>
      </w:r>
    </w:p>
    <w:p w:rsidR="00B65B97" w:rsidRDefault="003A55AE">
      <w:pPr>
        <w:ind w:left="25" w:right="181"/>
      </w:pPr>
      <w:r>
        <w:t>Účtovná jednotka nemá náplň pre túto položku.</w:t>
      </w:r>
    </w:p>
    <w:sectPr w:rsidR="00B65B97">
      <w:headerReference w:type="even" r:id="rId7"/>
      <w:headerReference w:type="default" r:id="rId8"/>
      <w:footerReference w:type="even" r:id="rId9"/>
      <w:footerReference w:type="default" r:id="rId10"/>
      <w:headerReference w:type="first" r:id="rId11"/>
      <w:footerReference w:type="first" r:id="rId12"/>
      <w:pgSz w:w="11900" w:h="16820"/>
      <w:pgMar w:top="1182" w:right="2102" w:bottom="1195" w:left="702" w:header="613" w:footer="762"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6576" w:rsidRDefault="003A55AE">
      <w:pPr>
        <w:spacing w:after="0" w:line="240" w:lineRule="auto"/>
      </w:pPr>
      <w:r>
        <w:separator/>
      </w:r>
    </w:p>
  </w:endnote>
  <w:endnote w:type="continuationSeparator" w:id="0">
    <w:p w:rsidR="00F46576" w:rsidRDefault="003A55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 xml:space="preserve">Vytvorené v programe OMEGA - podvojné účtovníctvo a legislatíva bez starostí. © KROS </w:t>
    </w:r>
    <w:proofErr w:type="spellStart"/>
    <w:r>
      <w:rPr>
        <w:sz w:val="12"/>
      </w:rPr>
      <w:t>a.s</w:t>
    </w:r>
    <w:proofErr w:type="spellEnd"/>
    <w:r>
      <w:rPr>
        <w:sz w:val="12"/>
      </w:rPr>
      <w:t>., www.kros.sk/omega</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4</w:t>
    </w:r>
    <w:r>
      <w:rPr>
        <w:b/>
        <w:sz w:val="14"/>
      </w:rPr>
      <w:fldChar w:fldCharType="end"/>
    </w:r>
  </w:p>
  <w:p w:rsidR="00B65B97" w:rsidRDefault="003A55AE">
    <w:pPr>
      <w:spacing w:after="0" w:line="259" w:lineRule="auto"/>
      <w:ind w:left="823" w:firstLine="0"/>
      <w:jc w:val="center"/>
    </w:pPr>
    <w:r>
      <w:rPr>
        <w:sz w:val="12"/>
      </w:rPr>
      <w:t xml:space="preserve">Vytvorené v programe OMEGA - podvojné účtovníctvo a legislatíva bez starostí. © KROS </w:t>
    </w:r>
    <w:proofErr w:type="spellStart"/>
    <w:r>
      <w:rPr>
        <w:sz w:val="12"/>
      </w:rPr>
      <w:t>a.s</w:t>
    </w:r>
    <w:proofErr w:type="spellEnd"/>
    <w:r>
      <w:rPr>
        <w:sz w:val="12"/>
      </w:rPr>
      <w:t>., www.kros.sk/omega</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 xml:space="preserve">Vytvorené v programe OMEGA - podvojné účtovníctvo a legislatíva bez starostí. © KROS </w:t>
    </w:r>
    <w:proofErr w:type="spellStart"/>
    <w:r>
      <w:rPr>
        <w:sz w:val="12"/>
      </w:rPr>
      <w:t>a.s</w:t>
    </w:r>
    <w:proofErr w:type="spellEnd"/>
    <w:r>
      <w:rPr>
        <w:sz w:val="12"/>
      </w:rPr>
      <w:t>., www.kros.sk/omega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6576" w:rsidRDefault="003A55AE">
      <w:pPr>
        <w:spacing w:after="0" w:line="240" w:lineRule="auto"/>
      </w:pPr>
      <w:r>
        <w:separator/>
      </w:r>
    </w:p>
  </w:footnote>
  <w:footnote w:type="continuationSeparator" w:id="0">
    <w:p w:rsidR="00F46576" w:rsidRDefault="003A55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B65B97">
    <w:pPr>
      <w:spacing w:after="0" w:line="259" w:lineRule="auto"/>
      <w:ind w:left="0"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DD6984"/>
    <w:multiLevelType w:val="hybridMultilevel"/>
    <w:tmpl w:val="7E309730"/>
    <w:lvl w:ilvl="0" w:tplc="ADE0186C">
      <w:start w:val="1"/>
      <w:numFmt w:val="bullet"/>
      <w:lvlText w:val=""/>
      <w:lvlJc w:val="left"/>
      <w:pPr>
        <w:ind w:left="375"/>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1" w:tplc="70F28BE4">
      <w:start w:val="1"/>
      <w:numFmt w:val="bullet"/>
      <w:lvlText w:val="o"/>
      <w:lvlJc w:val="left"/>
      <w:pPr>
        <w:ind w:left="11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2" w:tplc="3AC63166">
      <w:start w:val="1"/>
      <w:numFmt w:val="bullet"/>
      <w:lvlText w:val="▪"/>
      <w:lvlJc w:val="left"/>
      <w:pPr>
        <w:ind w:left="18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3" w:tplc="7144DA32">
      <w:start w:val="1"/>
      <w:numFmt w:val="bullet"/>
      <w:lvlText w:val="•"/>
      <w:lvlJc w:val="left"/>
      <w:pPr>
        <w:ind w:left="25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4" w:tplc="6932148E">
      <w:start w:val="1"/>
      <w:numFmt w:val="bullet"/>
      <w:lvlText w:val="o"/>
      <w:lvlJc w:val="left"/>
      <w:pPr>
        <w:ind w:left="327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5" w:tplc="0A804B5E">
      <w:start w:val="1"/>
      <w:numFmt w:val="bullet"/>
      <w:lvlText w:val="▪"/>
      <w:lvlJc w:val="left"/>
      <w:pPr>
        <w:ind w:left="399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6" w:tplc="D1680B44">
      <w:start w:val="1"/>
      <w:numFmt w:val="bullet"/>
      <w:lvlText w:val="•"/>
      <w:lvlJc w:val="left"/>
      <w:pPr>
        <w:ind w:left="47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7" w:tplc="74E4B702">
      <w:start w:val="1"/>
      <w:numFmt w:val="bullet"/>
      <w:lvlText w:val="o"/>
      <w:lvlJc w:val="left"/>
      <w:pPr>
        <w:ind w:left="54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8" w:tplc="5AFCDC88">
      <w:start w:val="1"/>
      <w:numFmt w:val="bullet"/>
      <w:lvlText w:val="▪"/>
      <w:lvlJc w:val="left"/>
      <w:pPr>
        <w:ind w:left="61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B97"/>
    <w:rsid w:val="002B5312"/>
    <w:rsid w:val="003A55AE"/>
    <w:rsid w:val="00914041"/>
    <w:rsid w:val="00A67DA2"/>
    <w:rsid w:val="00B65B97"/>
    <w:rsid w:val="00F465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D6ED54-68B5-4F74-8CA1-C5E05865A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56" w:line="268" w:lineRule="auto"/>
      <w:ind w:left="40" w:hanging="10"/>
    </w:pPr>
    <w:rPr>
      <w:rFonts w:ascii="Arial" w:eastAsia="Arial" w:hAnsi="Arial" w:cs="Arial"/>
      <w:color w:val="000000"/>
      <w:sz w:val="13"/>
    </w:rPr>
  </w:style>
  <w:style w:type="paragraph" w:styleId="Heading1">
    <w:name w:val="heading 1"/>
    <w:next w:val="Normal"/>
    <w:link w:val="Heading1Char"/>
    <w:uiPriority w:val="9"/>
    <w:unhideWhenUsed/>
    <w:qFormat/>
    <w:pPr>
      <w:keepNext/>
      <w:keepLines/>
      <w:spacing w:after="16" w:line="270" w:lineRule="auto"/>
      <w:ind w:left="162" w:hanging="10"/>
      <w:outlineLvl w:val="0"/>
    </w:pPr>
    <w:rPr>
      <w:rFonts w:ascii="Arial" w:eastAsia="Arial" w:hAnsi="Arial" w:cs="Arial"/>
      <w:b/>
      <w:color w:val="000000"/>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2B53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5312"/>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7</Pages>
  <Words>2321</Words>
  <Characters>13231</Characters>
  <Application>Microsoft Office Word</Application>
  <DocSecurity>0</DocSecurity>
  <Lines>110</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Ferring</Company>
  <LinksUpToDate>false</LinksUpToDate>
  <CharactersWithSpaces>15521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Briestenska, Lenka CONS</dc:creator>
  <cp:keywords/>
  <cp:lastModifiedBy>Mikulkova, Lucia CONS</cp:lastModifiedBy>
  <cp:revision>4</cp:revision>
  <cp:lastPrinted>2018-03-05T16:32:00Z</cp:lastPrinted>
  <dcterms:created xsi:type="dcterms:W3CDTF">2017-03-09T15:47:00Z</dcterms:created>
  <dcterms:modified xsi:type="dcterms:W3CDTF">2018-03-05T16:32:00Z</dcterms:modified>
</cp:coreProperties>
</file>