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6"/>
        </w:rPr>
      </w:pPr>
      <w:r>
        <w:rPr>
          <w:b/>
          <w:sz w:val="36"/>
        </w:rPr>
        <w:t xml:space="preserve">Poznámky k 31.12.2017 </w:t>
      </w:r>
    </w:p>
    <w:p>
      <w:pPr>
        <w:pStyle w:val="Normal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Normal"/>
        <w:numPr>
          <w:ilvl w:val="0"/>
          <w:numId w:val="27"/>
        </w:numPr>
        <w:tabs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70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780"/>
        <w:gridCol w:w="5489"/>
      </w:tblGrid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Technické služby Veľký Šariš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sv. Jakuba 1, 082 21 Veľký Šariš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50323148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color w:val="000000"/>
                <w:sz w:val="24"/>
                <w:szCs w:val="24"/>
              </w:rPr>
              <w:t xml:space="preserve">01.05.2016 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rozhodnutím zriaďovateľa v súlade so zákonom o rozpočtových pravidlách verejnej správy 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Veľký Šariš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sv. Jakuba 1, 082 21 Veľký Šariš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263_66672351"/>
            <w:bookmarkStart w:id="1" w:name="__Fieldmark__30_296393501"/>
            <w:bookmarkStart w:id="2" w:name="__Fieldmark__0_2039472611"/>
            <w:bookmarkStart w:id="3" w:name="__Fieldmark__23_1092626909"/>
            <w:bookmarkStart w:id="4" w:name="__Fieldmark__263_66672351"/>
            <w:bookmarkStart w:id="5" w:name="__Fieldmark__263_66672351"/>
            <w:bookmarkEnd w:id="1"/>
            <w:bookmarkEnd w:id="2"/>
            <w:bookmarkEnd w:id="3"/>
            <w:bookmarkEnd w:id="5"/>
            <w:r>
              <w:rPr/>
            </w:r>
            <w: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79_66672351"/>
            <w:bookmarkStart w:id="7" w:name="__Fieldmark__43_296393501"/>
            <w:bookmarkStart w:id="8" w:name="__Fieldmark__1_2039472611"/>
            <w:bookmarkStart w:id="9" w:name="__Fieldmark__33_1092626909"/>
            <w:bookmarkStart w:id="10" w:name="__Fieldmark__279_66672351"/>
            <w:bookmarkStart w:id="11" w:name="__Fieldmark__279_66672351"/>
            <w:bookmarkEnd w:id="7"/>
            <w:bookmarkEnd w:id="8"/>
            <w:bookmarkEnd w:id="9"/>
            <w:bookmarkEnd w:id="11"/>
            <w:r>
              <w:rPr/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295_66672351"/>
            <w:bookmarkStart w:id="13" w:name="__Fieldmark__56_296393501"/>
            <w:bookmarkStart w:id="14" w:name="__Fieldmark__2_2039472611"/>
            <w:bookmarkStart w:id="15" w:name="__Fieldmark__43_1092626909"/>
            <w:bookmarkStart w:id="16" w:name="__Fieldmark__295_66672351"/>
            <w:bookmarkStart w:id="17" w:name="__Fieldmark__295_66672351"/>
            <w:bookmarkEnd w:id="13"/>
            <w:bookmarkEnd w:id="14"/>
            <w:bookmarkEnd w:id="15"/>
            <w:bookmarkEnd w:id="17"/>
            <w:r>
              <w:rPr/>
            </w:r>
            <w: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311_66672351"/>
            <w:bookmarkStart w:id="19" w:name="__Fieldmark__69_296393501"/>
            <w:bookmarkStart w:id="20" w:name="__Fieldmark__3_2039472611"/>
            <w:bookmarkStart w:id="21" w:name="__Fieldmark__53_1092626909"/>
            <w:bookmarkStart w:id="22" w:name="__Fieldmark__311_66672351"/>
            <w:bookmarkStart w:id="23" w:name="__Fieldmark__311_66672351"/>
            <w:bookmarkEnd w:id="19"/>
            <w:bookmarkEnd w:id="20"/>
            <w:bookmarkEnd w:id="21"/>
            <w:bookmarkEnd w:id="23"/>
            <w:r>
              <w:rPr/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4" w:name="__Fieldmark__327_66672351"/>
            <w:bookmarkStart w:id="25" w:name="__Fieldmark__82_296393501"/>
            <w:bookmarkStart w:id="26" w:name="__Fieldmark__4_2039472611"/>
            <w:bookmarkStart w:id="27" w:name="__Fieldmark__63_1092626909"/>
            <w:bookmarkStart w:id="28" w:name="__Fieldmark__327_66672351"/>
            <w:bookmarkStart w:id="29" w:name="__Fieldmark__327_66672351"/>
            <w:bookmarkEnd w:id="25"/>
            <w:bookmarkEnd w:id="26"/>
            <w:bookmarkEnd w:id="27"/>
            <w:bookmarkEnd w:id="29"/>
            <w:r>
              <w:rPr/>
            </w:r>
            <w: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0" w:name="__Fieldmark__343_66672351"/>
            <w:bookmarkStart w:id="31" w:name="__Fieldmark__95_296393501"/>
            <w:bookmarkStart w:id="32" w:name="__Fieldmark__5_2039472611"/>
            <w:bookmarkStart w:id="33" w:name="__Fieldmark__73_1092626909"/>
            <w:bookmarkStart w:id="34" w:name="__Fieldmark__343_66672351"/>
            <w:bookmarkStart w:id="35" w:name="__Fieldmark__343_66672351"/>
            <w:bookmarkEnd w:id="31"/>
            <w:bookmarkEnd w:id="32"/>
            <w:bookmarkEnd w:id="33"/>
            <w:bookmarkEnd w:id="35"/>
            <w:r>
              <w:rPr/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7"/>
        </w:numPr>
        <w:tabs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70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780"/>
        <w:gridCol w:w="5489"/>
      </w:tblGrid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  <w:lang w:val="en-US"/>
              </w:rPr>
              <w:t xml:space="preserve">) </w:t>
            </w:r>
            <w:r>
              <w:rPr>
                <w:sz w:val="20"/>
                <w:szCs w:val="20"/>
                <w:lang w:val="sk-SK"/>
              </w:rPr>
              <w:t>oprava a údržba mestských komunikácií a verejných priestranstiev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k-SK"/>
              </w:rPr>
              <w:t>b</w:t>
            </w:r>
            <w:r>
              <w:rPr>
                <w:sz w:val="20"/>
                <w:szCs w:val="20"/>
                <w:lang w:val="en-US"/>
              </w:rPr>
              <w:t xml:space="preserve">) oprava a </w:t>
            </w:r>
            <w:r>
              <w:rPr>
                <w:sz w:val="20"/>
                <w:szCs w:val="20"/>
                <w:lang w:val="sk-SK"/>
              </w:rPr>
              <w:t>údržba verejného osvetlenia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k-SK"/>
              </w:rPr>
              <w:t>c</w:t>
            </w:r>
            <w:r>
              <w:rPr>
                <w:sz w:val="20"/>
                <w:szCs w:val="20"/>
                <w:lang w:val="en-US"/>
              </w:rPr>
              <w:t xml:space="preserve">) </w:t>
            </w:r>
            <w:r>
              <w:rPr>
                <w:sz w:val="20"/>
                <w:szCs w:val="20"/>
                <w:lang w:val="sk-SK"/>
              </w:rPr>
              <w:t>údržba verejnej zelene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k-SK"/>
              </w:rPr>
              <w:t>d</w:t>
            </w:r>
            <w:r>
              <w:rPr>
                <w:sz w:val="20"/>
                <w:szCs w:val="20"/>
                <w:lang w:val="en-US"/>
              </w:rPr>
              <w:t xml:space="preserve">) </w:t>
            </w:r>
            <w:r>
              <w:rPr>
                <w:sz w:val="20"/>
                <w:szCs w:val="20"/>
                <w:lang w:val="sk-SK"/>
              </w:rPr>
              <w:t>čistenie mesta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k-SK"/>
              </w:rPr>
              <w:t>e</w:t>
            </w:r>
            <w:r>
              <w:rPr>
                <w:sz w:val="20"/>
                <w:szCs w:val="20"/>
                <w:lang w:val="en-US"/>
              </w:rPr>
              <w:t xml:space="preserve">) </w:t>
            </w:r>
            <w:r>
              <w:rPr>
                <w:sz w:val="20"/>
                <w:szCs w:val="20"/>
                <w:lang w:val="sk-SK"/>
              </w:rPr>
              <w:t>nakladanie s komunálnym odpadom a drobným stavebným odpadom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k-SK"/>
              </w:rPr>
              <w:t>f</w:t>
            </w:r>
            <w:r>
              <w:rPr>
                <w:sz w:val="20"/>
                <w:szCs w:val="20"/>
                <w:lang w:val="en-US"/>
              </w:rPr>
              <w:t xml:space="preserve">) </w:t>
            </w:r>
            <w:r>
              <w:rPr>
                <w:sz w:val="20"/>
                <w:szCs w:val="20"/>
                <w:lang w:val="sk-SK"/>
              </w:rPr>
              <w:t>správa a údržba majetku zriaďovateľa súvisiaceho s činnosťou príspevkovej organizácie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k-SK"/>
              </w:rPr>
              <w:t>g</w:t>
            </w:r>
            <w:r>
              <w:rPr>
                <w:sz w:val="20"/>
                <w:szCs w:val="20"/>
                <w:lang w:val="en-US"/>
              </w:rPr>
              <w:t xml:space="preserve">) </w:t>
            </w:r>
            <w:r>
              <w:rPr>
                <w:sz w:val="20"/>
                <w:szCs w:val="20"/>
                <w:lang w:val="sk-SK"/>
              </w:rPr>
              <w:t>správa a údržba ostatného majetku vo vlastníctve zriaďovateľa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k-SK"/>
              </w:rPr>
              <w:t>h</w:t>
            </w:r>
            <w:r>
              <w:rPr>
                <w:sz w:val="20"/>
                <w:szCs w:val="20"/>
                <w:lang w:val="en-US"/>
              </w:rPr>
              <w:t xml:space="preserve">) </w:t>
            </w:r>
            <w:r>
              <w:rPr>
                <w:sz w:val="20"/>
                <w:szCs w:val="20"/>
                <w:lang w:val="sk-SK"/>
              </w:rPr>
              <w:t>ostatné služby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k-SK"/>
              </w:rPr>
              <w:t>i</w:t>
            </w:r>
            <w:r>
              <w:rPr>
                <w:sz w:val="20"/>
                <w:szCs w:val="20"/>
                <w:lang w:val="en-US"/>
              </w:rPr>
              <w:t xml:space="preserve">) </w:t>
            </w:r>
            <w:r>
              <w:rPr>
                <w:sz w:val="20"/>
                <w:szCs w:val="20"/>
                <w:lang w:val="sk-SK"/>
              </w:rPr>
              <w:t>verejnoprospešné činnosti a služby pre mestom zriadené organizácie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highlight w:val="white"/>
                <w:shd w:fill="FFFFFF" w:val="clear"/>
                <w:lang w:val="sk-SK"/>
              </w:rPr>
              <w:t>j</w:t>
            </w:r>
            <w:r>
              <w:rPr>
                <w:color w:val="000000"/>
                <w:sz w:val="20"/>
                <w:szCs w:val="20"/>
                <w:highlight w:val="white"/>
                <w:shd w:fill="FFFFFF" w:val="clear"/>
                <w:lang w:val="en-US"/>
              </w:rPr>
              <w:t xml:space="preserve">) </w:t>
            </w:r>
            <w:r>
              <w:rPr>
                <w:color w:val="000000"/>
                <w:sz w:val="20"/>
                <w:szCs w:val="20"/>
                <w:highlight w:val="white"/>
                <w:shd w:fill="FFFFFF" w:val="clear"/>
                <w:lang w:val="sk-SK"/>
              </w:rPr>
              <w:t>vykonávanie drobných a jednoduchých stavieb, stavebných úprav, prípravných a dokončovacích prác</w:t>
            </w:r>
          </w:p>
          <w:p>
            <w:pPr>
              <w:pStyle w:val="Normal"/>
              <w:rPr>
                <w:sz w:val="20"/>
                <w:szCs w:val="20"/>
                <w:highlight w:val="white"/>
                <w:lang w:val="sk-SK"/>
              </w:rPr>
            </w:pPr>
            <w:r>
              <w:rPr>
                <w:sz w:val="20"/>
                <w:szCs w:val="20"/>
                <w:highlight w:val="white"/>
                <w:lang w:val="sk-SK"/>
              </w:rPr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7"/>
        </w:numPr>
        <w:tabs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70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780"/>
        <w:gridCol w:w="5489"/>
      </w:tblGrid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Slavomír Čurný</w:t>
            </w:r>
          </w:p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príspevkovej organizácie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>
            <w:pPr>
              <w:pStyle w:val="Normal"/>
              <w:numPr>
                <w:ilvl w:val="0"/>
                <w:numId w:val="2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28"/>
              </w:numPr>
              <w:ind w:left="176" w:hanging="142"/>
              <w:rPr/>
            </w:pPr>
            <w:r>
              <w:rPr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28"/>
              </w:numPr>
              <w:ind w:left="176" w:hanging="142"/>
              <w:rPr/>
            </w:pPr>
            <w:r>
              <w:rPr>
                <w:sz w:val="24"/>
                <w:szCs w:val="24"/>
              </w:rPr>
              <w:t xml:space="preserve">príspevkové  organizácie zriadené účtovnou jednotkou 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28"/>
              </w:numPr>
              <w:ind w:left="176" w:hanging="142"/>
              <w:rPr/>
            </w:pPr>
            <w:r>
              <w:rPr>
                <w:sz w:val="24"/>
                <w:szCs w:val="24"/>
              </w:rPr>
              <w:t xml:space="preserve">neziskové organizácie založené/zriadené  účtovnou jednotkou 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28"/>
              </w:numPr>
              <w:ind w:left="176" w:hanging="142"/>
              <w:rPr/>
            </w:pPr>
            <w:r>
              <w:rPr>
                <w:sz w:val="24"/>
                <w:szCs w:val="24"/>
              </w:rPr>
              <w:t xml:space="preserve">právnické osoby založené účtovnou jednotkou 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28"/>
              </w:numPr>
              <w:ind w:left="176" w:hanging="142"/>
              <w:rPr/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5"/>
        </w:numPr>
        <w:tabs>
          <w:tab w:val="left" w:pos="284" w:leader="none"/>
        </w:tabs>
        <w:ind w:left="284" w:hanging="284"/>
        <w:jc w:val="both"/>
        <w:rPr/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;Tahoma"/>
          <w:b/>
          <w:bCs/>
          <w:sz w:val="22"/>
          <w:szCs w:val="22"/>
          <w:lang w:bidi="zxx"/>
        </w:rPr>
        <w:t xml:space="preserve">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6" w:name="__Fieldmark__509_66672351"/>
      <w:bookmarkStart w:id="37" w:name="__Fieldmark__259_296393501"/>
      <w:bookmarkStart w:id="38" w:name="__Fieldmark__6_2039472611"/>
      <w:bookmarkStart w:id="39" w:name="__Fieldmark__201_1092626909"/>
      <w:bookmarkStart w:id="40" w:name="__Fieldmark__509_66672351"/>
      <w:bookmarkStart w:id="41" w:name="__Fieldmark__509_66672351"/>
      <w:bookmarkEnd w:id="37"/>
      <w:bookmarkEnd w:id="38"/>
      <w:bookmarkEnd w:id="39"/>
      <w:bookmarkEnd w:id="41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2" w:name="__Fieldmark__523_66672351"/>
      <w:bookmarkStart w:id="43" w:name="__Fieldmark__270_296393501"/>
      <w:bookmarkStart w:id="44" w:name="__Fieldmark__7_2039472611"/>
      <w:bookmarkStart w:id="45" w:name="__Fieldmark__209_1092626909"/>
      <w:bookmarkStart w:id="46" w:name="__Fieldmark__523_66672351"/>
      <w:bookmarkStart w:id="47" w:name="__Fieldmark__523_66672351"/>
      <w:bookmarkEnd w:id="43"/>
      <w:bookmarkEnd w:id="44"/>
      <w:bookmarkEnd w:id="45"/>
      <w:bookmarkEnd w:id="47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spacing w:lineRule="auto" w:line="36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5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>
      <w:pPr>
        <w:pStyle w:val="Normal"/>
        <w:ind w:left="284" w:hanging="0"/>
        <w:jc w:val="both"/>
        <w:rPr/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;Tahoma"/>
          <w:b/>
          <w:bCs/>
          <w:sz w:val="22"/>
          <w:szCs w:val="22"/>
          <w:lang w:bidi="zxx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541_66672351"/>
      <w:bookmarkStart w:id="49" w:name="__Fieldmark__285_296393501"/>
      <w:bookmarkStart w:id="50" w:name="__Fieldmark__8_2039472611"/>
      <w:bookmarkStart w:id="51" w:name="__Fieldmark__221_1092626909"/>
      <w:bookmarkStart w:id="52" w:name="__Fieldmark__541_66672351"/>
      <w:bookmarkStart w:id="53" w:name="__Fieldmark__541_66672351"/>
      <w:bookmarkEnd w:id="49"/>
      <w:bookmarkEnd w:id="50"/>
      <w:bookmarkEnd w:id="51"/>
      <w:bookmarkEnd w:id="53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4" w:name="__Fieldmark__555_66672351"/>
      <w:bookmarkStart w:id="55" w:name="__Fieldmark__296_296393501"/>
      <w:bookmarkStart w:id="56" w:name="__Fieldmark__9_2039472611"/>
      <w:bookmarkStart w:id="57" w:name="__Fieldmark__229_1092626909"/>
      <w:bookmarkStart w:id="58" w:name="__Fieldmark__555_66672351"/>
      <w:bookmarkStart w:id="59" w:name="__Fieldmark__555_66672351"/>
      <w:bookmarkEnd w:id="55"/>
      <w:bookmarkEnd w:id="56"/>
      <w:bookmarkEnd w:id="57"/>
      <w:bookmarkEnd w:id="59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ind w:left="357" w:hanging="0"/>
        <w:jc w:val="both"/>
        <w:rPr>
          <w:rFonts w:cs="Tahoma;Tahoma"/>
          <w:b/>
          <w:b/>
          <w:bCs/>
          <w:sz w:val="22"/>
          <w:szCs w:val="22"/>
          <w:lang w:bidi="zxx"/>
        </w:rPr>
      </w:pPr>
      <w:r>
        <w:rPr>
          <w:rFonts w:cs="Tahoma;Tahoma"/>
          <w:b/>
          <w:bCs/>
          <w:sz w:val="22"/>
          <w:szCs w:val="22"/>
          <w:lang w:bidi="zxx"/>
        </w:rPr>
      </w:r>
    </w:p>
    <w:p>
      <w:pPr>
        <w:pStyle w:val="Normal"/>
        <w:jc w:val="both"/>
        <w:rPr>
          <w:rFonts w:cs="Tahoma;Tahoma"/>
          <w:b/>
          <w:b/>
          <w:bCs/>
          <w:sz w:val="24"/>
          <w:szCs w:val="24"/>
          <w:lang w:bidi="zxx"/>
        </w:rPr>
      </w:pPr>
      <w:r>
        <w:rPr>
          <w:rFonts w:cs="Tahoma;Tahoma"/>
          <w:b/>
          <w:bCs/>
          <w:sz w:val="24"/>
          <w:szCs w:val="24"/>
          <w:lang w:bidi="zxx"/>
        </w:rPr>
        <w:t xml:space="preserve">Ak áno: </w:t>
      </w:r>
    </w:p>
    <w:tbl>
      <w:tblPr>
        <w:tblW w:w="10270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352"/>
        <w:gridCol w:w="2464"/>
        <w:gridCol w:w="2464"/>
        <w:gridCol w:w="2989"/>
      </w:tblGrid>
      <w:tr>
        <w:trPr/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Peňažné vyjadrenie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Bežný transfer od zriaďovateľa sa účtuje tak, aby bola preukázaná vecná a časová súvislosť s výdavkami, ku ktorým sa bežný transfer zúčtovával</w:t>
            </w:r>
          </w:p>
        </w:tc>
        <w:tc>
          <w:tcPr>
            <w:tcW w:w="24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color w:val="000000"/>
              </w:rPr>
              <w:t>Nedostatok zistený kontrolou hlavného kontrolóra mesta – bežný transfer účtovaný mesačne interným dokladom</w:t>
            </w:r>
          </w:p>
        </w:tc>
        <w:tc>
          <w:tcPr>
            <w:tcW w:w="24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5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70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378"/>
        <w:gridCol w:w="3891"/>
      </w:tblGrid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5"/>
              </w:numPr>
              <w:ind w:left="284" w:hanging="283"/>
              <w:rPr/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5"/>
              </w:numPr>
              <w:ind w:left="284" w:hanging="283"/>
              <w:jc w:val="both"/>
              <w:rPr/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5"/>
              </w:numPr>
              <w:ind w:left="284" w:hanging="283"/>
              <w:jc w:val="both"/>
              <w:rPr/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5"/>
              </w:numPr>
              <w:ind w:left="284" w:hanging="283"/>
              <w:jc w:val="both"/>
              <w:rPr/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5"/>
              </w:numPr>
              <w:ind w:left="284" w:hanging="283"/>
              <w:jc w:val="both"/>
              <w:rPr/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Telotextu"/>
              <w:ind w:left="1" w:hanging="0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>
            <w:pPr>
              <w:pStyle w:val="Normal"/>
              <w:ind w:left="284" w:hanging="0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Telotextu"/>
              <w:ind w:left="1" w:hanging="0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>
            <w:pPr>
              <w:pStyle w:val="Telotextu"/>
              <w:ind w:left="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Telotextu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Telotextu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Telotextu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>
      <w:pPr>
        <w:pStyle w:val="Normal"/>
        <w:ind w:left="284" w:hanging="0"/>
        <w:jc w:val="both"/>
        <w:rPr>
          <w:rFonts w:cs="Tahoma;Tahoma"/>
          <w:bCs/>
          <w:sz w:val="22"/>
          <w:szCs w:val="22"/>
          <w:lang w:bidi="zxx"/>
        </w:rPr>
      </w:pPr>
      <w:r>
        <w:rPr>
          <w:rFonts w:cs="Tahoma;Tahoma"/>
          <w:bCs/>
          <w:sz w:val="22"/>
          <w:szCs w:val="22"/>
          <w:lang w:bidi="zxx"/>
        </w:rPr>
      </w:r>
    </w:p>
    <w:p>
      <w:pPr>
        <w:pStyle w:val="Normal"/>
        <w:numPr>
          <w:ilvl w:val="0"/>
          <w:numId w:val="5"/>
        </w:numPr>
        <w:tabs>
          <w:tab w:val="left" w:pos="284" w:leader="none"/>
        </w:tabs>
        <w:ind w:left="284" w:hanging="284"/>
        <w:jc w:val="both"/>
        <w:rPr>
          <w:rFonts w:cs="Tahoma;Tahoma"/>
          <w:bCs/>
          <w:sz w:val="22"/>
          <w:szCs w:val="22"/>
          <w:lang w:bidi="zxx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>
      <w:pPr>
        <w:pStyle w:val="Normal"/>
        <w:jc w:val="both"/>
        <w:rPr/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  <w:lang w:bidi="zxx"/>
        </w:rPr>
        <w:t xml:space="preserve"> odo </w:t>
      </w:r>
      <w:r>
        <w:rPr>
          <w:sz w:val="24"/>
          <w:szCs w:val="24"/>
        </w:rPr>
        <w:t xml:space="preserve">dňa jeho zaradenia do používania. </w:t>
      </w:r>
    </w:p>
    <w:p>
      <w:pPr>
        <w:pStyle w:val="Telotextu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>
      <w:pPr>
        <w:pStyle w:val="Normal"/>
        <w:ind w:hanging="0"/>
        <w:jc w:val="both"/>
        <w:rPr>
          <w:color w:val="000000"/>
        </w:rPr>
      </w:pPr>
      <w:r>
        <w:rPr>
          <w:rFonts w:cs="Tahoma;Tahoma"/>
          <w:bCs/>
          <w:color w:val="000000"/>
          <w:sz w:val="24"/>
          <w:szCs w:val="24"/>
          <w:lang w:bidi="zxx"/>
        </w:rPr>
        <w:t xml:space="preserve"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lotextu"/>
        <w:ind w:left="0" w:hanging="0"/>
        <w:rPr/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10216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962"/>
        <w:gridCol w:w="3071"/>
        <w:gridCol w:w="4183"/>
      </w:tblGrid>
      <w:tr>
        <w:trPr/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Predpokladaná doba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Ročná odpisová sadzba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 %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 roky</w:t>
            </w:r>
          </w:p>
        </w:tc>
        <w:tc>
          <w:tcPr>
            <w:tcW w:w="4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1/4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4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rokov</w:t>
            </w:r>
          </w:p>
        </w:tc>
        <w:tc>
          <w:tcPr>
            <w:tcW w:w="4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1/8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rokov</w:t>
            </w:r>
          </w:p>
        </w:tc>
        <w:tc>
          <w:tcPr>
            <w:tcW w:w="4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1/12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4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4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/>
      </w:pPr>
      <w:r>
        <w:rPr>
          <w:sz w:val="24"/>
        </w:rPr>
        <w:t xml:space="preserve">Drobný nehmotný majetok od 0 Eur do 2 400 Eur, ktorý podľa </w:t>
      </w:r>
      <w:r>
        <w:rPr>
          <w:sz w:val="24"/>
          <w:szCs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>
      <w:pPr>
        <w:pStyle w:val="Normal"/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Drobný hmotný majetok od 0 Eur do 1 700 Eur, ktorý podľa vnútorného predpisu účtovnej jednotky nie je dlhodobým hmotným majetkom sa účtuje ako zásoby. 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numPr>
          <w:ilvl w:val="0"/>
          <w:numId w:val="5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Účtovná jednotka tvorila opravné položky k </w:t>
      </w:r>
    </w:p>
    <w:p>
      <w:pPr>
        <w:pStyle w:val="Normal"/>
        <w:numPr>
          <w:ilvl w:val="0"/>
          <w:numId w:val="28"/>
        </w:numPr>
        <w:rPr/>
      </w:pPr>
      <w:r>
        <w:rPr>
          <w:sz w:val="24"/>
          <w:szCs w:val="24"/>
        </w:rPr>
        <w:t>odpisovanému dlhodobému majetku</w:t>
      </w:r>
      <w:r>
        <w:rPr>
          <w:rFonts w:cs="Tahoma;Tahoma"/>
          <w:b/>
          <w:bCs/>
          <w:sz w:val="22"/>
          <w:szCs w:val="22"/>
          <w:lang w:bidi="zxx"/>
        </w:rPr>
        <w:t xml:space="preserve">  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793_66672351"/>
      <w:bookmarkStart w:id="61" w:name="__Fieldmark__530_296393501"/>
      <w:bookmarkStart w:id="62" w:name="__Fieldmark__10_2039472611"/>
      <w:bookmarkStart w:id="63" w:name="__Fieldmark__460_1092626909"/>
      <w:bookmarkStart w:id="64" w:name="__Fieldmark__793_66672351"/>
      <w:bookmarkStart w:id="65" w:name="__Fieldmark__793_66672351"/>
      <w:bookmarkEnd w:id="61"/>
      <w:bookmarkEnd w:id="62"/>
      <w:bookmarkEnd w:id="63"/>
      <w:bookmarkEnd w:id="65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807_66672351"/>
      <w:bookmarkStart w:id="67" w:name="__Fieldmark__541_296393501"/>
      <w:bookmarkStart w:id="68" w:name="__Fieldmark__11_2039472611"/>
      <w:bookmarkStart w:id="69" w:name="__Fieldmark__468_1092626909"/>
      <w:bookmarkStart w:id="70" w:name="__Fieldmark__807_66672351"/>
      <w:bookmarkStart w:id="71" w:name="__Fieldmark__807_66672351"/>
      <w:bookmarkEnd w:id="67"/>
      <w:bookmarkEnd w:id="68"/>
      <w:bookmarkEnd w:id="69"/>
      <w:bookmarkEnd w:id="71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8"/>
        </w:numPr>
        <w:rPr/>
      </w:pPr>
      <w:r>
        <w:rPr>
          <w:sz w:val="24"/>
          <w:szCs w:val="24"/>
        </w:rPr>
        <w:t>neodpisovanému dlhodobému majetku</w:t>
      </w:r>
      <w:r>
        <w:rPr>
          <w:rFonts w:cs="Tahoma;Tahoma"/>
          <w:b/>
          <w:bCs/>
          <w:sz w:val="22"/>
          <w:szCs w:val="22"/>
          <w:lang w:bidi="zxx"/>
        </w:rPr>
        <w:t xml:space="preserve">                      </w:t>
        <w:tab/>
        <w:tab/>
        <w:tab/>
        <w:t xml:space="preserve">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72" w:name="__Fieldmark__828_66672351"/>
      <w:bookmarkStart w:id="73" w:name="__Fieldmark__559_296393501"/>
      <w:bookmarkStart w:id="74" w:name="__Fieldmark__12_2039472611"/>
      <w:bookmarkStart w:id="75" w:name="__Fieldmark__483_1092626909"/>
      <w:bookmarkStart w:id="76" w:name="__Fieldmark__828_66672351"/>
      <w:bookmarkStart w:id="77" w:name="__Fieldmark__828_66672351"/>
      <w:bookmarkEnd w:id="73"/>
      <w:bookmarkEnd w:id="74"/>
      <w:bookmarkEnd w:id="75"/>
      <w:bookmarkEnd w:id="77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78" w:name="__Fieldmark__842_66672351"/>
      <w:bookmarkStart w:id="79" w:name="__Fieldmark__570_296393501"/>
      <w:bookmarkStart w:id="80" w:name="__Fieldmark__13_2039472611"/>
      <w:bookmarkStart w:id="81" w:name="__Fieldmark__491_1092626909"/>
      <w:bookmarkStart w:id="82" w:name="__Fieldmark__842_66672351"/>
      <w:bookmarkStart w:id="83" w:name="__Fieldmark__842_66672351"/>
      <w:bookmarkEnd w:id="79"/>
      <w:bookmarkEnd w:id="80"/>
      <w:bookmarkEnd w:id="81"/>
      <w:bookmarkEnd w:id="83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8"/>
        </w:numPr>
        <w:rPr/>
      </w:pPr>
      <w:r>
        <w:rPr>
          <w:rFonts w:cs="Tahoma;Tahoma"/>
          <w:bCs/>
          <w:sz w:val="24"/>
          <w:szCs w:val="24"/>
          <w:lang w:bidi="zxx"/>
        </w:rPr>
        <w:t>nedokončeným investíciám</w:t>
      </w:r>
      <w:r>
        <w:rPr>
          <w:rFonts w:cs="Tahoma;Tahoma"/>
          <w:b/>
          <w:bCs/>
          <w:sz w:val="24"/>
          <w:szCs w:val="24"/>
          <w:lang w:bidi="zxx"/>
        </w:rPr>
        <w:t xml:space="preserve">  </w:t>
        <w:tab/>
        <w:tab/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84" w:name="__Fieldmark__864_66672351"/>
      <w:bookmarkStart w:id="85" w:name="__Fieldmark__589_296393501"/>
      <w:bookmarkStart w:id="86" w:name="__Fieldmark__14_2039472611"/>
      <w:bookmarkStart w:id="87" w:name="__Fieldmark__507_1092626909"/>
      <w:bookmarkStart w:id="88" w:name="__Fieldmark__864_66672351"/>
      <w:bookmarkStart w:id="89" w:name="__Fieldmark__864_66672351"/>
      <w:bookmarkEnd w:id="85"/>
      <w:bookmarkEnd w:id="86"/>
      <w:bookmarkEnd w:id="87"/>
      <w:bookmarkEnd w:id="89"/>
      <w:r>
        <w:rPr>
          <w:rFonts w:cs="Tahoma;Tahoma"/>
          <w:b/>
          <w:bCs/>
          <w:sz w:val="24"/>
          <w:szCs w:val="24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90" w:name="__Fieldmark__878_66672351"/>
      <w:bookmarkStart w:id="91" w:name="__Fieldmark__600_296393501"/>
      <w:bookmarkStart w:id="92" w:name="__Fieldmark__15_2039472611"/>
      <w:bookmarkStart w:id="93" w:name="__Fieldmark__515_1092626909"/>
      <w:bookmarkStart w:id="94" w:name="__Fieldmark__878_66672351"/>
      <w:bookmarkStart w:id="95" w:name="__Fieldmark__878_66672351"/>
      <w:bookmarkEnd w:id="91"/>
      <w:bookmarkEnd w:id="92"/>
      <w:bookmarkEnd w:id="93"/>
      <w:bookmarkEnd w:id="95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8"/>
        </w:numPr>
        <w:rPr/>
      </w:pPr>
      <w:r>
        <w:rPr>
          <w:rFonts w:cs="Tahoma;Tahoma"/>
          <w:bCs/>
          <w:sz w:val="24"/>
          <w:szCs w:val="24"/>
          <w:lang w:bidi="zxx"/>
        </w:rPr>
        <w:t xml:space="preserve">dlhodobému finančnému majetku   </w:t>
        <w:tab/>
      </w:r>
      <w:r>
        <w:rPr>
          <w:rFonts w:cs="Tahoma;Tahoma"/>
          <w:b/>
          <w:bCs/>
          <w:sz w:val="24"/>
          <w:szCs w:val="24"/>
          <w:lang w:bidi="zxx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6" w:name="__Fieldmark__898_66672351"/>
      <w:bookmarkStart w:id="97" w:name="__Fieldmark__617_296393501"/>
      <w:bookmarkStart w:id="98" w:name="__Fieldmark__16_2039472611"/>
      <w:bookmarkStart w:id="99" w:name="__Fieldmark__529_1092626909"/>
      <w:bookmarkStart w:id="100" w:name="__Fieldmark__898_66672351"/>
      <w:bookmarkStart w:id="101" w:name="__Fieldmark__898_66672351"/>
      <w:bookmarkEnd w:id="97"/>
      <w:bookmarkEnd w:id="98"/>
      <w:bookmarkEnd w:id="99"/>
      <w:bookmarkEnd w:id="101"/>
      <w:r>
        <w:rPr>
          <w:rFonts w:cs="Tahoma;Tahoma"/>
          <w:b/>
          <w:bCs/>
          <w:sz w:val="24"/>
          <w:szCs w:val="24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02" w:name="__Fieldmark__912_66672351"/>
      <w:bookmarkStart w:id="103" w:name="__Fieldmark__628_296393501"/>
      <w:bookmarkStart w:id="104" w:name="__Fieldmark__17_2039472611"/>
      <w:bookmarkStart w:id="105" w:name="__Fieldmark__537_1092626909"/>
      <w:bookmarkStart w:id="106" w:name="__Fieldmark__912_66672351"/>
      <w:bookmarkStart w:id="107" w:name="__Fieldmark__912_66672351"/>
      <w:bookmarkEnd w:id="103"/>
      <w:bookmarkEnd w:id="104"/>
      <w:bookmarkEnd w:id="105"/>
      <w:bookmarkEnd w:id="107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8"/>
        </w:numPr>
        <w:rPr/>
      </w:pPr>
      <w:r>
        <w:rPr>
          <w:rFonts w:cs="Tahoma;Tahoma"/>
          <w:bCs/>
          <w:sz w:val="24"/>
          <w:szCs w:val="24"/>
          <w:lang w:bidi="zxx"/>
        </w:rPr>
        <w:t xml:space="preserve">zásobám                                     </w:t>
        <w:tab/>
      </w:r>
      <w:r>
        <w:rPr>
          <w:rFonts w:cs="Tahoma;Tahoma"/>
          <w:b/>
          <w:bCs/>
          <w:sz w:val="24"/>
          <w:szCs w:val="24"/>
          <w:lang w:bidi="zxx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8" w:name="__Fieldmark__932_66672351"/>
      <w:bookmarkStart w:id="109" w:name="__Fieldmark__645_296393501"/>
      <w:bookmarkStart w:id="110" w:name="__Fieldmark__18_2039472611"/>
      <w:bookmarkStart w:id="111" w:name="__Fieldmark__551_1092626909"/>
      <w:bookmarkStart w:id="112" w:name="__Fieldmark__932_66672351"/>
      <w:bookmarkStart w:id="113" w:name="__Fieldmark__932_66672351"/>
      <w:bookmarkEnd w:id="109"/>
      <w:bookmarkEnd w:id="110"/>
      <w:bookmarkEnd w:id="111"/>
      <w:bookmarkEnd w:id="113"/>
      <w:r>
        <w:rPr>
          <w:rFonts w:cs="Tahoma;Tahoma"/>
          <w:b/>
          <w:bCs/>
          <w:sz w:val="24"/>
          <w:szCs w:val="24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14" w:name="__Fieldmark__946_66672351"/>
      <w:bookmarkStart w:id="115" w:name="__Fieldmark__656_296393501"/>
      <w:bookmarkStart w:id="116" w:name="__Fieldmark__19_2039472611"/>
      <w:bookmarkStart w:id="117" w:name="__Fieldmark__559_1092626909"/>
      <w:bookmarkStart w:id="118" w:name="__Fieldmark__946_66672351"/>
      <w:bookmarkStart w:id="119" w:name="__Fieldmark__946_66672351"/>
      <w:bookmarkEnd w:id="115"/>
      <w:bookmarkEnd w:id="116"/>
      <w:bookmarkEnd w:id="117"/>
      <w:bookmarkEnd w:id="119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8"/>
        </w:numPr>
        <w:rPr/>
      </w:pPr>
      <w:r>
        <w:rPr>
          <w:rFonts w:cs="Tahoma;Tahoma"/>
          <w:bCs/>
          <w:sz w:val="24"/>
          <w:szCs w:val="24"/>
          <w:lang w:bidi="zxx"/>
        </w:rPr>
        <w:t xml:space="preserve">pohľadávkam                                     </w:t>
        <w:tab/>
      </w:r>
      <w:r>
        <w:rPr>
          <w:rFonts w:cs="Tahoma;Tahoma"/>
          <w:b/>
          <w:bCs/>
          <w:sz w:val="24"/>
          <w:szCs w:val="24"/>
          <w:lang w:bidi="zxx"/>
        </w:rPr>
        <w:tab/>
        <w:tab/>
        <w:t xml:space="preserve">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0" w:name="__Fieldmark__966_66672351"/>
      <w:bookmarkStart w:id="121" w:name="__Fieldmark__673_296393501"/>
      <w:bookmarkStart w:id="122" w:name="__Fieldmark__20_2039472611"/>
      <w:bookmarkStart w:id="123" w:name="__Fieldmark__573_1092626909"/>
      <w:bookmarkStart w:id="124" w:name="__Fieldmark__966_66672351"/>
      <w:bookmarkStart w:id="125" w:name="__Fieldmark__966_66672351"/>
      <w:bookmarkEnd w:id="121"/>
      <w:bookmarkEnd w:id="122"/>
      <w:bookmarkEnd w:id="123"/>
      <w:bookmarkEnd w:id="125"/>
      <w:r>
        <w:rPr>
          <w:rFonts w:cs="Tahoma;Tahoma"/>
          <w:b/>
          <w:bCs/>
          <w:sz w:val="24"/>
          <w:szCs w:val="24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26" w:name="__Fieldmark__980_66672351"/>
      <w:bookmarkStart w:id="127" w:name="__Fieldmark__684_296393501"/>
      <w:bookmarkStart w:id="128" w:name="__Fieldmark__21_2039472611"/>
      <w:bookmarkStart w:id="129" w:name="__Fieldmark__581_1092626909"/>
      <w:bookmarkStart w:id="130" w:name="__Fieldmark__980_66672351"/>
      <w:bookmarkStart w:id="131" w:name="__Fieldmark__980_66672351"/>
      <w:bookmarkEnd w:id="127"/>
      <w:bookmarkEnd w:id="128"/>
      <w:bookmarkEnd w:id="129"/>
      <w:bookmarkEnd w:id="131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nie</w:t>
      </w:r>
    </w:p>
    <w:p>
      <w:pPr>
        <w:pStyle w:val="Telotextu"/>
        <w:ind w:left="0" w:hanging="0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Telotextu"/>
        <w:ind w:left="0" w:right="0" w:hanging="0"/>
        <w:rPr/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none"/>
        </w:rPr>
        <w:t xml:space="preserve"> netvorila opravné položky k pohľadávkam v rámci hlavnej činnosti. </w:t>
      </w:r>
    </w:p>
    <w:p>
      <w:pPr>
        <w:pStyle w:val="Telotextu"/>
        <w:ind w:left="0" w:right="0" w:hanging="0"/>
        <w:rPr/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none"/>
        </w:rPr>
        <w:t>netvorila opravné položky k pohľadávkam v rámci podnikateľskej činnosti,</w:t>
      </w:r>
      <w:r>
        <w:rPr>
          <w:color w:val="000000"/>
          <w:sz w:val="24"/>
          <w:szCs w:val="24"/>
        </w:rPr>
        <w:t xml:space="preserve"> podľa ustanovenia § 20  zákona č.595/2003 Z.z. o dani z príjmov v z.n.p.. </w:t>
      </w:r>
    </w:p>
    <w:p>
      <w:pPr>
        <w:pStyle w:val="Normal"/>
        <w:numPr>
          <w:ilvl w:val="0"/>
          <w:numId w:val="5"/>
        </w:numPr>
        <w:tabs>
          <w:tab w:val="left" w:pos="284" w:leader="none"/>
        </w:tabs>
        <w:ind w:left="284" w:hanging="284"/>
        <w:jc w:val="both"/>
        <w:rPr/>
      </w:pPr>
      <w:r>
        <w:rPr>
          <w:b/>
          <w:sz w:val="24"/>
          <w:szCs w:val="24"/>
        </w:rPr>
        <w:t>Zásady pre vykazovanie transferov.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28"/>
        </w:numPr>
        <w:jc w:val="both"/>
        <w:rPr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>
      <w:pPr>
        <w:pStyle w:val="Normal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>
      <w:pPr>
        <w:pStyle w:val="Normal"/>
        <w:numPr>
          <w:ilvl w:val="0"/>
          <w:numId w:val="28"/>
        </w:numPr>
        <w:jc w:val="both"/>
        <w:rPr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>
      <w:pPr>
        <w:pStyle w:val="Normal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28"/>
        </w:numPr>
        <w:jc w:val="both"/>
        <w:rPr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28"/>
        </w:numPr>
        <w:jc w:val="both"/>
        <w:rPr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28"/>
        </w:numPr>
        <w:jc w:val="both"/>
        <w:rPr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>
      <w:pPr>
        <w:pStyle w:val="Normal"/>
        <w:numPr>
          <w:ilvl w:val="0"/>
          <w:numId w:val="28"/>
        </w:numPr>
        <w:jc w:val="both"/>
        <w:rPr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5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>
      <w:pPr>
        <w:pStyle w:val="Telotextu"/>
        <w:ind w:left="0" w:hanging="0"/>
        <w:rPr/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>
      <w:pPr>
        <w:pStyle w:val="Pismenka"/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>
      <w:pPr>
        <w:pStyle w:val="Normal"/>
        <w:numPr>
          <w:ilvl w:val="0"/>
          <w:numId w:val="19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>
      <w:pPr>
        <w:pStyle w:val="Pismenka"/>
        <w:numPr>
          <w:ilvl w:val="0"/>
          <w:numId w:val="29"/>
        </w:numPr>
        <w:ind w:left="284" w:hanging="284"/>
        <w:rPr/>
      </w:pPr>
      <w:r>
        <w:rPr>
          <w:sz w:val="24"/>
          <w:szCs w:val="24"/>
        </w:rPr>
        <w:t xml:space="preserve">prehľad o pohybe dlhodobého majetku </w:t>
      </w:r>
      <w:r>
        <w:rPr>
          <w:b w:val="false"/>
          <w:sz w:val="24"/>
          <w:szCs w:val="24"/>
        </w:rPr>
        <w:t>(tabuľka č.1)</w:t>
      </w:r>
    </w:p>
    <w:p>
      <w:pPr>
        <w:pStyle w:val="Pismenka"/>
        <w:ind w:left="0" w:hanging="0"/>
        <w:rPr/>
      </w:pPr>
      <w:r>
        <w:rPr>
          <w:b w:val="false"/>
          <w:sz w:val="24"/>
          <w:szCs w:val="24"/>
        </w:rPr>
        <w:t xml:space="preserve">Textová časť k tabuľke č.1 </w:t>
      </w:r>
    </w:p>
    <w:p>
      <w:pPr>
        <w:pStyle w:val="Pismenka"/>
        <w:ind w:left="0" w:right="0" w:hanging="0"/>
        <w:rPr>
          <w:b w:val="false"/>
          <w:b w:val="false"/>
          <w:color w:val="000000"/>
          <w:sz w:val="24"/>
          <w:szCs w:val="24"/>
        </w:rPr>
      </w:pPr>
      <w:r>
        <w:rPr>
          <w:b w:val="false"/>
          <w:color w:val="000000"/>
          <w:sz w:val="24"/>
          <w:szCs w:val="24"/>
        </w:rPr>
        <w:t xml:space="preserve">V tabuľke č.1 je vykázaný: </w:t>
      </w:r>
    </w:p>
    <w:p>
      <w:pPr>
        <w:pStyle w:val="Pismenka"/>
        <w:numPr>
          <w:ilvl w:val="0"/>
          <w:numId w:val="31"/>
        </w:numPr>
        <w:rPr>
          <w:b w:val="false"/>
          <w:b w:val="false"/>
          <w:color w:val="000000"/>
          <w:sz w:val="24"/>
          <w:szCs w:val="24"/>
        </w:rPr>
      </w:pPr>
      <w:r>
        <w:rPr>
          <w:b w:val="false"/>
          <w:color w:val="000000"/>
          <w:sz w:val="24"/>
          <w:szCs w:val="24"/>
        </w:rPr>
        <w:t>prírastok na účte 021 v sume 29 156,53€, ktorý vznikol zverením majetku do správy na základe protokolu o zverení do správy č. 674/2017 zo dňa 06.03.2017</w:t>
      </w:r>
    </w:p>
    <w:p>
      <w:pPr>
        <w:pStyle w:val="Pismenka"/>
        <w:numPr>
          <w:ilvl w:val="0"/>
          <w:numId w:val="31"/>
        </w:numPr>
        <w:rPr>
          <w:b w:val="false"/>
          <w:b w:val="false"/>
          <w:color w:val="000000"/>
          <w:sz w:val="24"/>
          <w:szCs w:val="24"/>
        </w:rPr>
      </w:pPr>
      <w:r>
        <w:rPr>
          <w:b w:val="false"/>
          <w:color w:val="000000"/>
          <w:sz w:val="24"/>
          <w:szCs w:val="24"/>
        </w:rPr>
        <w:t>prírastok na účte 031 v sume 16 594,50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</w:rPr>
        <w:t>€</w:t>
      </w:r>
      <w:r>
        <w:rPr>
          <w:rFonts w:eastAsia="Times New Roman" w:cs="Times New Roman"/>
          <w:b w:val="false"/>
          <w:color w:val="000000"/>
          <w:sz w:val="24"/>
          <w:szCs w:val="24"/>
        </w:rPr>
        <w:t>, ktorý vznikol zverením majetku do správy na základe protokolu o zverení do správy č. 674/2017 zo dňa 06.03.2017</w:t>
      </w:r>
    </w:p>
    <w:p>
      <w:pPr>
        <w:pStyle w:val="Pismenka"/>
        <w:numPr>
          <w:ilvl w:val="0"/>
          <w:numId w:val="31"/>
        </w:numPr>
        <w:rPr>
          <w:b w:val="false"/>
          <w:b w:val="false"/>
          <w:color w:val="000000"/>
          <w:sz w:val="24"/>
          <w:szCs w:val="24"/>
        </w:rPr>
      </w:pPr>
      <w:r>
        <w:rPr>
          <w:rFonts w:eastAsia="Times New Roman" w:cs="Times New Roman"/>
          <w:b w:val="false"/>
          <w:color w:val="000000"/>
          <w:sz w:val="24"/>
          <w:szCs w:val="24"/>
        </w:rPr>
        <w:t>prírastok na účte 023 v sume 5 999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</w:rPr>
        <w:t>€</w:t>
      </w:r>
      <w:r>
        <w:rPr>
          <w:rFonts w:eastAsia="Times New Roman" w:cs="Times New Roman"/>
          <w:b w:val="false"/>
          <w:color w:val="000000"/>
          <w:sz w:val="24"/>
          <w:szCs w:val="24"/>
        </w:rPr>
        <w:t>, ktorý vznikol zverením majetku do správy na základe protokolu o zverení do správy č. 1560/2017 zo dňa 30.05.2017</w:t>
      </w:r>
    </w:p>
    <w:p>
      <w:pPr>
        <w:pStyle w:val="Pismenka"/>
        <w:numPr>
          <w:ilvl w:val="0"/>
          <w:numId w:val="31"/>
        </w:numPr>
        <w:rPr/>
      </w:pPr>
      <w:r>
        <w:rPr>
          <w:rFonts w:eastAsia="Times New Roman" w:cs="Times New Roman"/>
          <w:b w:val="false"/>
          <w:color w:val="000000"/>
          <w:sz w:val="24"/>
          <w:szCs w:val="24"/>
        </w:rPr>
        <w:t>úbytok na účte 023 v sume 12 957,05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</w:rPr>
        <w:t>€</w:t>
      </w:r>
      <w:r>
        <w:rPr>
          <w:rFonts w:eastAsia="Times New Roman" w:cs="Times New Roman"/>
          <w:b w:val="false"/>
          <w:color w:val="000000"/>
          <w:sz w:val="24"/>
          <w:szCs w:val="24"/>
        </w:rPr>
        <w:t xml:space="preserve">, ktorý vznikol odňatím majetku zo správy na základe  </w:t>
      </w:r>
    </w:p>
    <w:p>
      <w:pPr>
        <w:pStyle w:val="Pismenka"/>
        <w:numPr>
          <w:ilvl w:val="0"/>
          <w:numId w:val="0"/>
        </w:numPr>
        <w:ind w:left="426" w:hanging="426"/>
        <w:rPr>
          <w:b w:val="false"/>
          <w:b w:val="false"/>
          <w:color w:val="000000"/>
          <w:sz w:val="24"/>
          <w:szCs w:val="24"/>
        </w:rPr>
      </w:pPr>
      <w:r>
        <w:rPr>
          <w:rFonts w:eastAsia="Times New Roman" w:cs="Times New Roman"/>
          <w:b w:val="false"/>
          <w:color w:val="000000"/>
          <w:sz w:val="24"/>
          <w:szCs w:val="24"/>
        </w:rPr>
        <w:t>protokolu o odňatí zo správy č. 1076/2017 zo dňa 20.04.2017</w:t>
      </w:r>
    </w:p>
    <w:p>
      <w:pPr>
        <w:pStyle w:val="Pismenka"/>
        <w:numPr>
          <w:ilvl w:val="0"/>
          <w:numId w:val="0"/>
        </w:numPr>
        <w:ind w:left="426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9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spôsob a výška poistenia dlhodobého nehmotného majetku a dlhodobého hmotného majetku </w:t>
      </w:r>
    </w:p>
    <w:tbl>
      <w:tblPr>
        <w:tblW w:w="10216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541"/>
        <w:gridCol w:w="3544"/>
        <w:gridCol w:w="3131"/>
      </w:tblGrid>
      <w:tr>
        <w:trPr/>
        <w:tc>
          <w:tcPr>
            <w:tcW w:w="3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3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Motorové vozidlá a stroje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Poistenie zodpovednosti za škodu spôsobenú prevádzkou motorového vozidla</w:t>
            </w:r>
          </w:p>
        </w:tc>
        <w:tc>
          <w:tcPr>
            <w:tcW w:w="3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>1644,38€/rok</w:t>
            </w:r>
          </w:p>
        </w:tc>
      </w:tr>
      <w:tr>
        <w:trPr/>
        <w:tc>
          <w:tcPr>
            <w:tcW w:w="3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 xml:space="preserve">Motorové vozidlá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Havarijné poistenie motorových vozidiel</w:t>
            </w:r>
          </w:p>
        </w:tc>
        <w:tc>
          <w:tcPr>
            <w:tcW w:w="3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>568,43€/rok</w:t>
            </w:r>
          </w:p>
        </w:tc>
      </w:tr>
      <w:tr>
        <w:trPr/>
        <w:tc>
          <w:tcPr>
            <w:tcW w:w="3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Motorové vozidlá a stroje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Poistenie hnuteľných vecí, strojov, elektroniky</w:t>
            </w:r>
          </w:p>
        </w:tc>
        <w:tc>
          <w:tcPr>
            <w:tcW w:w="3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>1079,90€/rok</w:t>
            </w:r>
          </w:p>
        </w:tc>
      </w:tr>
    </w:tbl>
    <w:p>
      <w:pPr>
        <w:pStyle w:val="Normal"/>
        <w:ind w:left="42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29"/>
        </w:numPr>
        <w:ind w:left="284" w:hanging="284"/>
        <w:rPr/>
      </w:pPr>
      <w:r>
        <w:rPr>
          <w:sz w:val="24"/>
          <w:szCs w:val="24"/>
        </w:rPr>
        <w:t xml:space="preserve">zriadenie záložného práva </w:t>
      </w:r>
      <w:r>
        <w:rPr>
          <w:b w:val="false"/>
          <w:sz w:val="24"/>
          <w:szCs w:val="24"/>
        </w:rPr>
        <w:t>na dlhodobý nehmotný majetok a dlhodobý hmotný majetok alebo obmedzenie práva nakladať s dlhodobým majetkom – nie je</w:t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Pismenka"/>
        <w:numPr>
          <w:ilvl w:val="0"/>
          <w:numId w:val="29"/>
        </w:numPr>
        <w:ind w:left="284" w:hanging="284"/>
        <w:rPr/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16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220"/>
        <w:gridCol w:w="4995"/>
      </w:tblGrid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Majetok,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/>
              <w:t>ku ktorému</w:t>
            </w:r>
            <w:r>
              <w:rPr>
                <w:b/>
              </w:rPr>
              <w:t xml:space="preserve"> má</w:t>
            </w:r>
            <w:r>
              <w:rPr/>
              <w:t xml:space="preserve"> účtovná jednotka vlastnícke právo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Pozemky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Budovy, stavby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Stroje, prístroje, zariadenia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Obsahtabuky"/>
              <w:snapToGrid w:val="false"/>
              <w:jc w:val="right"/>
              <w:rPr/>
            </w:pPr>
            <w:r>
              <w:rPr/>
              <w:t>18 064,04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Podsúvahový účet - inventár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Obsahtabuky"/>
              <w:snapToGrid w:val="false"/>
              <w:jc w:val="right"/>
              <w:rPr/>
            </w:pPr>
            <w:r>
              <w:rPr/>
              <w:t>6 040,42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Majetok v správe účtovnej jednotky  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Drobný nehmotný majetok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Obsahtabuky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Budovy, haly, stavby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Obsahtabuky"/>
              <w:jc w:val="right"/>
              <w:rPr/>
            </w:pPr>
            <w:r>
              <w:rPr/>
              <w:t>25 782,97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Stroje, prístroje a zariadenia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Obsahtabuky"/>
              <w:jc w:val="right"/>
              <w:rPr/>
            </w:pPr>
            <w:r>
              <w:rPr/>
              <w:t>41 222,68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Dopravné prostriedky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Obsahtabuky"/>
              <w:jc w:val="right"/>
              <w:rPr/>
            </w:pPr>
            <w:r>
              <w:rPr/>
              <w:t>57 602,58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Drobný hmotný majetok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Obsahtabuky"/>
              <w:jc w:val="right"/>
              <w:rPr/>
            </w:pPr>
            <w:r>
              <w:rPr/>
              <w:t>592,53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Pozemky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Obsahtabuky"/>
              <w:jc w:val="right"/>
              <w:rPr/>
            </w:pPr>
            <w:r>
              <w:rPr/>
              <w:t>19 493,45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Podsúvahový účet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Obsahtabuky"/>
              <w:jc w:val="right"/>
              <w:rPr/>
            </w:pPr>
            <w:r>
              <w:rPr/>
              <w:t>7 124,82</w:t>
            </w:r>
          </w:p>
        </w:tc>
      </w:tr>
    </w:tbl>
    <w:p>
      <w:pPr>
        <w:pStyle w:val="Pismenka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29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opis a hodnota majetku, ku ktorému účtovná jednotka nemá vlastnícke právo</w:t>
      </w:r>
    </w:p>
    <w:tbl>
      <w:tblPr>
        <w:tblW w:w="10212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220"/>
        <w:gridCol w:w="4991"/>
      </w:tblGrid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ku ktorému </w:t>
            </w:r>
            <w:r>
              <w:rPr>
                <w:b/>
              </w:rPr>
              <w:t>nemá</w:t>
            </w:r>
            <w:r>
              <w:rPr/>
              <w:t xml:space="preserve"> účtovná jednotka vlastnícke právo</w:t>
            </w:r>
          </w:p>
        </w:tc>
        <w:tc>
          <w:tcPr>
            <w:tcW w:w="4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Majetok, ktorý využíva účtovná jednotka na základe zmluvy</w:t>
            </w:r>
          </w:p>
          <w:p>
            <w:pPr>
              <w:pStyle w:val="Normal"/>
              <w:rPr>
                <w:color w:val="FF0000"/>
              </w:rPr>
            </w:pPr>
            <w:r>
              <w:rPr/>
              <w:t xml:space="preserve"> </w:t>
            </w:r>
            <w:r>
              <w:rPr/>
              <w:t>o výpožičke</w:t>
            </w:r>
          </w:p>
        </w:tc>
        <w:tc>
          <w:tcPr>
            <w:tcW w:w="4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Majetok, ktorý využíva účtovná jednotka na základe zmluvy</w:t>
            </w:r>
          </w:p>
          <w:p>
            <w:pPr>
              <w:pStyle w:val="Normal"/>
              <w:rPr/>
            </w:pPr>
            <w:r>
              <w:rPr/>
              <w:t>o finančnom prenájme</w:t>
            </w:r>
          </w:p>
        </w:tc>
        <w:tc>
          <w:tcPr>
            <w:tcW w:w="4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>
      <w:pPr>
        <w:pStyle w:val="Pismenka"/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0"/>
        </w:numPr>
        <w:ind w:left="426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9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>
      <w:pPr>
        <w:pStyle w:val="Pismenka"/>
        <w:numPr>
          <w:ilvl w:val="0"/>
          <w:numId w:val="22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false"/>
          <w:sz w:val="24"/>
          <w:szCs w:val="24"/>
        </w:rPr>
        <w:t xml:space="preserve"> - tabuľka č.1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2"/>
        </w:numPr>
        <w:ind w:left="284" w:hanging="284"/>
        <w:rPr/>
      </w:pPr>
      <w:r>
        <w:rPr>
          <w:b w:val="false"/>
          <w:sz w:val="24"/>
          <w:szCs w:val="24"/>
        </w:rPr>
        <w:t>opis dôvodov zvýšenia, zníženia a zrušenia opravných položiek k dlhodobému finančnému</w:t>
      </w:r>
      <w:r>
        <w:rPr/>
        <w:t xml:space="preserve">  </w:t>
      </w:r>
      <w:r>
        <w:rPr>
          <w:b w:val="false"/>
          <w:bCs w:val="false"/>
          <w:sz w:val="22"/>
          <w:szCs w:val="22"/>
        </w:rPr>
        <w:t xml:space="preserve">majetku </w:t>
      </w:r>
    </w:p>
    <w:tbl>
      <w:tblPr>
        <w:tblW w:w="10216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186"/>
        <w:gridCol w:w="2084"/>
        <w:gridCol w:w="4946"/>
      </w:tblGrid>
      <w:tr>
        <w:trPr/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4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9"/>
        </w:numPr>
        <w:tabs>
          <w:tab w:val="left" w:pos="284" w:leader="none"/>
        </w:tabs>
        <w:ind w:left="284" w:hanging="284"/>
        <w:jc w:val="both"/>
        <w:rPr/>
      </w:pPr>
      <w:r>
        <w:rPr>
          <w:b/>
          <w:sz w:val="24"/>
          <w:szCs w:val="24"/>
        </w:rPr>
        <w:t xml:space="preserve">Majetkové podiely účtovnej jednotky v iných spoločnostiach 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16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1840"/>
        <w:gridCol w:w="709"/>
        <w:gridCol w:w="1134"/>
        <w:gridCol w:w="994"/>
        <w:gridCol w:w="990"/>
        <w:gridCol w:w="1134"/>
        <w:gridCol w:w="1134"/>
        <w:gridCol w:w="1134"/>
        <w:gridCol w:w="1146"/>
      </w:tblGrid>
      <w:tr>
        <w:trPr/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</w:tr>
      <w:tr>
        <w:trPr/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9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>
      <w:pPr>
        <w:pStyle w:val="Pismenka"/>
        <w:numPr>
          <w:ilvl w:val="0"/>
          <w:numId w:val="23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16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340"/>
        <w:gridCol w:w="900"/>
        <w:gridCol w:w="1080"/>
        <w:gridCol w:w="1261"/>
        <w:gridCol w:w="1077"/>
        <w:gridCol w:w="1800"/>
        <w:gridCol w:w="1757"/>
      </w:tblGrid>
      <w:tr>
        <w:trPr/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Názov emitenta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Druh cenného papiera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Mena</w:t>
            </w:r>
          </w:p>
          <w:p>
            <w:pPr>
              <w:pStyle w:val="Normal"/>
              <w:jc w:val="center"/>
              <w:rPr/>
            </w:pPr>
            <w:r>
              <w:rPr/>
              <w:t>cenného papiera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Výnos v %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Dátum splatnosti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 xml:space="preserve">Účtovná hodnota vykázaná v súvahe účtovnej jednotky </w:t>
            </w:r>
          </w:p>
          <w:p>
            <w:pPr>
              <w:pStyle w:val="Normal"/>
              <w:jc w:val="center"/>
              <w:rPr/>
            </w:pPr>
            <w:r>
              <w:rPr/>
              <w:t>k 31.12. 2017</w:t>
            </w:r>
          </w:p>
        </w:tc>
        <w:tc>
          <w:tcPr>
            <w:tcW w:w="1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 xml:space="preserve">Účtovná hodnota vykázaná v súvahe účtovnej jednotky </w:t>
            </w:r>
          </w:p>
          <w:p>
            <w:pPr>
              <w:pStyle w:val="Normal"/>
              <w:jc w:val="center"/>
              <w:rPr/>
            </w:pPr>
            <w:r>
              <w:rPr/>
              <w:t>k 31.12. 2016</w:t>
            </w:r>
          </w:p>
        </w:tc>
      </w:tr>
      <w:tr>
        <w:trPr/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Pismenka"/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3"/>
        </w:numPr>
        <w:ind w:left="284" w:hanging="284"/>
        <w:rPr/>
      </w:pPr>
      <w:r>
        <w:rPr>
          <w:b w:val="false"/>
          <w:sz w:val="24"/>
          <w:szCs w:val="24"/>
        </w:rPr>
        <w:t>dlhodobé pôžičky (riadky 029 až 030 súvahy)</w:t>
      </w:r>
      <w:r>
        <w:rPr/>
        <w:t xml:space="preserve">:  </w:t>
      </w:r>
    </w:p>
    <w:tbl>
      <w:tblPr>
        <w:tblW w:w="10216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340"/>
        <w:gridCol w:w="900"/>
        <w:gridCol w:w="1080"/>
        <w:gridCol w:w="1259"/>
        <w:gridCol w:w="1623"/>
        <w:gridCol w:w="1620"/>
        <w:gridCol w:w="1393"/>
      </w:tblGrid>
      <w:tr>
        <w:trPr/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Názov dlžníka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 xml:space="preserve">Výnos </w:t>
            </w:r>
          </w:p>
          <w:p>
            <w:pPr>
              <w:pStyle w:val="Normal"/>
              <w:jc w:val="center"/>
              <w:rPr/>
            </w:pPr>
            <w:r>
              <w:rPr/>
              <w:t>v %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Mena</w:t>
            </w:r>
          </w:p>
        </w:tc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Dátum splatnosti</w:t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 xml:space="preserve">Účtovná hodnota vykázaná v súvahe účtovnej jednotky </w:t>
            </w:r>
          </w:p>
          <w:p>
            <w:pPr>
              <w:pStyle w:val="Normal"/>
              <w:jc w:val="center"/>
              <w:rPr/>
            </w:pPr>
            <w:r>
              <w:rPr/>
              <w:t>k 31.12. 2017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 xml:space="preserve">Účtovná hodnota vykázaná v súvahe účtovnej jednotky </w:t>
            </w:r>
          </w:p>
          <w:p>
            <w:pPr>
              <w:pStyle w:val="Normal"/>
              <w:jc w:val="center"/>
              <w:rPr/>
            </w:pPr>
            <w:r>
              <w:rPr/>
              <w:t>k 31.12. 2016</w:t>
            </w:r>
          </w:p>
        </w:tc>
        <w:tc>
          <w:tcPr>
            <w:tcW w:w="1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Popis zabezpečenia pôžičky</w:t>
            </w:r>
          </w:p>
        </w:tc>
      </w:tr>
      <w:tr>
        <w:trPr/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3"/>
        </w:numPr>
        <w:ind w:left="284" w:hanging="284"/>
        <w:rPr>
          <w:sz w:val="24"/>
          <w:szCs w:val="24"/>
        </w:rPr>
      </w:pPr>
      <w:r>
        <w:rPr>
          <w:b w:val="false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16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3825"/>
        <w:gridCol w:w="3118"/>
        <w:gridCol w:w="3273"/>
      </w:tblGrid>
      <w:tr>
        <w:trPr/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Hodnota k 31.12.2017</w:t>
            </w:r>
          </w:p>
        </w:tc>
        <w:tc>
          <w:tcPr>
            <w:tcW w:w="3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Hodnota 31.12.2016</w:t>
            </w:r>
          </w:p>
        </w:tc>
      </w:tr>
      <w:tr>
        <w:trPr/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left="2520" w:hanging="252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520" w:hanging="252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>
      <w:pPr>
        <w:pStyle w:val="Normal"/>
        <w:numPr>
          <w:ilvl w:val="0"/>
          <w:numId w:val="20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>
      <w:pPr>
        <w:pStyle w:val="Pismenka"/>
        <w:numPr>
          <w:ilvl w:val="0"/>
          <w:numId w:val="7"/>
        </w:numPr>
        <w:ind w:left="284" w:hanging="284"/>
        <w:jc w:val="left"/>
        <w:rPr/>
      </w:pPr>
      <w:r>
        <w:rPr>
          <w:b w:val="false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false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>- tabuľka č.2</w:t>
      </w:r>
    </w:p>
    <w:p>
      <w:pPr>
        <w:pStyle w:val="Pismenka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rPr/>
      </w:pPr>
      <w:r>
        <w:rPr>
          <w:b w:val="false"/>
          <w:sz w:val="24"/>
          <w:szCs w:val="24"/>
        </w:rPr>
        <w:t>Opis dôvodov tvorby, zníženia a zrušenia</w:t>
      </w:r>
      <w:r>
        <w:rPr/>
        <w:t xml:space="preserve"> opravných položiek k zásobám </w:t>
      </w:r>
    </w:p>
    <w:tbl>
      <w:tblPr>
        <w:tblW w:w="10216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186"/>
        <w:gridCol w:w="2084"/>
        <w:gridCol w:w="4946"/>
      </w:tblGrid>
      <w:tr>
        <w:trPr/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Dôvod tvorby, zníženia a zrušenia OP</w:t>
            </w:r>
          </w:p>
        </w:tc>
      </w:tr>
      <w:tr>
        <w:trPr/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4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</w:tbl>
    <w:p>
      <w:pPr>
        <w:pStyle w:val="Pismenka"/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7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zásoby, na ktoré je zriadené záložné právo a výška zásob, pri ktorých má účtovná jednotka obmedzené právo s nimi nakladať </w:t>
      </w:r>
    </w:p>
    <w:tbl>
      <w:tblPr>
        <w:tblW w:w="10216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220"/>
        <w:gridCol w:w="4995"/>
      </w:tblGrid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Hodnota zásob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Záložné  právo k zásobám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Obmedzené právo nakladať so zásobami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Pismenka"/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7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spôsob a výška poistenia zásob </w:t>
      </w:r>
    </w:p>
    <w:tbl>
      <w:tblPr>
        <w:tblW w:w="10216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186"/>
        <w:gridCol w:w="3191"/>
        <w:gridCol w:w="3839"/>
      </w:tblGrid>
      <w:tr>
        <w:trPr/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numPr>
          <w:ilvl w:val="0"/>
          <w:numId w:val="0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0"/>
        </w:numPr>
        <w:ind w:left="284" w:hanging="284"/>
        <w:rPr/>
      </w:pPr>
      <w:r>
        <w:rPr>
          <w:b/>
          <w:sz w:val="24"/>
          <w:szCs w:val="24"/>
        </w:rPr>
        <w:t>Pohľadávky</w:t>
      </w:r>
    </w:p>
    <w:p>
      <w:pPr>
        <w:pStyle w:val="Normal"/>
        <w:numPr>
          <w:ilvl w:val="0"/>
          <w:numId w:val="0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numPr>
          <w:ilvl w:val="0"/>
          <w:numId w:val="2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false"/>
          <w:sz w:val="24"/>
          <w:szCs w:val="24"/>
        </w:rPr>
        <w:t xml:space="preserve"> podľa jednotlivých položiek súvahy </w:t>
      </w:r>
    </w:p>
    <w:p>
      <w:pPr>
        <w:pStyle w:val="Pismenka"/>
        <w:ind w:left="0" w:hanging="0"/>
        <w:rPr/>
      </w:pPr>
      <w:r>
        <w:rPr>
          <w:b w:val="false"/>
          <w:color w:val="FF0000"/>
          <w:sz w:val="24"/>
          <w:szCs w:val="24"/>
        </w:rPr>
        <w:t xml:space="preserve"> </w:t>
      </w:r>
    </w:p>
    <w:tbl>
      <w:tblPr>
        <w:tblW w:w="9934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694"/>
        <w:gridCol w:w="849"/>
        <w:gridCol w:w="1559"/>
        <w:gridCol w:w="1560"/>
        <w:gridCol w:w="3272"/>
      </w:tblGrid>
      <w:tr>
        <w:trPr/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Opis</w:t>
            </w:r>
          </w:p>
        </w:tc>
      </w:tr>
      <w:tr>
        <w:trPr/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Odberatelia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179,32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179,32</w:t>
            </w:r>
          </w:p>
        </w:tc>
        <w:tc>
          <w:tcPr>
            <w:tcW w:w="3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Neuhradené faktúry</w:t>
            </w:r>
          </w:p>
        </w:tc>
      </w:tr>
      <w:tr>
        <w:trPr/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prev. preddavky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3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Zábezpeka/palubná jednotka</w:t>
            </w:r>
          </w:p>
        </w:tc>
      </w:tr>
    </w:tbl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4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false"/>
          <w:sz w:val="24"/>
          <w:szCs w:val="24"/>
        </w:rPr>
        <w:t xml:space="preserve"> k pohľadávkam - tabuľka č.3</w:t>
      </w:r>
    </w:p>
    <w:p>
      <w:pPr>
        <w:pStyle w:val="Pismenka"/>
        <w:numPr>
          <w:ilvl w:val="0"/>
          <w:numId w:val="0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0"/>
        </w:numPr>
        <w:ind w:left="426" w:hanging="0"/>
        <w:rPr/>
      </w:pPr>
      <w:r>
        <w:rPr>
          <w:b w:val="false"/>
          <w:sz w:val="24"/>
          <w:szCs w:val="24"/>
          <w:lang w:val="en-US"/>
        </w:rPr>
        <w:t>c)  pothead</w:t>
      </w:r>
      <w:r>
        <w:rPr>
          <w:b w:val="false"/>
          <w:sz w:val="24"/>
          <w:szCs w:val="24"/>
        </w:rPr>
        <w:t xml:space="preserve">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ind w:left="0" w:hanging="0"/>
        <w:jc w:val="left"/>
        <w:rPr/>
      </w:pPr>
      <w:r>
        <w:rPr>
          <w:b w:val="false"/>
          <w:sz w:val="24"/>
          <w:szCs w:val="24"/>
        </w:rPr>
        <w:t>Textová časť k tabuľke č.4: K 31.12.2017 pohľadávky celkom 229,32</w:t>
      </w:r>
      <w:r>
        <w:rPr>
          <w:rFonts w:eastAsia="Times New Roman" w:cs="Times New Roman" w:ascii="Times New Roman" w:hAnsi="Times New Roman"/>
          <w:b w:val="false"/>
          <w:sz w:val="24"/>
          <w:szCs w:val="24"/>
        </w:rPr>
        <w:t>€, z toho 178,91€ v lehote splatnosti a 50,41€ po lehote splatnosti.</w:t>
      </w:r>
    </w:p>
    <w:p>
      <w:pPr>
        <w:pStyle w:val="Pismenka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4"/>
        </w:numPr>
        <w:ind w:left="284" w:hanging="284"/>
        <w:rPr/>
      </w:pPr>
      <w:r>
        <w:rPr>
          <w:b w:val="false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ind w:left="0" w:hanging="0"/>
        <w:jc w:val="left"/>
        <w:rPr/>
      </w:pPr>
      <w:r>
        <w:rPr>
          <w:b w:val="false"/>
          <w:sz w:val="24"/>
          <w:szCs w:val="24"/>
        </w:rPr>
        <w:t>Textová časť k tabuľke č.4: K 31.12.2017 pohľadávky vo výške 229,32</w:t>
      </w:r>
      <w:r>
        <w:rPr>
          <w:rFonts w:eastAsia="Segoe UI" w:cs="Segoe UI" w:ascii="Segoe UI" w:hAnsi="Segoe UI"/>
          <w:b w:val="false"/>
          <w:sz w:val="24"/>
          <w:szCs w:val="24"/>
        </w:rPr>
        <w:t>€</w:t>
      </w:r>
      <w:r>
        <w:rPr>
          <w:rFonts w:eastAsia="Times New Roman;Times New Roman" w:cs="Times New Roman;Times New Roman"/>
          <w:b w:val="false"/>
          <w:sz w:val="24"/>
          <w:szCs w:val="24"/>
        </w:rPr>
        <w:t>.</w:t>
      </w:r>
    </w:p>
    <w:p>
      <w:pPr>
        <w:pStyle w:val="Pismenka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74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7230"/>
        <w:gridCol w:w="1416"/>
        <w:gridCol w:w="1428"/>
      </w:tblGrid>
      <w:tr>
        <w:trPr/>
        <w:tc>
          <w:tcPr>
            <w:tcW w:w="7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Zostatok k 31.12.2016 </w:t>
            </w:r>
          </w:p>
        </w:tc>
        <w:tc>
          <w:tcPr>
            <w:tcW w:w="1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Zostatok k 31.12.2017   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>
          <w:trHeight w:val="83" w:hRule="atLeast"/>
        </w:trPr>
        <w:tc>
          <w:tcPr>
            <w:tcW w:w="7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6"/>
              </w:numPr>
              <w:ind w:left="356" w:hanging="284"/>
              <w:rPr/>
            </w:pPr>
            <w:r>
              <w:rPr/>
              <w:t xml:space="preserve">so zostatkovou dobou splatnosti do 1 roka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11163,35</w:t>
            </w:r>
          </w:p>
        </w:tc>
        <w:tc>
          <w:tcPr>
            <w:tcW w:w="1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179,32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6"/>
              </w:numPr>
              <w:ind w:left="356" w:hanging="284"/>
              <w:rPr/>
            </w:pPr>
            <w:r>
              <w:rPr/>
              <w:t>so zostatkovou dobou splatnosti od 1 roka do 5 rokov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6"/>
              </w:numPr>
              <w:ind w:left="356" w:hanging="284"/>
              <w:rPr/>
            </w:pPr>
            <w:r>
              <w:rPr/>
              <w:t>so zostatkovou dobou splatnosti nad 5 rokov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50,00</w:t>
            </w:r>
          </w:p>
        </w:tc>
      </w:tr>
    </w:tbl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4"/>
        </w:numPr>
        <w:ind w:left="284" w:hanging="284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false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70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5103"/>
        <w:gridCol w:w="2835"/>
        <w:gridCol w:w="2332"/>
      </w:tblGrid>
      <w:tr>
        <w:trPr/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>
        <w:trPr/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4"/>
        </w:numPr>
        <w:ind w:left="284" w:hanging="284"/>
        <w:rPr/>
      </w:pPr>
      <w:r>
        <w:rPr>
          <w:b w:val="false"/>
          <w:sz w:val="24"/>
          <w:szCs w:val="24"/>
        </w:rPr>
        <w:t>pohľadávky, na ktoré sa zriadilo záložné právo a výška pohľadávok, pri ktorých má účtovná jednotka obmedzené právo s nimi nakladať</w:t>
      </w:r>
      <w:r>
        <w:rPr/>
        <w:t xml:space="preserve"> </w:t>
      </w:r>
    </w:p>
    <w:tbl>
      <w:tblPr>
        <w:tblW w:w="10216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5220"/>
        <w:gridCol w:w="4995"/>
      </w:tblGrid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Hodnota pohľadávok 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Hodnota pohľadávok, na ktoré sa zriadilo záložné právo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Hodnota pohľadávok pri ktorých je obmedzené </w:t>
            </w:r>
          </w:p>
          <w:p>
            <w:pPr>
              <w:pStyle w:val="Normal"/>
              <w:rPr/>
            </w:pPr>
            <w:r>
              <w:rPr/>
              <w:t xml:space="preserve">právo s nimi nakladať 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0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false"/>
          <w:sz w:val="24"/>
          <w:szCs w:val="24"/>
        </w:rPr>
        <w:t xml:space="preserve"> </w:t>
      </w:r>
    </w:p>
    <w:tbl>
      <w:tblPr>
        <w:tblW w:w="10358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4961"/>
        <w:gridCol w:w="2693"/>
        <w:gridCol w:w="2704"/>
      </w:tblGrid>
      <w:tr>
        <w:trPr/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k 31.12.2016</w:t>
            </w:r>
          </w:p>
        </w:tc>
        <w:tc>
          <w:tcPr>
            <w:tcW w:w="2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>
        <w:trPr/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Pokladnica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1400,46</w:t>
            </w:r>
          </w:p>
        </w:tc>
        <w:tc>
          <w:tcPr>
            <w:tcW w:w="2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572,02</w:t>
            </w:r>
          </w:p>
        </w:tc>
      </w:tr>
      <w:tr>
        <w:trPr/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Ceniny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7,00</w:t>
            </w:r>
          </w:p>
        </w:tc>
        <w:tc>
          <w:tcPr>
            <w:tcW w:w="2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63,00</w:t>
            </w:r>
          </w:p>
        </w:tc>
      </w:tr>
      <w:tr>
        <w:trPr/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Bankové účty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19441,59</w:t>
            </w:r>
          </w:p>
        </w:tc>
        <w:tc>
          <w:tcPr>
            <w:tcW w:w="2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25868,51</w:t>
            </w:r>
          </w:p>
        </w:tc>
      </w:tr>
    </w:tbl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false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16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6095"/>
        <w:gridCol w:w="4120"/>
      </w:tblGrid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Druh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Hodnota </w:t>
            </w:r>
          </w:p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krátkodobého finančného majetku </w:t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Krátkodobý finančný majetok, na ktorý bolo zriadené záložné právo </w:t>
            </w:r>
          </w:p>
        </w:tc>
        <w:tc>
          <w:tcPr>
            <w:tcW w:w="4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Krátkodobý finančný majetok, pri ktorom je obmedzené právo s nám nakladať </w:t>
            </w:r>
          </w:p>
        </w:tc>
        <w:tc>
          <w:tcPr>
            <w:tcW w:w="4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left="36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0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tbl>
      <w:tblPr>
        <w:tblW w:w="10216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700"/>
        <w:gridCol w:w="900"/>
        <w:gridCol w:w="900"/>
        <w:gridCol w:w="1437"/>
        <w:gridCol w:w="2140"/>
        <w:gridCol w:w="2138"/>
      </w:tblGrid>
      <w:tr>
        <w:trPr/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Výnos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Dátum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Výška návratnej finančnej výpomoci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 31.12.2017</w:t>
            </w:r>
          </w:p>
        </w:tc>
        <w:tc>
          <w:tcPr>
            <w:tcW w:w="2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Výška návratnej finančnej výpomoci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 31.12.2016</w:t>
            </w:r>
          </w:p>
        </w:tc>
      </w:tr>
      <w:tr>
        <w:trPr/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0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16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5667"/>
        <w:gridCol w:w="2410"/>
        <w:gridCol w:w="2139"/>
      </w:tblGrid>
      <w:tr>
        <w:trPr/>
        <w:tc>
          <w:tcPr>
            <w:tcW w:w="5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k 31.12.2016</w:t>
            </w:r>
          </w:p>
        </w:tc>
        <w:tc>
          <w:tcPr>
            <w:tcW w:w="2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>
        <w:trPr/>
        <w:tc>
          <w:tcPr>
            <w:tcW w:w="5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260,15</w:t>
            </w:r>
          </w:p>
        </w:tc>
        <w:tc>
          <w:tcPr>
            <w:tcW w:w="2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377,03</w:t>
            </w:r>
          </w:p>
        </w:tc>
      </w:tr>
      <w:tr>
        <w:trPr/>
        <w:tc>
          <w:tcPr>
            <w:tcW w:w="5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0</w:t>
            </w:r>
          </w:p>
        </w:tc>
        <w:tc>
          <w:tcPr>
            <w:tcW w:w="2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0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/>
      </w:pPr>
      <w:r>
        <w:rPr>
          <w:b/>
          <w:sz w:val="24"/>
          <w:szCs w:val="24"/>
        </w:rPr>
        <w:t>Čl. IV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324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268"/>
        <w:gridCol w:w="1078"/>
        <w:gridCol w:w="906"/>
        <w:gridCol w:w="906"/>
        <w:gridCol w:w="794"/>
        <w:gridCol w:w="1134"/>
        <w:gridCol w:w="3237"/>
      </w:tblGrid>
      <w:tr>
        <w:trPr/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31.12.2016</w:t>
            </w:r>
          </w:p>
        </w:tc>
        <w:tc>
          <w:tcPr>
            <w:tcW w:w="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31.12.2017</w:t>
            </w:r>
          </w:p>
        </w:tc>
        <w:tc>
          <w:tcPr>
            <w:tcW w:w="3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Výsledok hospodárenia</w:t>
            </w:r>
          </w:p>
        </w:tc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6722,46</w:t>
            </w:r>
          </w:p>
        </w:tc>
        <w:tc>
          <w:tcPr>
            <w:tcW w:w="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  <w:t>1930,86</w:t>
            </w:r>
          </w:p>
        </w:tc>
        <w:tc>
          <w:tcPr>
            <w:tcW w:w="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  <w:t>6722,46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  <w:t>1930,86</w:t>
            </w:r>
          </w:p>
        </w:tc>
        <w:tc>
          <w:tcPr>
            <w:tcW w:w="3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Zákonný rezervný fond</w:t>
            </w:r>
          </w:p>
        </w:tc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  <w:t>6722,46</w:t>
            </w:r>
          </w:p>
        </w:tc>
        <w:tc>
          <w:tcPr>
            <w:tcW w:w="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  <w:t>6722,46</w:t>
            </w:r>
          </w:p>
        </w:tc>
        <w:tc>
          <w:tcPr>
            <w:tcW w:w="3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  <w:t>Tvorba rezervného fondu z kladného hospodárskeho výsledku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>
      <w:pPr>
        <w:pStyle w:val="Normal"/>
        <w:numPr>
          <w:ilvl w:val="0"/>
          <w:numId w:val="25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>
      <w:pPr>
        <w:pStyle w:val="Pismenka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Predpokladaný rok použitia rezerv a opis významných položiek rezerv</w:t>
      </w:r>
    </w:p>
    <w:tbl>
      <w:tblPr>
        <w:tblW w:w="10216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7229"/>
        <w:gridCol w:w="2986"/>
      </w:tblGrid>
      <w:tr>
        <w:trPr/>
        <w:tc>
          <w:tcPr>
            <w:tcW w:w="7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Názov položky / Suma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>
        <w:trPr/>
        <w:tc>
          <w:tcPr>
            <w:tcW w:w="7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5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>
      <w:pPr>
        <w:pStyle w:val="Pismenka"/>
        <w:numPr>
          <w:ilvl w:val="0"/>
          <w:numId w:val="1"/>
        </w:numPr>
        <w:ind w:left="284" w:hanging="284"/>
        <w:rPr/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ind w:left="0" w:hanging="0"/>
        <w:jc w:val="left"/>
        <w:rPr/>
      </w:pPr>
      <w:r>
        <w:rPr>
          <w:b w:val="false"/>
          <w:sz w:val="24"/>
          <w:szCs w:val="24"/>
        </w:rPr>
        <w:t>Textová časť k tabuľke č.8  - Ú</w:t>
      </w:r>
      <w:r>
        <w:rPr>
          <w:b w:val="false"/>
          <w:color w:val="000000"/>
          <w:sz w:val="24"/>
          <w:szCs w:val="24"/>
        </w:rPr>
        <w:t>čtovná  jednotka neeviduje žiadne záväzky po lehote splatnosti.</w:t>
      </w:r>
    </w:p>
    <w:p>
      <w:pPr>
        <w:pStyle w:val="Pismenka"/>
        <w:ind w:left="0" w:hanging="0"/>
        <w:rPr>
          <w:b w:val="false"/>
          <w:b w:val="false"/>
          <w:color w:val="000000"/>
          <w:sz w:val="24"/>
          <w:szCs w:val="24"/>
        </w:rPr>
      </w:pPr>
      <w:r>
        <w:rPr>
          <w:b w:val="false"/>
          <w:color w:val="000000"/>
          <w:sz w:val="24"/>
          <w:szCs w:val="24"/>
        </w:rPr>
      </w:r>
    </w:p>
    <w:tbl>
      <w:tblPr>
        <w:tblW w:w="10177" w:type="dxa"/>
        <w:jc w:val="left"/>
        <w:tblInd w:w="9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7200"/>
        <w:gridCol w:w="1558"/>
        <w:gridCol w:w="1419"/>
      </w:tblGrid>
      <w:tr>
        <w:trPr/>
        <w:tc>
          <w:tcPr>
            <w:tcW w:w="7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Zostatok k 31.12.2016   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Zostatok k 31.12.2017   </w:t>
            </w:r>
          </w:p>
        </w:tc>
      </w:tr>
      <w:tr>
        <w:trPr/>
        <w:tc>
          <w:tcPr>
            <w:tcW w:w="7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8"/>
              </w:numPr>
              <w:ind w:left="318" w:hanging="142"/>
              <w:rPr/>
            </w:pPr>
            <w:r>
              <w:rPr/>
              <w:t>záväzky zo sociálneho fondu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468,00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1286,17</w:t>
            </w:r>
          </w:p>
        </w:tc>
      </w:tr>
      <w:tr>
        <w:trPr/>
        <w:tc>
          <w:tcPr>
            <w:tcW w:w="7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8"/>
              </w:numPr>
              <w:ind w:left="318" w:hanging="142"/>
              <w:rPr/>
            </w:pPr>
            <w:r>
              <w:rPr/>
              <w:t>záväzky z poskytnutého úveru zo ŠFRB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8"/>
              </w:numPr>
              <w:ind w:left="318" w:hanging="142"/>
              <w:rPr/>
            </w:pPr>
            <w:r>
              <w:rPr/>
              <w:t>záväzky z investičného dodávateľského úveru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8"/>
              </w:numPr>
              <w:ind w:left="318" w:hanging="142"/>
              <w:rPr/>
            </w:pPr>
            <w:r>
              <w:rPr/>
              <w:t>záväzky z neinvestičného dodávateľského úveru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8"/>
              </w:numPr>
              <w:ind w:left="318" w:hanging="142"/>
              <w:rPr/>
            </w:pPr>
            <w:r>
              <w:rPr/>
              <w:t>záväzky z finančnej zábezpeky na nájomné v bytovkách zo ŠFRB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8"/>
              </w:numPr>
              <w:snapToGrid w:val="false"/>
              <w:ind w:left="318" w:hanging="142"/>
              <w:rPr/>
            </w:pPr>
            <w:r>
              <w:rPr/>
              <w:t>ostatné záväzky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1118,28</w:t>
            </w:r>
          </w:p>
        </w:tc>
      </w:tr>
      <w:tr>
        <w:trPr/>
        <w:tc>
          <w:tcPr>
            <w:tcW w:w="7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8"/>
              </w:numPr>
              <w:ind w:left="318" w:hanging="142"/>
              <w:rPr/>
            </w:pPr>
            <w:r>
              <w:rPr/>
              <w:t>záväzky voči dodávateľom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969,42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5335,78</w:t>
            </w:r>
          </w:p>
        </w:tc>
      </w:tr>
      <w:tr>
        <w:trPr/>
        <w:tc>
          <w:tcPr>
            <w:tcW w:w="7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8"/>
              </w:numPr>
              <w:ind w:left="318" w:hanging="142"/>
              <w:rPr/>
            </w:pPr>
            <w:r>
              <w:rPr/>
              <w:t>záväzky voči zamestnancom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8427,92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9500,40</w:t>
            </w:r>
          </w:p>
        </w:tc>
      </w:tr>
      <w:tr>
        <w:trPr/>
        <w:tc>
          <w:tcPr>
            <w:tcW w:w="7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8"/>
              </w:numPr>
              <w:ind w:left="318" w:hanging="142"/>
              <w:rPr/>
            </w:pPr>
            <w:r>
              <w:rPr/>
              <w:t xml:space="preserve">záväzky voči poisťovniam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5780,16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6351,16</w:t>
            </w:r>
          </w:p>
        </w:tc>
      </w:tr>
      <w:tr>
        <w:trPr/>
        <w:tc>
          <w:tcPr>
            <w:tcW w:w="7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8"/>
              </w:numPr>
              <w:ind w:left="318" w:hanging="142"/>
              <w:rPr/>
            </w:pPr>
            <w:r>
              <w:rPr/>
              <w:t>záväzky voči daňovému úradu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2200,75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1138,44</w:t>
            </w:r>
          </w:p>
        </w:tc>
      </w:tr>
      <w:tr>
        <w:trPr/>
        <w:tc>
          <w:tcPr>
            <w:tcW w:w="7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8"/>
              </w:numPr>
              <w:ind w:left="318" w:hanging="142"/>
              <w:rPr/>
            </w:pPr>
            <w:r>
              <w:rPr/>
              <w:t>záväzky voči štátnemu rozpočtu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8"/>
              </w:numPr>
              <w:ind w:left="318" w:hanging="142"/>
              <w:rPr/>
            </w:pPr>
            <w:r>
              <w:rPr/>
              <w:t xml:space="preserve">záväzky z finančnej zábezpeky na verejné obstarávanie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8"/>
              </w:numPr>
              <w:ind w:left="318" w:hanging="142"/>
              <w:rPr/>
            </w:pPr>
            <w:r>
              <w:rPr/>
              <w:t>ostatné záväzky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12339,64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</w:tr>
    </w:tbl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"/>
        </w:numPr>
        <w:ind w:left="284" w:hanging="284"/>
        <w:rPr/>
      </w:pPr>
      <w:r>
        <w:rPr>
          <w:b w:val="false"/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ind w:left="0" w:hanging="0"/>
        <w:jc w:val="left"/>
        <w:rPr/>
      </w:pPr>
      <w:r>
        <w:rPr>
          <w:b w:val="false"/>
          <w:sz w:val="24"/>
          <w:szCs w:val="24"/>
        </w:rPr>
        <w:t xml:space="preserve">Textová časť k tabuľke č.8  </w:t>
      </w:r>
    </w:p>
    <w:p>
      <w:pPr>
        <w:pStyle w:val="Pismenka"/>
        <w:ind w:left="0" w:hanging="0"/>
        <w:jc w:val="left"/>
        <w:rPr/>
      </w:pPr>
      <w:r>
        <w:rPr>
          <w:b w:val="false"/>
          <w:sz w:val="24"/>
          <w:szCs w:val="24"/>
        </w:rPr>
        <w:t>K 31.12.2017 záväzky vo výške 22325,78</w:t>
      </w:r>
      <w:r>
        <w:rPr>
          <w:rFonts w:eastAsia="Segoe UI" w:cs="Segoe UI" w:ascii="Segoe UI" w:hAnsi="Segoe UI"/>
          <w:b w:val="false"/>
          <w:sz w:val="24"/>
          <w:szCs w:val="24"/>
        </w:rPr>
        <w:t>€</w:t>
      </w:r>
      <w:r>
        <w:rPr>
          <w:rFonts w:eastAsia="Times New Roman;Times New Roman" w:cs="Times New Roman;Times New Roman"/>
          <w:b w:val="false"/>
          <w:sz w:val="24"/>
          <w:szCs w:val="24"/>
        </w:rPr>
        <w:t>.</w:t>
      </w:r>
    </w:p>
    <w:tbl>
      <w:tblPr>
        <w:tblW w:w="10358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7227"/>
        <w:gridCol w:w="1559"/>
        <w:gridCol w:w="1572"/>
      </w:tblGrid>
      <w:tr>
        <w:trPr/>
        <w:tc>
          <w:tcPr>
            <w:tcW w:w="7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Zostatok k 31.12.2016   </w:t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Zostatok k 31.12.2017   </w:t>
            </w:r>
          </w:p>
        </w:tc>
      </w:tr>
      <w:tr>
        <w:trPr/>
        <w:tc>
          <w:tcPr>
            <w:tcW w:w="7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4"/>
              </w:numPr>
              <w:ind w:left="356" w:hanging="284"/>
              <w:rPr/>
            </w:pPr>
            <w:r>
              <w:rPr/>
              <w:t xml:space="preserve">so zostatkovou dobou splatnosti  do 1 roka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29717,89</w:t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22325,78</w:t>
            </w:r>
          </w:p>
        </w:tc>
      </w:tr>
      <w:tr>
        <w:trPr/>
        <w:tc>
          <w:tcPr>
            <w:tcW w:w="7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4"/>
              </w:numPr>
              <w:ind w:left="356" w:hanging="284"/>
              <w:rPr/>
            </w:pPr>
            <w:r>
              <w:rPr/>
              <w:t>so zostatkovou dobou splatnosti  od 1 roka do 5 rokov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7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4"/>
              </w:numPr>
              <w:ind w:left="356" w:hanging="284"/>
              <w:rPr/>
            </w:pPr>
            <w:r>
              <w:rPr/>
              <w:t>so zostatkovou dobou splatnosti  nad 5 rokov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5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>
      <w:pPr>
        <w:pStyle w:val="Pismenka"/>
        <w:numPr>
          <w:ilvl w:val="0"/>
          <w:numId w:val="3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dlhodobé bankové úvery a krátkodobé bankové úvery - tabuľka č.9</w:t>
      </w:r>
    </w:p>
    <w:p>
      <w:pPr>
        <w:pStyle w:val="Pismenka"/>
        <w:ind w:left="0" w:hanging="0"/>
        <w:jc w:val="left"/>
        <w:rPr/>
      </w:pPr>
      <w:r>
        <w:rPr>
          <w:b w:val="false"/>
          <w:sz w:val="24"/>
          <w:szCs w:val="24"/>
        </w:rPr>
        <w:t xml:space="preserve">Textová časť k tabuľke č.9 </w:t>
      </w:r>
    </w:p>
    <w:p>
      <w:pPr>
        <w:pStyle w:val="Pismenka"/>
        <w:ind w:left="0" w:hanging="0"/>
        <w:jc w:val="left"/>
        <w:rPr>
          <w:b w:val="false"/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p>
      <w:pPr>
        <w:pStyle w:val="Pismenka"/>
        <w:numPr>
          <w:ilvl w:val="0"/>
          <w:numId w:val="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false"/>
          <w:sz w:val="24"/>
          <w:szCs w:val="24"/>
        </w:rPr>
        <w:t>dlhodobého bankového úveru alebo krátkodobého bankového úveru</w:t>
      </w:r>
    </w:p>
    <w:tbl>
      <w:tblPr>
        <w:tblW w:w="10358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4500"/>
        <w:gridCol w:w="5857"/>
      </w:tblGrid>
      <w:tr>
        <w:trPr/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Druh bankového úveru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</w:tbl>
    <w:p>
      <w:pPr>
        <w:pStyle w:val="Pismenka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false"/>
          <w:sz w:val="24"/>
          <w:szCs w:val="24"/>
        </w:rPr>
        <w:t>(riadky 150 a 176 súvahy)</w:t>
      </w:r>
    </w:p>
    <w:tbl>
      <w:tblPr>
        <w:tblW w:w="10430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3239"/>
        <w:gridCol w:w="1863"/>
        <w:gridCol w:w="1017"/>
        <w:gridCol w:w="1399"/>
        <w:gridCol w:w="1483"/>
        <w:gridCol w:w="1428"/>
      </w:tblGrid>
      <w:tr>
        <w:trPr/>
        <w:tc>
          <w:tcPr>
            <w:tcW w:w="3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Mena, v ktorej sú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Úroková sadzba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Stav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 31.12.2017</w:t>
            </w:r>
          </w:p>
        </w:tc>
        <w:tc>
          <w:tcPr>
            <w:tcW w:w="1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Stav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 31.12.2016</w:t>
            </w:r>
          </w:p>
        </w:tc>
      </w:tr>
      <w:tr>
        <w:trPr/>
        <w:tc>
          <w:tcPr>
            <w:tcW w:w="3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Pismenka"/>
        <w:ind w:left="284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3"/>
        </w:numPr>
        <w:ind w:left="284" w:hanging="284"/>
        <w:rPr/>
      </w:pPr>
      <w:r>
        <w:rPr>
          <w:sz w:val="24"/>
          <w:szCs w:val="24"/>
        </w:rPr>
        <w:t xml:space="preserve">prijaté dlhodobé návratné finančné výpomoci </w:t>
      </w:r>
      <w:r>
        <w:rPr/>
        <w:t xml:space="preserve">a krátkodobé návratné finančné výpomoci </w:t>
      </w:r>
    </w:p>
    <w:tbl>
      <w:tblPr>
        <w:tblW w:w="10430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3119"/>
        <w:gridCol w:w="2128"/>
        <w:gridCol w:w="1133"/>
        <w:gridCol w:w="1133"/>
        <w:gridCol w:w="1420"/>
        <w:gridCol w:w="1496"/>
      </w:tblGrid>
      <w:tr>
        <w:trPr/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Poskytovateľ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Druh prijatej návratnej výpomoci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Účel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Výška prijatej návratnej výpomoci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 31.12.2017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Výška prijatej návratnej výpomoci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 31.12.2016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numPr>
          <w:ilvl w:val="0"/>
          <w:numId w:val="25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Pismenka"/>
        <w:numPr>
          <w:ilvl w:val="0"/>
          <w:numId w:val="1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popis významných položiek časového rozlíšenia výdavkov budúcich období a výnosov budúcich                období </w:t>
      </w:r>
    </w:p>
    <w:tbl>
      <w:tblPr>
        <w:tblW w:w="10358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5529"/>
        <w:gridCol w:w="2409"/>
        <w:gridCol w:w="2420"/>
      </w:tblGrid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 k 31.12.2016</w:t>
            </w:r>
          </w:p>
        </w:tc>
        <w:tc>
          <w:tcPr>
            <w:tcW w:w="2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 k 31.12.2017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Pismenka"/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informácia o prijatých kapitálových transferoch zaúčtovaných na účte 384 </w:t>
      </w:r>
    </w:p>
    <w:tbl>
      <w:tblPr>
        <w:tblW w:w="10357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5529"/>
        <w:gridCol w:w="2409"/>
        <w:gridCol w:w="2419"/>
      </w:tblGrid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Stav k 31.12.2016</w:t>
            </w:r>
          </w:p>
        </w:tc>
        <w:tc>
          <w:tcPr>
            <w:tcW w:w="2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Stav k 31.12.2017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0"/>
              </w:numPr>
              <w:ind w:left="176" w:hanging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Pismenka"/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>
      <w:pPr>
        <w:pStyle w:val="Normal"/>
        <w:jc w:val="center"/>
        <w:rPr/>
      </w:pPr>
      <w:r>
        <w:rPr>
          <w:b/>
          <w:sz w:val="24"/>
          <w:szCs w:val="24"/>
        </w:rPr>
        <w:t xml:space="preserve">Informácie o výnosoch a nákladoch </w:t>
      </w:r>
    </w:p>
    <w:p>
      <w:pPr>
        <w:pStyle w:val="Pismenka"/>
        <w:ind w:left="36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26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8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6095"/>
        <w:gridCol w:w="2269"/>
        <w:gridCol w:w="1994"/>
      </w:tblGrid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 k 31.12.2017</w:t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tržby za vlastné výkony  a tovar 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602 – Tržby z predaja služieb</w:t>
            </w:r>
          </w:p>
          <w:p>
            <w:pPr>
              <w:pStyle w:val="Normal"/>
              <w:rPr/>
            </w:pPr>
            <w:r>
              <w:rPr/>
              <w:t>604 - Tržby z predaja tovaru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1493,88</w:t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21582,37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2138,40</w:t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zmena stavu vnútroorganizačných zásob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aktivácia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624 - Aktivácia DHM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daňové a colné výnosy a výnosy z poplatkov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632 - Daňové výnosy samosprávy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633 - Výnosy z poplatkov 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finančné výnosy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661 - Tržby z predaja CP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662 - Úroky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3,61</w:t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1,79</w:t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668 - Ostatné finančné výnosy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17,70</w:t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672 - Náhrady škôd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691 - Výnosy z bežných transferov z rozpočtu obce, VÚC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245464,05</w:t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315304,74</w:t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692 - Výnosy z kapitálových transferov z rozpočtu obce, VÚC</w:t>
            </w:r>
          </w:p>
          <w:p>
            <w:pPr>
              <w:pStyle w:val="Normal"/>
              <w:numPr>
                <w:ilvl w:val="0"/>
                <w:numId w:val="28"/>
              </w:numPr>
              <w:rPr/>
            </w:pPr>
            <w:r>
              <w:rPr/>
              <w:t xml:space="preserve">zúčtovanie kapitálového transferu zriaďovateľa                                            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14167,62</w:t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37924,89</w:t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693 - Výnosy samosprávy z bežných transferov zo ŠR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694 - Výnosy samosprávy z kapitálových transferov zo ŠR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695 - Výnosy samosprávy z bežných transferov od EÚ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696 - Výnosy samosprávy z kapitálových transferov od EÚ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697 - Výnosy samosprávy z bežných transferov od ostatných subjektov mimo verejnej správy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698 - Výnosy samosprávy z kapitálových transferov od ostatných subjektov mimo verejnej správy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699 - Výnosy samosprávy  z odvodu rozpočtových príjmov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ostatné výnosy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648 - Ostatné výnosy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49,96</w:t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96,70</w:t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zúčtovanie rezerv, opravných položiek, časového rozlíšenia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653 - Zúčtovanie ostatných rezerv z prevádzkovej činnosti </w:t>
            </w:r>
          </w:p>
          <w:p>
            <w:pPr>
              <w:pStyle w:val="Normal"/>
              <w:rPr/>
            </w:pPr>
            <w:r>
              <w:rPr/>
              <w:t>658 - Zúčtovanie ostatných opravných položiek z prevádzkovej činnosti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6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42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6093"/>
        <w:gridCol w:w="2268"/>
        <w:gridCol w:w="2281"/>
      </w:tblGrid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 k 31.12.2017</w:t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2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34116,19</w:t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62741,32</w:t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502 - Spotreba energie</w:t>
            </w:r>
          </w:p>
          <w:p>
            <w:pPr>
              <w:pStyle w:val="Normal"/>
              <w:numPr>
                <w:ilvl w:val="0"/>
                <w:numId w:val="28"/>
              </w:numPr>
              <w:rPr/>
            </w:pPr>
            <w:r>
              <w:rPr/>
              <w:t>elektrická energia</w:t>
            </w:r>
          </w:p>
          <w:p>
            <w:pPr>
              <w:pStyle w:val="Normal"/>
              <w:numPr>
                <w:ilvl w:val="0"/>
                <w:numId w:val="28"/>
              </w:numPr>
              <w:rPr/>
            </w:pPr>
            <w:r>
              <w:rPr/>
              <w:t>voda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816,14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286,04</w:t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1545,36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729,30</w:t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2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služby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511 - Opravy a udržiavanie/ mot. vozidlá, stroje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279,42</w:t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6453,68</w:t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512 - Cestovné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18,90</w:t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513 - Náklady na reprezentáciu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518 - Ostatné služby </w:t>
            </w:r>
          </w:p>
          <w:p>
            <w:pPr>
              <w:pStyle w:val="Normal"/>
              <w:rPr/>
            </w:pPr>
            <w:r>
              <w:rPr/>
              <w:t>- technické a emisné kontroly</w:t>
            </w:r>
          </w:p>
          <w:p>
            <w:pPr>
              <w:pStyle w:val="Normal"/>
              <w:rPr/>
            </w:pPr>
            <w:r>
              <w:rPr/>
              <w:t>- poštovné</w:t>
            </w:r>
          </w:p>
          <w:p>
            <w:pPr>
              <w:pStyle w:val="Normal"/>
              <w:rPr/>
            </w:pPr>
            <w:r>
              <w:rPr/>
              <w:t>- všeobecné služby</w:t>
            </w:r>
          </w:p>
          <w:p>
            <w:pPr>
              <w:pStyle w:val="Normal"/>
              <w:rPr/>
            </w:pPr>
            <w:r>
              <w:rPr/>
              <w:t>- služby BTS</w:t>
            </w:r>
          </w:p>
          <w:p>
            <w:pPr>
              <w:pStyle w:val="Normal"/>
              <w:rPr/>
            </w:pPr>
            <w:r>
              <w:rPr/>
              <w:t>- služby k softvéru</w:t>
            </w:r>
          </w:p>
          <w:p>
            <w:pPr>
              <w:pStyle w:val="Normal"/>
              <w:rPr/>
            </w:pPr>
            <w:r>
              <w:rPr/>
              <w:t>- telekomunikačné služby</w:t>
            </w:r>
          </w:p>
          <w:p>
            <w:pPr>
              <w:pStyle w:val="Normal"/>
              <w:rPr/>
            </w:pPr>
            <w:r>
              <w:rPr/>
              <w:t>- služby externých dodávateľov pri opravách komunikácií</w:t>
            </w:r>
          </w:p>
          <w:p>
            <w:pPr>
              <w:pStyle w:val="Normal"/>
              <w:rPr/>
            </w:pPr>
            <w:r>
              <w:rPr/>
              <w:t>- požičovné/náradie</w:t>
            </w:r>
          </w:p>
          <w:p>
            <w:pPr>
              <w:pStyle w:val="Normal"/>
              <w:rPr/>
            </w:pPr>
            <w:r>
              <w:rPr/>
              <w:t>- parkovné</w:t>
            </w:r>
          </w:p>
          <w:p>
            <w:pPr>
              <w:pStyle w:val="Normal"/>
              <w:rPr/>
            </w:pPr>
            <w:r>
              <w:rPr/>
              <w:t>- služby externých dodávateľov pri opravách/TS/</w:t>
            </w:r>
          </w:p>
          <w:p>
            <w:pPr>
              <w:pStyle w:val="Normal"/>
              <w:rPr/>
            </w:pPr>
            <w:r>
              <w:rPr/>
              <w:t>- odplata za sprostredkovanie stravných lístkov</w:t>
            </w:r>
          </w:p>
          <w:p>
            <w:pPr>
              <w:pStyle w:val="Normal"/>
              <w:rPr/>
            </w:pPr>
            <w:r>
              <w:rPr/>
              <w:t>- školenia</w:t>
            </w:r>
          </w:p>
          <w:p>
            <w:pPr>
              <w:pStyle w:val="Normal"/>
              <w:rPr/>
            </w:pPr>
            <w:r>
              <w:rPr/>
              <w:t>- diaľničné známky</w:t>
            </w:r>
          </w:p>
          <w:p>
            <w:pPr>
              <w:pStyle w:val="Normal"/>
              <w:rPr/>
            </w:pPr>
            <w:r>
              <w:rPr/>
              <w:t>- služby externých dodávateľov pri povodniach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280,35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82,52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1233,66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2016,00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50,00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609,30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56782,14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162,00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11,50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5976,32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107,94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720,00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0,00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0,00</w:t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348,60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100,88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247,80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3061,74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320,00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871,55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22069,95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187,00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14,50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0,00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171,36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89,00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10,00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2404,20</w:t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2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95150,64</w:t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161385,78</w:t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33264,42</w:t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56398,10</w:t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7099,97</w:t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11391,00</w:t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2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538 - Ostatné dane a poplatky</w:t>
            </w:r>
          </w:p>
          <w:p>
            <w:pPr>
              <w:pStyle w:val="Normal"/>
              <w:rPr/>
            </w:pPr>
            <w:r>
              <w:rPr/>
              <w:t>- mýto</w:t>
            </w:r>
          </w:p>
          <w:p>
            <w:pPr>
              <w:pStyle w:val="Normal"/>
              <w:rPr/>
            </w:pPr>
            <w:r>
              <w:rPr/>
              <w:t>-správne poplatky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105,00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66,00</w:t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55,00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298,00</w:t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2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odpisy, rezervy a opravné položky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551 - Odpisy  DNM a DHM</w:t>
            </w:r>
          </w:p>
          <w:p>
            <w:pPr>
              <w:pStyle w:val="Normal"/>
              <w:numPr>
                <w:ilvl w:val="0"/>
                <w:numId w:val="28"/>
              </w:numPr>
              <w:rPr/>
            </w:pPr>
            <w:r>
              <w:rPr/>
              <w:t>odpisy z vlastných zdrojov</w:t>
            </w:r>
          </w:p>
          <w:p>
            <w:pPr>
              <w:pStyle w:val="Normal"/>
              <w:numPr>
                <w:ilvl w:val="0"/>
                <w:numId w:val="28"/>
              </w:numPr>
              <w:rPr/>
            </w:pPr>
            <w:r>
              <w:rPr/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jc w:val="right"/>
              <w:rPr/>
            </w:pPr>
            <w:r>
              <w:rPr/>
              <w:t>312,56</w:t>
            </w:r>
          </w:p>
          <w:p>
            <w:pPr>
              <w:pStyle w:val="Normal"/>
              <w:jc w:val="right"/>
              <w:rPr/>
            </w:pPr>
            <w:r>
              <w:rPr/>
              <w:t>14167,62</w:t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2225,40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37924,89</w:t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558 - Tvorba ostatných opravných položiek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2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561 - Predané CP a podiely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562 - Úroky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568 - Ostatné finančné náklady</w:t>
            </w:r>
          </w:p>
          <w:p>
            <w:pPr>
              <w:pStyle w:val="Normal"/>
              <w:rPr/>
            </w:pPr>
            <w:r>
              <w:rPr/>
              <w:t>- bankové poplatky</w:t>
            </w:r>
          </w:p>
          <w:p>
            <w:pPr>
              <w:pStyle w:val="Normal"/>
              <w:rPr/>
            </w:pPr>
            <w:r>
              <w:rPr/>
              <w:t>- povinné zmluvné poistenie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79,20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217,02</w:t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105,10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2905,18</w:t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2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572 - Škody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2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584 - Náklady na transfery z rozpočtu obce, VÚC do RO, PO zriadených obcou alebo VÚC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589 - Náklady z budúceho odvodu príjmov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2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1,00</w:t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18,04</w:t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546 - Odpis pohľadávky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549 - Manká a škody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12"/>
              </w:numPr>
              <w:ind w:left="185" w:hanging="185"/>
              <w:rPr/>
            </w:pPr>
            <w:r>
              <w:rPr>
                <w:b/>
              </w:rPr>
              <w:t>dane z príjmov</w:t>
            </w:r>
          </w:p>
          <w:p>
            <w:pPr>
              <w:pStyle w:val="Normal"/>
              <w:rPr/>
            </w:pPr>
            <w:r>
              <w:rPr/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0,66</w:t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0,31</w:t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6"/>
        </w:numPr>
        <w:ind w:left="284" w:hanging="284"/>
        <w:rPr/>
      </w:pPr>
      <w:r>
        <w:rPr/>
        <w:t xml:space="preserve">Tržby a výrobné náklady príspevkových organizácií </w:t>
      </w:r>
    </w:p>
    <w:tbl>
      <w:tblPr>
        <w:tblW w:w="10216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720"/>
        <w:gridCol w:w="4680"/>
        <w:gridCol w:w="878"/>
        <w:gridCol w:w="2002"/>
        <w:gridCol w:w="1936"/>
      </w:tblGrid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Číslo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Číslo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 k 31.12.2017</w:t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a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b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c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601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Tržby za vlastné výrobky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01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602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Tržby z predaja služieb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02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24256,44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25646,51</w:t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604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Tržby za tovar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03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504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Predaný tovar 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04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05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  <w:t>24256,44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  <w:t>25646,51</w:t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501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Spotreba materiálu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06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9020,27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11034,84</w:t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502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Spotreba energie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07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503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Spotreba ostatných neskladovateľných dodávok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08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511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Oprava a udržiavanie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09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45,29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254,16</w:t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512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Cestovné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513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Náklady na reprezentáciu 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11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518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Ostatné služby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2982,43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28,40</w:t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521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Mzdové náklady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13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6783,80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7275,97</w:t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524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Zákonné sociálne poistenie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14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2357,07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2542,67</w:t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525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Ostatné sociálne poistenie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15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527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Zákonné sociálne náklady 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16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528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Ostané sociálne náklady 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17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531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Daň z motorových vozidiel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18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1664,00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3010,80</w:t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532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Daň z nehnuteľností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19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538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Ostatné dane a poplatky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55,00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16,50</w:t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551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Odpisy dlhodobého nehmotného majetku a dlhodobého hmotného majetku  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21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22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  <w:t>22907,86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  <w:t>24163,34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Pismenka"/>
        <w:ind w:left="0" w:hanging="0"/>
        <w:rPr/>
      </w:pPr>
      <w:r>
        <w:rPr>
          <w:b w:val="false"/>
          <w:sz w:val="24"/>
          <w:szCs w:val="24"/>
        </w:rPr>
        <w:t xml:space="preserve">Textová časť : </w:t>
      </w:r>
    </w:p>
    <w:p>
      <w:pPr>
        <w:pStyle w:val="Pismenka"/>
        <w:ind w:left="0" w:hanging="0"/>
        <w:rPr/>
      </w:pPr>
      <w:r>
        <w:rPr>
          <w:b w:val="false"/>
          <w:sz w:val="24"/>
          <w:szCs w:val="24"/>
        </w:rPr>
        <w:t xml:space="preserve">Príspevková organizácia  spĺňa podmienky podľa § 21 ods. 2 zákona č.523/2004 Z.z. </w:t>
      </w:r>
      <w:r>
        <w:rPr>
          <w:b w:val="false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false"/>
          <w:sz w:val="24"/>
          <w:szCs w:val="24"/>
        </w:rPr>
        <w:t xml:space="preserve">                   </w:t>
      </w:r>
    </w:p>
    <w:p>
      <w:pPr>
        <w:pStyle w:val="Pismenka"/>
        <w:ind w:left="0" w:hanging="0"/>
        <w:jc w:val="left"/>
        <w:rPr/>
      </w:pPr>
      <w:r>
        <w:rPr>
          <w:b w:val="false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32" w:name="__Fieldmark__3142_66672351"/>
      <w:bookmarkStart w:id="133" w:name="__Fieldmark__2863_296393501"/>
      <w:bookmarkStart w:id="134" w:name="__Fieldmark__22_2039472611"/>
      <w:bookmarkStart w:id="135" w:name="__Fieldmark__3548_1092626909"/>
      <w:bookmarkStart w:id="136" w:name="__Fieldmark__3142_66672351"/>
      <w:bookmarkStart w:id="137" w:name="__Fieldmark__3142_66672351"/>
      <w:bookmarkEnd w:id="133"/>
      <w:bookmarkEnd w:id="134"/>
      <w:bookmarkEnd w:id="135"/>
      <w:bookmarkEnd w:id="137"/>
      <w:r>
        <w:rPr>
          <w:b w:val="false"/>
          <w:sz w:val="24"/>
          <w:szCs w:val="24"/>
        </w:rPr>
      </w:r>
      <w:r>
        <w:fldChar w:fldCharType="end"/>
      </w:r>
      <w:r>
        <w:rPr>
          <w:rFonts w:cs="Tahoma;Tahoma"/>
          <w:b w:val="false"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38" w:name="__Fieldmark__3156_66672351"/>
      <w:bookmarkStart w:id="139" w:name="__Fieldmark__2874_296393501"/>
      <w:bookmarkStart w:id="140" w:name="__Fieldmark__23_2039472611"/>
      <w:bookmarkStart w:id="141" w:name="__Fieldmark__3556_1092626909"/>
      <w:bookmarkStart w:id="142" w:name="__Fieldmark__3156_66672351"/>
      <w:bookmarkStart w:id="143" w:name="__Fieldmark__3156_66672351"/>
      <w:bookmarkEnd w:id="139"/>
      <w:bookmarkEnd w:id="140"/>
      <w:bookmarkEnd w:id="141"/>
      <w:bookmarkEnd w:id="143"/>
      <w:r>
        <w:rPr>
          <w:rFonts w:cs="Tahoma;Tahoma"/>
          <w:b w:val="false"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 w:val="false"/>
          <w:bCs/>
          <w:sz w:val="22"/>
          <w:szCs w:val="22"/>
          <w:lang w:bidi="zxx"/>
        </w:rPr>
        <w:t xml:space="preserve">  nie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3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90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4137"/>
        <w:gridCol w:w="3062"/>
        <w:gridCol w:w="2891"/>
      </w:tblGrid>
      <w:tr>
        <w:trPr/>
        <w:tc>
          <w:tcPr>
            <w:tcW w:w="41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Forma zabezpečenia</w:t>
            </w:r>
          </w:p>
        </w:tc>
      </w:tr>
      <w:tr>
        <w:trPr/>
        <w:tc>
          <w:tcPr>
            <w:tcW w:w="41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3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1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1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3"/>
        </w:numPr>
        <w:ind w:left="284" w:hanging="284"/>
        <w:rPr/>
      </w:pPr>
      <w:r>
        <w:rPr/>
        <w:t xml:space="preserve"> </w:t>
      </w:r>
      <w:r>
        <w:rPr/>
        <w:t xml:space="preserve">Ďalšie informácie </w:t>
      </w:r>
    </w:p>
    <w:tbl>
      <w:tblPr>
        <w:tblW w:w="10075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4108"/>
        <w:gridCol w:w="3119"/>
        <w:gridCol w:w="2848"/>
      </w:tblGrid>
      <w:tr>
        <w:trPr/>
        <w:tc>
          <w:tcPr>
            <w:tcW w:w="4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>
        <w:trPr/>
        <w:tc>
          <w:tcPr>
            <w:tcW w:w="4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>
      <w:pPr>
        <w:pStyle w:val="Pismenka"/>
        <w:ind w:left="36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2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>
      <w:pPr>
        <w:pStyle w:val="Pismenka"/>
        <w:numPr>
          <w:ilvl w:val="0"/>
          <w:numId w:val="21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false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>
      <w:pPr>
        <w:pStyle w:val="Pismenka"/>
        <w:ind w:left="0" w:hanging="0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tbl>
      <w:tblPr>
        <w:tblW w:w="10075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1982"/>
        <w:gridCol w:w="994"/>
        <w:gridCol w:w="1982"/>
        <w:gridCol w:w="1701"/>
        <w:gridCol w:w="3416"/>
      </w:tblGrid>
      <w:tr>
        <w:trPr/>
        <w:tc>
          <w:tcPr>
            <w:tcW w:w="1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snapToGrid w:val="false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snapToGrid w:val="false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31.12.2017</w:t>
            </w:r>
          </w:p>
        </w:tc>
      </w:tr>
      <w:tr>
        <w:trPr/>
        <w:tc>
          <w:tcPr>
            <w:tcW w:w="1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Pismenka"/>
        <w:ind w:left="0" w:hanging="0"/>
        <w:rPr>
          <w:b w:val="false"/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p>
      <w:pPr>
        <w:pStyle w:val="Pismenka"/>
        <w:numPr>
          <w:ilvl w:val="0"/>
          <w:numId w:val="21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false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>
      <w:pPr>
        <w:pStyle w:val="Pismenka"/>
        <w:numPr>
          <w:ilvl w:val="0"/>
          <w:numId w:val="30"/>
        </w:numPr>
        <w:rPr/>
      </w:pPr>
      <w:r>
        <w:rPr>
          <w:sz w:val="24"/>
          <w:szCs w:val="24"/>
        </w:rPr>
        <w:t>možná povinnosť</w:t>
      </w:r>
      <w:r>
        <w:rPr>
          <w:b w:val="false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>
      <w:pPr>
        <w:pStyle w:val="Pismenka"/>
        <w:numPr>
          <w:ilvl w:val="0"/>
          <w:numId w:val="30"/>
        </w:numPr>
        <w:rPr/>
      </w:pPr>
      <w:r>
        <w:rPr>
          <w:sz w:val="24"/>
          <w:szCs w:val="24"/>
        </w:rPr>
        <w:t xml:space="preserve">povinnosť, </w:t>
      </w:r>
      <w:r>
        <w:rPr>
          <w:b w:val="false"/>
          <w:sz w:val="24"/>
          <w:szCs w:val="24"/>
        </w:rPr>
        <w:t>ktorá vznikla ako dôsledok minulej udalosti, ale ktorá sa nevykazuje v súvahe, pretože nie je pravdepodobné, že na splnenie tejto povinnosti bude potrebný úbytok ekonomických úžitkov, alebo výška tejto povinnosti sa nedá spoľahlivo oceniť - tabuľka č.10.</w:t>
      </w:r>
    </w:p>
    <w:p>
      <w:pPr>
        <w:pStyle w:val="Pismenka"/>
        <w:ind w:left="0" w:hanging="0"/>
        <w:rPr>
          <w:b w:val="false"/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p>
      <w:pPr>
        <w:pStyle w:val="Pismenka"/>
        <w:numPr>
          <w:ilvl w:val="0"/>
          <w:numId w:val="21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false"/>
          <w:sz w:val="24"/>
          <w:szCs w:val="24"/>
        </w:rPr>
        <w:t xml:space="preserve"> v správe alebo vo vlastníctve účtovnej jednotky - tabuľka č.11</w:t>
      </w:r>
    </w:p>
    <w:p>
      <w:pPr>
        <w:pStyle w:val="Pismenka"/>
        <w:jc w:val="left"/>
        <w:rPr>
          <w:b w:val="false"/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p>
      <w:pPr>
        <w:pStyle w:val="Pismenka"/>
        <w:numPr>
          <w:ilvl w:val="0"/>
          <w:numId w:val="21"/>
        </w:numPr>
        <w:ind w:left="284" w:hanging="284"/>
        <w:rPr/>
      </w:pPr>
      <w:r>
        <w:rPr>
          <w:b w:val="false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false"/>
          <w:sz w:val="24"/>
          <w:szCs w:val="24"/>
        </w:rPr>
        <w:t xml:space="preserve"> voči účtovnej jednotke súhrnného celku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75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407"/>
        <w:gridCol w:w="4536"/>
        <w:gridCol w:w="3132"/>
      </w:tblGrid>
      <w:tr>
        <w:trPr/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Vykázané voči ÚJ súhrnného celku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Hodnota celkom</w:t>
            </w:r>
          </w:p>
        </w:tc>
      </w:tr>
      <w:tr>
        <w:trPr/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Iné aktíva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Iné pasíva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>
      <w:pPr>
        <w:pStyle w:val="Normal"/>
        <w:rPr/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>
      <w:pPr>
        <w:pStyle w:val="Pismenka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>
      <w:pPr>
        <w:pStyle w:val="Pismenka"/>
        <w:ind w:left="425" w:hanging="42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Normal"/>
        <w:numPr>
          <w:ilvl w:val="0"/>
          <w:numId w:val="10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/>
      </w:pPr>
      <w:r>
        <w:rPr/>
      </w:r>
    </w:p>
    <w:tbl>
      <w:tblPr>
        <w:tblW w:w="10074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124"/>
        <w:gridCol w:w="1701"/>
        <w:gridCol w:w="1984"/>
        <w:gridCol w:w="2269"/>
        <w:gridCol w:w="1996"/>
      </w:tblGrid>
      <w:tr>
        <w:trPr/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Druh obchodu/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 xml:space="preserve">Hodnotové vyjadrenie obchodu/transakcie </w:t>
            </w:r>
          </w:p>
          <w:p>
            <w:pPr>
              <w:pStyle w:val="Normal"/>
              <w:jc w:val="center"/>
              <w:rPr/>
            </w:pPr>
            <w:r>
              <w:rPr/>
              <w:t>alebo percentuálne vyjadrenie obchodu/transakcie  k celkovému objemu obchodov/transakcií  realizovaných ÚJ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 xml:space="preserve">Informácia o cenách/hodnotách realizovaných obchodov/transakcií  medzi účtovnou jednotkou a spriaznenými osobami </w:t>
            </w:r>
          </w:p>
        </w:tc>
      </w:tr>
      <w:tr>
        <w:trPr/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opis a hodnota podmienených záväzkov voči spriazneným osobám </w:t>
      </w:r>
    </w:p>
    <w:tbl>
      <w:tblPr>
        <w:tblW w:w="10074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3684"/>
        <w:gridCol w:w="2944"/>
        <w:gridCol w:w="3446"/>
      </w:tblGrid>
      <w:tr>
        <w:trPr/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>
      <w:pPr>
        <w:pStyle w:val="Pismenka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č.12-14: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príspevkovej organizácie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>mestským</w:t>
      </w:r>
      <w:r>
        <w:rPr>
          <w:sz w:val="24"/>
          <w:szCs w:val="24"/>
        </w:rPr>
        <w:t xml:space="preserve"> zastupiteľstvom dňa 29.11.2016 uznesením č. 567/2016-23/XVI.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>
      <w:pPr>
        <w:pStyle w:val="Normal"/>
        <w:numPr>
          <w:ilvl w:val="0"/>
          <w:numId w:val="17"/>
        </w:numPr>
        <w:jc w:val="both"/>
        <w:rPr/>
      </w:pPr>
      <w:r>
        <w:rPr>
          <w:sz w:val="24"/>
          <w:szCs w:val="24"/>
        </w:rPr>
        <w:t>prvá zmena schválená dňa 28.04.2017 uznesením č. 652/2017-6/XX.</w:t>
      </w:r>
    </w:p>
    <w:p>
      <w:pPr>
        <w:pStyle w:val="Normal"/>
        <w:numPr>
          <w:ilvl w:val="0"/>
          <w:numId w:val="17"/>
        </w:numPr>
        <w:jc w:val="both"/>
        <w:rPr/>
      </w:pPr>
      <w:r>
        <w:rPr>
          <w:sz w:val="24"/>
          <w:szCs w:val="24"/>
        </w:rPr>
        <w:t>druhá zmena schválená dňa 30.06.2017 uznesením č. 702/2017-11/XXII.</w:t>
      </w:r>
    </w:p>
    <w:p>
      <w:pPr>
        <w:pStyle w:val="Normal"/>
        <w:numPr>
          <w:ilvl w:val="0"/>
          <w:numId w:val="17"/>
        </w:numPr>
        <w:jc w:val="both"/>
        <w:rPr/>
      </w:pPr>
      <w:r>
        <w:rPr>
          <w:sz w:val="24"/>
          <w:szCs w:val="24"/>
        </w:rPr>
        <w:t>tretia zmena schválená dňa 26.10.2017 uznesením č. 775/2017-5/XXIV.</w:t>
      </w:r>
    </w:p>
    <w:p>
      <w:pPr>
        <w:pStyle w:val="Normal"/>
        <w:numPr>
          <w:ilvl w:val="0"/>
          <w:numId w:val="17"/>
        </w:numPr>
        <w:jc w:val="both"/>
        <w:rPr/>
      </w:pPr>
      <w:r>
        <w:rPr>
          <w:sz w:val="24"/>
          <w:szCs w:val="24"/>
        </w:rPr>
        <w:t>štvrtá zmena schválená dňa 30.11.2017 uznesením č. 802/2017-18/XXV.</w:t>
      </w:r>
    </w:p>
    <w:p>
      <w:pPr>
        <w:pStyle w:val="Normal"/>
        <w:jc w:val="both"/>
        <w:rPr/>
      </w:pPr>
      <w:r>
        <w:rPr>
          <w:sz w:val="24"/>
          <w:szCs w:val="24"/>
        </w:rPr>
        <w:t>Okrem týchto zmien bolo uskutočnených 10 vnútorných rozpočtových opatrení v rámci schváleného rozpočtu v kompetencii štatutárneho zástupcu príspevkovej organizácie.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- tabuľka č.15.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>
      <w:pPr>
        <w:pStyle w:val="Normal"/>
        <w:jc w:val="center"/>
        <w:rPr>
          <w:b/>
          <w:b/>
          <w:sz w:val="28"/>
          <w:szCs w:val="24"/>
        </w:rPr>
      </w:pPr>
      <w:r>
        <w:rPr>
          <w:b/>
          <w:sz w:val="28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>
      <w:pPr>
        <w:pStyle w:val="Pismenka"/>
        <w:numPr>
          <w:ilvl w:val="0"/>
          <w:numId w:val="4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>
      <w:pPr>
        <w:pStyle w:val="Pismenka"/>
        <w:numPr>
          <w:ilvl w:val="0"/>
          <w:numId w:val="4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dôvody pre zmenu výšky rezerv a opravných položiek,</w:t>
      </w:r>
    </w:p>
    <w:p>
      <w:pPr>
        <w:pStyle w:val="Pismenka"/>
        <w:numPr>
          <w:ilvl w:val="0"/>
          <w:numId w:val="4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zmeny významných položiek dlhodobého finančného majetku,</w:t>
      </w:r>
    </w:p>
    <w:p>
      <w:pPr>
        <w:pStyle w:val="Pismenka"/>
        <w:numPr>
          <w:ilvl w:val="0"/>
          <w:numId w:val="4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vydané dlhopisy a iné cenné papiere,</w:t>
      </w:r>
    </w:p>
    <w:p>
      <w:pPr>
        <w:pStyle w:val="Pismenka"/>
        <w:numPr>
          <w:ilvl w:val="0"/>
          <w:numId w:val="4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zmena právnej formy účtovnej jednotky,</w:t>
      </w:r>
    </w:p>
    <w:p>
      <w:pPr>
        <w:pStyle w:val="Pismenka"/>
        <w:numPr>
          <w:ilvl w:val="0"/>
          <w:numId w:val="4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mimoriadne udalosti, ak majú vplyv na hospodárenie účtovnej jednotky, napríklad živelné pohromy,</w:t>
      </w:r>
    </w:p>
    <w:p>
      <w:pPr>
        <w:pStyle w:val="Pismenka"/>
        <w:numPr>
          <w:ilvl w:val="0"/>
          <w:numId w:val="4"/>
        </w:numPr>
        <w:ind w:left="284" w:hanging="284"/>
        <w:rPr/>
      </w:pPr>
      <w:r>
        <w:rPr>
          <w:b w:val="false"/>
          <w:sz w:val="24"/>
          <w:szCs w:val="24"/>
        </w:rPr>
        <w:t>iné mimoriadne skutočnosti</w:t>
      </w:r>
    </w:p>
    <w:p>
      <w:pPr>
        <w:pStyle w:val="Pismenka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Popis skutočností:</w:t>
      </w:r>
    </w:p>
    <w:p>
      <w:pPr>
        <w:pStyle w:val="Pismenka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>
      <w:pPr>
        <w:pStyle w:val="Pismenka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>
      <w:pPr>
        <w:pStyle w:val="Normal"/>
        <w:jc w:val="both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alebo </w:t>
      </w:r>
    </w:p>
    <w:p>
      <w:pPr>
        <w:pStyle w:val="Normal"/>
        <w:jc w:val="center"/>
        <w:rPr>
          <w:b/>
          <w:b/>
          <w:sz w:val="28"/>
          <w:szCs w:val="24"/>
        </w:rPr>
      </w:pPr>
      <w:r>
        <w:rPr>
          <w:b/>
          <w:sz w:val="28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2017</w:t>
      </w:r>
      <w:r>
        <w:rPr>
          <w:sz w:val="24"/>
          <w:szCs w:val="24"/>
        </w:rPr>
        <w:t xml:space="preserve"> nenastali také udalosti, ktoré by si vyžadovali zverejnenie alebo vykázanie v účtovnej závierke za rok 2017.</w:t>
      </w:r>
    </w:p>
    <w:p>
      <w:pPr>
        <w:pStyle w:val="Normal"/>
        <w:spacing w:lineRule="auto" w:line="3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6" w:header="709" w:top="851" w:footer="709" w:bottom="851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altName w:val="Symbol"/>
    <w:charset w:val="ee"/>
    <w:family w:val="roman"/>
    <w:pitch w:val="variable"/>
  </w:font>
  <w:font w:name="Symbol">
    <w:altName w:val="Times New Roman"/>
    <w:charset w:val="ee"/>
    <w:family w:val="roman"/>
    <w:pitch w:val="variable"/>
  </w:font>
  <w:font w:name="ms sans serif">
    <w:altName w:val="Times New Roman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15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129540" cy="148590"/>
              <wp:effectExtent l="0" t="0" r="0" b="0"/>
              <wp:wrapSquare wrapText="largest"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8880" cy="14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ta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stroked="f" style="position:absolute;margin-left:560.75pt;margin-top:3.85pt;width:10.1pt;height:11.6pt;mso-position-horizont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Pta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708" w:leader="none"/>
        <w:tab w:val="center" w:pos="4536" w:leader="none"/>
        <w:tab w:val="right" w:pos="9072" w:leader="none"/>
      </w:tabs>
      <w:ind w:right="0" w:hanging="0"/>
      <w:jc w:val="center"/>
      <w:rPr/>
    </w:pPr>
    <w:r>
      <w:rPr>
        <w:i/>
        <w:sz w:val="24"/>
        <w:szCs w:val="24"/>
      </w:rPr>
      <w:t>Technické služby Veľký Šariš</w:t>
    </w:r>
  </w:p>
  <w:p>
    <w:pPr>
      <w:pStyle w:val="Hlavika"/>
      <w:pBdr>
        <w:bottom w:val="single" w:sz="4" w:space="1" w:color="000001"/>
      </w:pBdr>
      <w:jc w:val="center"/>
      <w:rPr/>
    </w:pPr>
    <w:r>
      <w:rPr>
        <w:sz w:val="24"/>
        <w:szCs w:val="24"/>
      </w:rPr>
      <w:t>Poznámky individuálnej účtovnej závierky zostavenej k 31. decembru 2017</w:t>
    </w:r>
  </w:p>
  <w:p>
    <w:pPr>
      <w:pStyle w:val="Hlavika"/>
      <w:rPr>
        <w:color w:val="FF0000"/>
        <w:sz w:val="24"/>
        <w:szCs w:val="24"/>
        <w:lang w:val="sk-SK"/>
      </w:rPr>
    </w:pPr>
    <w:r>
      <w:rPr>
        <w:color w:val="FF0000"/>
        <w:sz w:val="24"/>
        <w:szCs w:val="24"/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  <w:bCs/>
        <w:rFonts w:cs="Tahoma;Tahoma"/>
        <w:lang w:bidi="zxx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rFonts w:cs="Times New Roman;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rFonts w:cs="Times New Roman;Times New Roman"/>
        <w:color w:val="FF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b/>
        <w:szCs w:val="22"/>
        <w:rFonts w:cs="Times New Roman;Times New Roman"/>
        <w:lang w:bidi="zxx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lvl w:ilvl="0">
      <w:start w:val="1"/>
      <w:numFmt w:val="decimal"/>
      <w:lvlText w:val="%1.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b w:val="false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w="http://schemas.openxmlformats.org/wordprocessingml/2006/main">
  <w:zoom w:percent="13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;Times New Roman" w:hAnsi="Times New Roman;Times New Roman" w:eastAsia="Times New Roman;Times New Roman" w:cs="Times New Roman;Times New Roman"/>
      <w:color w:val="00000A"/>
      <w:sz w:val="20"/>
      <w:szCs w:val="20"/>
      <w:lang w:val="sk-SK" w:eastAsia="zh-CN" w:bidi="ar-SA"/>
    </w:rPr>
  </w:style>
  <w:style w:type="character" w:styleId="WW8Num1z0">
    <w:name w:val="WW8Num1z0"/>
    <w:qFormat/>
    <w:rPr>
      <w:b w:val="false"/>
      <w:sz w:val="24"/>
      <w:szCs w:val="24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b/>
      <w:sz w:val="24"/>
      <w:szCs w:val="24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  <w:sz w:val="24"/>
      <w:szCs w:val="24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sz w:val="24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cs="Tahoma;Tahoma"/>
      <w:b/>
      <w:bCs/>
      <w:sz w:val="24"/>
      <w:szCs w:val="24"/>
      <w:lang w:bidi="zxx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b w:val="false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b w:val="false"/>
      <w:sz w:val="24"/>
      <w:szCs w:val="24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b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b w:val="false"/>
      <w:color w:val="000000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b/>
      <w:sz w:val="24"/>
      <w:szCs w:val="24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b w:val="false"/>
      <w:sz w:val="24"/>
      <w:szCs w:val="24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b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>
      <w:b/>
      <w:sz w:val="24"/>
      <w:szCs w:val="24"/>
    </w:rPr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b w:val="false"/>
    </w:rPr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b w:val="false"/>
      <w:sz w:val="24"/>
    </w:rPr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b w:val="false"/>
      <w:sz w:val="24"/>
      <w:szCs w:val="24"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Times New Roman;Times New Roman" w:hAnsi="Times New Roman;Times New Roman" w:eastAsia="Times New Roman;Times New Roman" w:cs="Times New Roman;Times New Roman"/>
      <w:sz w:val="24"/>
      <w:szCs w:val="24"/>
    </w:rPr>
  </w:style>
  <w:style w:type="character" w:styleId="WW8Num20z1">
    <w:name w:val="WW8Num20z1"/>
    <w:qFormat/>
    <w:rPr>
      <w:rFonts w:ascii="Courier New;Courier New" w:hAnsi="Courier New;Courier New" w:cs="Courier New;Courier New"/>
    </w:rPr>
  </w:style>
  <w:style w:type="character" w:styleId="WW8Num20z2">
    <w:name w:val="WW8Num20z2"/>
    <w:qFormat/>
    <w:rPr>
      <w:rFonts w:ascii="Wingdings;Symbol" w:hAnsi="Wingdings;Symbol" w:cs="Wingdings;Symbol"/>
    </w:rPr>
  </w:style>
  <w:style w:type="character" w:styleId="WW8Num20z3">
    <w:name w:val="WW8Num20z3"/>
    <w:qFormat/>
    <w:rPr>
      <w:rFonts w:ascii="Symbol;Times New Roman" w:hAnsi="Symbol;Times New Roman" w:cs="Symbol;Times New Roman"/>
    </w:rPr>
  </w:style>
  <w:style w:type="character" w:styleId="WW8Num21z0">
    <w:name w:val="WW8Num21z0"/>
    <w:qFormat/>
    <w:rPr>
      <w:rFonts w:ascii="Times New Roman;Times New Roman" w:hAnsi="Times New Roman;Times New Roman" w:eastAsia="Times New Roman;Times New Roman" w:cs="Times New Roman;Times New Roman"/>
      <w:color w:val="FF0000"/>
    </w:rPr>
  </w:style>
  <w:style w:type="character" w:styleId="WW8Num21z1">
    <w:name w:val="WW8Num21z1"/>
    <w:qFormat/>
    <w:rPr>
      <w:rFonts w:ascii="Courier New;Courier New" w:hAnsi="Courier New;Courier New" w:cs="Courier New;Courier New"/>
    </w:rPr>
  </w:style>
  <w:style w:type="character" w:styleId="WW8Num21z2">
    <w:name w:val="WW8Num21z2"/>
    <w:qFormat/>
    <w:rPr>
      <w:rFonts w:ascii="Wingdings;Symbol" w:hAnsi="Wingdings;Symbol" w:cs="Wingdings;Symbol"/>
    </w:rPr>
  </w:style>
  <w:style w:type="character" w:styleId="WW8Num21z3">
    <w:name w:val="WW8Num21z3"/>
    <w:qFormat/>
    <w:rPr>
      <w:rFonts w:ascii="Symbol;Times New Roman" w:hAnsi="Symbol;Times New Roman" w:cs="Symbol;Times New Roman"/>
    </w:rPr>
  </w:style>
  <w:style w:type="character" w:styleId="WW8Num22z0">
    <w:name w:val="WW8Num22z0"/>
    <w:qFormat/>
    <w:rPr>
      <w:b/>
      <w:sz w:val="24"/>
      <w:szCs w:val="24"/>
    </w:rPr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sz w:val="24"/>
      <w:szCs w:val="24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rFonts w:ascii="Times New Roman;Times New Roman" w:hAnsi="Times New Roman;Times New Roman" w:eastAsia="Times New Roman;Times New Roman" w:cs="Times New Roman;Times New Roman"/>
    </w:rPr>
  </w:style>
  <w:style w:type="character" w:styleId="WW8Num24z1">
    <w:name w:val="WW8Num24z1"/>
    <w:qFormat/>
    <w:rPr>
      <w:rFonts w:ascii="Courier New;Courier New" w:hAnsi="Courier New;Courier New" w:cs="Courier New;Courier New"/>
    </w:rPr>
  </w:style>
  <w:style w:type="character" w:styleId="WW8Num24z2">
    <w:name w:val="WW8Num24z2"/>
    <w:qFormat/>
    <w:rPr>
      <w:rFonts w:ascii="Wingdings;Symbol" w:hAnsi="Wingdings;Symbol" w:cs="Wingdings;Symbol"/>
    </w:rPr>
  </w:style>
  <w:style w:type="character" w:styleId="WW8Num24z3">
    <w:name w:val="WW8Num24z3"/>
    <w:qFormat/>
    <w:rPr>
      <w:rFonts w:ascii="Symbol;Times New Roman" w:hAnsi="Symbol;Times New Roman" w:cs="Symbol;Times New Roman"/>
    </w:rPr>
  </w:style>
  <w:style w:type="character" w:styleId="WW8Num25z0">
    <w:name w:val="WW8Num25z0"/>
    <w:qFormat/>
    <w:rPr>
      <w:b w:val="false"/>
      <w:sz w:val="24"/>
      <w:szCs w:val="24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>
      <w:b w:val="false"/>
      <w:sz w:val="24"/>
      <w:szCs w:val="24"/>
    </w:rPr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>
      <w:b w:val="false"/>
      <w:sz w:val="24"/>
      <w:szCs w:val="24"/>
    </w:rPr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ascii="ms sans serif;Times New Roman" w:hAnsi="ms sans serif;Times New Roman" w:cs="ms sans serif;Times New Roman"/>
      <w:color w:val="000000"/>
    </w:rPr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>
      <w:b w:val="false"/>
      <w:sz w:val="24"/>
      <w:szCs w:val="24"/>
    </w:rPr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>
      <w:b/>
      <w:sz w:val="24"/>
      <w:szCs w:val="24"/>
    </w:rPr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>
      <w:b/>
      <w:sz w:val="24"/>
      <w:szCs w:val="24"/>
    </w:rPr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>
      <w:b/>
      <w:sz w:val="24"/>
      <w:szCs w:val="24"/>
    </w:rPr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>
      <w:rFonts w:ascii="Times New Roman;Times New Roman" w:hAnsi="Times New Roman;Times New Roman" w:eastAsia="Times New Roman;Times New Roman" w:cs="Times New Roman;Times New Roman"/>
      <w:sz w:val="22"/>
      <w:szCs w:val="22"/>
      <w:lang w:bidi="zxx"/>
    </w:rPr>
  </w:style>
  <w:style w:type="character" w:styleId="WW8Num33z1">
    <w:name w:val="WW8Num33z1"/>
    <w:qFormat/>
    <w:rPr>
      <w:rFonts w:ascii="Courier New;Courier New" w:hAnsi="Courier New;Courier New" w:cs="Courier New;Courier New"/>
    </w:rPr>
  </w:style>
  <w:style w:type="character" w:styleId="WW8Num33z2">
    <w:name w:val="WW8Num33z2"/>
    <w:qFormat/>
    <w:rPr>
      <w:rFonts w:ascii="Wingdings;Symbol" w:hAnsi="Wingdings;Symbol" w:cs="Wingdings;Symbol"/>
    </w:rPr>
  </w:style>
  <w:style w:type="character" w:styleId="WW8Num33z3">
    <w:name w:val="WW8Num33z3"/>
    <w:qFormat/>
    <w:rPr>
      <w:rFonts w:ascii="Symbol;Times New Roman" w:hAnsi="Symbol;Times New Roman" w:cs="Symbol;Times New Roman"/>
    </w:rPr>
  </w:style>
  <w:style w:type="character" w:styleId="WW8Num34z0">
    <w:name w:val="WW8Num34z0"/>
    <w:qFormat/>
    <w:rPr>
      <w:b w:val="false"/>
      <w:sz w:val="24"/>
      <w:szCs w:val="24"/>
    </w:rPr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>
      <w:b w:val="false"/>
      <w:sz w:val="24"/>
      <w:szCs w:val="24"/>
    </w:rPr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Predvolenpsmoodseku">
    <w:name w:val="Predvolené písmo odseku"/>
    <w:qFormat/>
    <w:rPr/>
  </w:style>
  <w:style w:type="character" w:styleId="Slostrany">
    <w:name w:val="Číslo strany"/>
    <w:basedOn w:val="Predvolenpsmoodseku"/>
    <w:rPr/>
  </w:style>
  <w:style w:type="character" w:styleId="ZkladntextChar">
    <w:name w:val="Základný text Char"/>
    <w:qFormat/>
    <w:rPr>
      <w:sz w:val="18"/>
    </w:rPr>
  </w:style>
  <w:style w:type="character" w:styleId="HlavikaChar">
    <w:name w:val="Hlavička Char"/>
    <w:basedOn w:val="Predvolenpsmoodseku"/>
    <w:qFormat/>
    <w:rPr/>
  </w:style>
  <w:style w:type="character" w:styleId="ListLabel1">
    <w:name w:val="ListLabel 1"/>
    <w:qFormat/>
    <w:rPr>
      <w:b w:val="false"/>
      <w:sz w:val="24"/>
      <w:szCs w:val="24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 w:val="false"/>
      <w:sz w:val="24"/>
      <w:szCs w:val="24"/>
    </w:rPr>
  </w:style>
  <w:style w:type="character" w:styleId="ListLabel4">
    <w:name w:val="ListLabel 4"/>
    <w:qFormat/>
    <w:rPr>
      <w:b w:val="false"/>
      <w:sz w:val="24"/>
      <w:szCs w:val="24"/>
    </w:rPr>
  </w:style>
  <w:style w:type="character" w:styleId="ListLabel5">
    <w:name w:val="ListLabel 5"/>
    <w:qFormat/>
    <w:rPr>
      <w:rFonts w:cs="Tahoma;Tahoma"/>
      <w:b/>
      <w:bCs/>
      <w:sz w:val="24"/>
      <w:szCs w:val="24"/>
      <w:lang w:bidi="zxx"/>
    </w:rPr>
  </w:style>
  <w:style w:type="character" w:styleId="ListLabel6">
    <w:name w:val="ListLabel 6"/>
    <w:qFormat/>
    <w:rPr>
      <w:b w:val="false"/>
    </w:rPr>
  </w:style>
  <w:style w:type="character" w:styleId="ListLabel7">
    <w:name w:val="ListLabel 7"/>
    <w:qFormat/>
    <w:rPr>
      <w:b w:val="false"/>
      <w:sz w:val="24"/>
      <w:szCs w:val="24"/>
    </w:rPr>
  </w:style>
  <w:style w:type="character" w:styleId="ListLabel8">
    <w:name w:val="ListLabel 8"/>
    <w:qFormat/>
    <w:rPr>
      <w:b/>
    </w:rPr>
  </w:style>
  <w:style w:type="character" w:styleId="ListLabel9">
    <w:name w:val="ListLabel 9"/>
    <w:qFormat/>
    <w:rPr>
      <w:b/>
      <w:sz w:val="24"/>
    </w:rPr>
  </w:style>
  <w:style w:type="character" w:styleId="ListLabel10">
    <w:name w:val="ListLabel 10"/>
    <w:qFormat/>
    <w:rPr>
      <w:b/>
      <w:sz w:val="24"/>
      <w:szCs w:val="24"/>
    </w:rPr>
  </w:style>
  <w:style w:type="character" w:styleId="ListLabel11">
    <w:name w:val="ListLabel 11"/>
    <w:qFormat/>
    <w:rPr>
      <w:b w:val="false"/>
      <w:sz w:val="24"/>
      <w:szCs w:val="24"/>
    </w:rPr>
  </w:style>
  <w:style w:type="character" w:styleId="ListLabel12">
    <w:name w:val="ListLabel 12"/>
    <w:qFormat/>
    <w:rPr>
      <w:b/>
    </w:rPr>
  </w:style>
  <w:style w:type="character" w:styleId="ListLabel13">
    <w:name w:val="ListLabel 13"/>
    <w:qFormat/>
    <w:rPr>
      <w:b/>
      <w:sz w:val="24"/>
      <w:szCs w:val="24"/>
    </w:rPr>
  </w:style>
  <w:style w:type="character" w:styleId="ListLabel14">
    <w:name w:val="ListLabel 14"/>
    <w:qFormat/>
    <w:rPr>
      <w:b w:val="false"/>
    </w:rPr>
  </w:style>
  <w:style w:type="character" w:styleId="ListLabel15">
    <w:name w:val="ListLabel 15"/>
    <w:qFormat/>
    <w:rPr>
      <w:b w:val="false"/>
      <w:sz w:val="24"/>
    </w:rPr>
  </w:style>
  <w:style w:type="character" w:styleId="ListLabel16">
    <w:name w:val="ListLabel 16"/>
    <w:qFormat/>
    <w:rPr>
      <w:b w:val="false"/>
      <w:sz w:val="24"/>
      <w:szCs w:val="24"/>
    </w:rPr>
  </w:style>
  <w:style w:type="character" w:styleId="ListLabel17">
    <w:name w:val="ListLabel 17"/>
    <w:qFormat/>
    <w:rPr>
      <w:rFonts w:cs="Times New Roman;Times New Roman"/>
      <w:sz w:val="24"/>
      <w:szCs w:val="24"/>
    </w:rPr>
  </w:style>
  <w:style w:type="character" w:styleId="ListLabel18">
    <w:name w:val="ListLabel 18"/>
    <w:qFormat/>
    <w:rPr>
      <w:rFonts w:cs="Times New Roman;Times New Roman"/>
      <w:color w:val="FF0000"/>
    </w:rPr>
  </w:style>
  <w:style w:type="character" w:styleId="ListLabel19">
    <w:name w:val="ListLabel 19"/>
    <w:qFormat/>
    <w:rPr>
      <w:b/>
      <w:sz w:val="24"/>
      <w:szCs w:val="24"/>
    </w:rPr>
  </w:style>
  <w:style w:type="character" w:styleId="ListLabel20">
    <w:name w:val="ListLabel 20"/>
    <w:qFormat/>
    <w:rPr>
      <w:b/>
      <w:sz w:val="24"/>
      <w:szCs w:val="24"/>
    </w:rPr>
  </w:style>
  <w:style w:type="character" w:styleId="ListLabel21">
    <w:name w:val="ListLabel 21"/>
    <w:qFormat/>
    <w:rPr>
      <w:b w:val="false"/>
      <w:sz w:val="24"/>
      <w:szCs w:val="24"/>
    </w:rPr>
  </w:style>
  <w:style w:type="character" w:styleId="ListLabel22">
    <w:name w:val="ListLabel 22"/>
    <w:qFormat/>
    <w:rPr>
      <w:b w:val="false"/>
      <w:sz w:val="24"/>
      <w:szCs w:val="24"/>
    </w:rPr>
  </w:style>
  <w:style w:type="character" w:styleId="ListLabel23">
    <w:name w:val="ListLabel 23"/>
    <w:qFormat/>
    <w:rPr>
      <w:b w:val="false"/>
      <w:sz w:val="24"/>
      <w:szCs w:val="24"/>
    </w:rPr>
  </w:style>
  <w:style w:type="character" w:styleId="ListLabel24">
    <w:name w:val="ListLabel 24"/>
    <w:qFormat/>
    <w:rPr>
      <w:rFonts w:ascii="ms sans serif;Times New Roman" w:hAnsi="ms sans serif;Times New Roman" w:cs="ms sans serif;Times New Roman"/>
      <w:color w:val="000000"/>
    </w:rPr>
  </w:style>
  <w:style w:type="character" w:styleId="ListLabel25">
    <w:name w:val="ListLabel 25"/>
    <w:qFormat/>
    <w:rPr>
      <w:b w:val="false"/>
      <w:sz w:val="24"/>
      <w:szCs w:val="24"/>
    </w:rPr>
  </w:style>
  <w:style w:type="character" w:styleId="ListLabel26">
    <w:name w:val="ListLabel 26"/>
    <w:qFormat/>
    <w:rPr>
      <w:b/>
      <w:sz w:val="24"/>
      <w:szCs w:val="24"/>
    </w:rPr>
  </w:style>
  <w:style w:type="character" w:styleId="ListLabel27">
    <w:name w:val="ListLabel 27"/>
    <w:qFormat/>
    <w:rPr>
      <w:b/>
      <w:sz w:val="24"/>
      <w:szCs w:val="24"/>
    </w:rPr>
  </w:style>
  <w:style w:type="character" w:styleId="ListLabel28">
    <w:name w:val="ListLabel 28"/>
    <w:qFormat/>
    <w:rPr>
      <w:b/>
      <w:sz w:val="24"/>
      <w:szCs w:val="24"/>
    </w:rPr>
  </w:style>
  <w:style w:type="character" w:styleId="ListLabel29">
    <w:name w:val="ListLabel 29"/>
    <w:qFormat/>
    <w:rPr>
      <w:rFonts w:cs="Times New Roman;Times New Roman"/>
      <w:b/>
      <w:sz w:val="24"/>
      <w:szCs w:val="22"/>
      <w:lang w:bidi="zxx"/>
    </w:rPr>
  </w:style>
  <w:style w:type="character" w:styleId="ListLabel30">
    <w:name w:val="ListLabel 30"/>
    <w:qFormat/>
    <w:rPr>
      <w:b w:val="false"/>
      <w:sz w:val="24"/>
      <w:szCs w:val="24"/>
    </w:rPr>
  </w:style>
  <w:style w:type="character" w:styleId="ListLabel31">
    <w:name w:val="ListLabel 31"/>
    <w:qFormat/>
    <w:rPr>
      <w:b w:val="false"/>
      <w:sz w:val="24"/>
      <w:szCs w:val="24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ListLabel32">
    <w:name w:val="ListLabel 32"/>
    <w:qFormat/>
    <w:rPr>
      <w:b w:val="false"/>
      <w:sz w:val="24"/>
      <w:szCs w:val="24"/>
    </w:rPr>
  </w:style>
  <w:style w:type="character" w:styleId="ListLabel33">
    <w:name w:val="ListLabel 33"/>
    <w:qFormat/>
    <w:rPr>
      <w:b/>
      <w:sz w:val="24"/>
      <w:szCs w:val="24"/>
    </w:rPr>
  </w:style>
  <w:style w:type="character" w:styleId="ListLabel34">
    <w:name w:val="ListLabel 34"/>
    <w:qFormat/>
    <w:rPr>
      <w:b w:val="false"/>
      <w:sz w:val="24"/>
      <w:szCs w:val="24"/>
    </w:rPr>
  </w:style>
  <w:style w:type="character" w:styleId="ListLabel35">
    <w:name w:val="ListLabel 35"/>
    <w:qFormat/>
    <w:rPr>
      <w:b w:val="false"/>
      <w:sz w:val="24"/>
      <w:szCs w:val="24"/>
    </w:rPr>
  </w:style>
  <w:style w:type="character" w:styleId="ListLabel36">
    <w:name w:val="ListLabel 36"/>
    <w:qFormat/>
    <w:rPr>
      <w:rFonts w:cs="Tahoma;Tahoma"/>
      <w:b/>
      <w:bCs/>
      <w:sz w:val="24"/>
      <w:szCs w:val="24"/>
      <w:lang w:bidi="zxx"/>
    </w:rPr>
  </w:style>
  <w:style w:type="character" w:styleId="ListLabel37">
    <w:name w:val="ListLabel 37"/>
    <w:qFormat/>
    <w:rPr>
      <w:b w:val="false"/>
    </w:rPr>
  </w:style>
  <w:style w:type="character" w:styleId="ListLabel38">
    <w:name w:val="ListLabel 38"/>
    <w:qFormat/>
    <w:rPr>
      <w:b w:val="false"/>
      <w:sz w:val="24"/>
      <w:szCs w:val="24"/>
    </w:rPr>
  </w:style>
  <w:style w:type="character" w:styleId="ListLabel39">
    <w:name w:val="ListLabel 39"/>
    <w:qFormat/>
    <w:rPr>
      <w:b/>
    </w:rPr>
  </w:style>
  <w:style w:type="character" w:styleId="ListLabel40">
    <w:name w:val="ListLabel 40"/>
    <w:qFormat/>
    <w:rPr>
      <w:b/>
      <w:sz w:val="24"/>
    </w:rPr>
  </w:style>
  <w:style w:type="character" w:styleId="ListLabel41">
    <w:name w:val="ListLabel 41"/>
    <w:qFormat/>
    <w:rPr>
      <w:b/>
      <w:sz w:val="24"/>
      <w:szCs w:val="24"/>
    </w:rPr>
  </w:style>
  <w:style w:type="character" w:styleId="ListLabel42">
    <w:name w:val="ListLabel 42"/>
    <w:qFormat/>
    <w:rPr>
      <w:b w:val="false"/>
      <w:sz w:val="24"/>
      <w:szCs w:val="24"/>
    </w:rPr>
  </w:style>
  <w:style w:type="character" w:styleId="ListLabel43">
    <w:name w:val="ListLabel 43"/>
    <w:qFormat/>
    <w:rPr>
      <w:b/>
    </w:rPr>
  </w:style>
  <w:style w:type="character" w:styleId="ListLabel44">
    <w:name w:val="ListLabel 44"/>
    <w:qFormat/>
    <w:rPr>
      <w:b/>
      <w:sz w:val="24"/>
      <w:szCs w:val="24"/>
    </w:rPr>
  </w:style>
  <w:style w:type="character" w:styleId="ListLabel45">
    <w:name w:val="ListLabel 45"/>
    <w:qFormat/>
    <w:rPr>
      <w:b w:val="false"/>
    </w:rPr>
  </w:style>
  <w:style w:type="character" w:styleId="ListLabel46">
    <w:name w:val="ListLabel 46"/>
    <w:qFormat/>
    <w:rPr>
      <w:b w:val="false"/>
      <w:sz w:val="24"/>
    </w:rPr>
  </w:style>
  <w:style w:type="character" w:styleId="ListLabel47">
    <w:name w:val="ListLabel 47"/>
    <w:qFormat/>
    <w:rPr>
      <w:b w:val="false"/>
      <w:sz w:val="24"/>
      <w:szCs w:val="24"/>
    </w:rPr>
  </w:style>
  <w:style w:type="character" w:styleId="ListLabel48">
    <w:name w:val="ListLabel 48"/>
    <w:qFormat/>
    <w:rPr>
      <w:rFonts w:cs="Times New Roman;Times New Roman"/>
      <w:sz w:val="24"/>
      <w:szCs w:val="24"/>
    </w:rPr>
  </w:style>
  <w:style w:type="character" w:styleId="ListLabel49">
    <w:name w:val="ListLabel 49"/>
    <w:qFormat/>
    <w:rPr>
      <w:rFonts w:cs="Times New Roman;Times New Roman"/>
      <w:color w:val="FF0000"/>
    </w:rPr>
  </w:style>
  <w:style w:type="character" w:styleId="ListLabel50">
    <w:name w:val="ListLabel 50"/>
    <w:qFormat/>
    <w:rPr>
      <w:b/>
      <w:sz w:val="24"/>
      <w:szCs w:val="24"/>
    </w:rPr>
  </w:style>
  <w:style w:type="character" w:styleId="ListLabel51">
    <w:name w:val="ListLabel 51"/>
    <w:qFormat/>
    <w:rPr>
      <w:b/>
      <w:sz w:val="24"/>
      <w:szCs w:val="24"/>
    </w:rPr>
  </w:style>
  <w:style w:type="character" w:styleId="ListLabel52">
    <w:name w:val="ListLabel 52"/>
    <w:qFormat/>
    <w:rPr>
      <w:b w:val="false"/>
      <w:sz w:val="24"/>
      <w:szCs w:val="24"/>
    </w:rPr>
  </w:style>
  <w:style w:type="character" w:styleId="ListLabel53">
    <w:name w:val="ListLabel 53"/>
    <w:qFormat/>
    <w:rPr>
      <w:b w:val="false"/>
      <w:sz w:val="24"/>
      <w:szCs w:val="24"/>
    </w:rPr>
  </w:style>
  <w:style w:type="character" w:styleId="ListLabel54">
    <w:name w:val="ListLabel 54"/>
    <w:qFormat/>
    <w:rPr>
      <w:b w:val="false"/>
      <w:sz w:val="24"/>
      <w:szCs w:val="24"/>
    </w:rPr>
  </w:style>
  <w:style w:type="character" w:styleId="ListLabel55">
    <w:name w:val="ListLabel 55"/>
    <w:qFormat/>
    <w:rPr>
      <w:b w:val="false"/>
      <w:sz w:val="24"/>
      <w:szCs w:val="24"/>
    </w:rPr>
  </w:style>
  <w:style w:type="character" w:styleId="ListLabel56">
    <w:name w:val="ListLabel 56"/>
    <w:qFormat/>
    <w:rPr>
      <w:b/>
      <w:sz w:val="24"/>
      <w:szCs w:val="24"/>
    </w:rPr>
  </w:style>
  <w:style w:type="character" w:styleId="ListLabel57">
    <w:name w:val="ListLabel 57"/>
    <w:qFormat/>
    <w:rPr>
      <w:b/>
      <w:sz w:val="24"/>
      <w:szCs w:val="24"/>
    </w:rPr>
  </w:style>
  <w:style w:type="character" w:styleId="ListLabel58">
    <w:name w:val="ListLabel 58"/>
    <w:qFormat/>
    <w:rPr>
      <w:b/>
      <w:sz w:val="24"/>
      <w:szCs w:val="24"/>
    </w:rPr>
  </w:style>
  <w:style w:type="character" w:styleId="ListLabel59">
    <w:name w:val="ListLabel 59"/>
    <w:qFormat/>
    <w:rPr>
      <w:rFonts w:cs="Times New Roman;Times New Roman"/>
      <w:b/>
      <w:sz w:val="24"/>
      <w:szCs w:val="22"/>
      <w:lang w:bidi="zxx"/>
    </w:rPr>
  </w:style>
  <w:style w:type="character" w:styleId="ListLabel60">
    <w:name w:val="ListLabel 60"/>
    <w:qFormat/>
    <w:rPr>
      <w:b w:val="false"/>
      <w:sz w:val="24"/>
      <w:szCs w:val="24"/>
    </w:rPr>
  </w:style>
  <w:style w:type="character" w:styleId="ListLabel61">
    <w:name w:val="ListLabel 61"/>
    <w:qFormat/>
    <w:rPr>
      <w:b w:val="false"/>
      <w:sz w:val="24"/>
      <w:szCs w:val="24"/>
    </w:rPr>
  </w:style>
  <w:style w:type="character" w:styleId="ListLabel62">
    <w:name w:val="ListLabel 62"/>
    <w:qFormat/>
    <w:rPr>
      <w:rFonts w:cs="OpenSymbol"/>
      <w:b w:val="false"/>
      <w:sz w:val="24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cs="OpenSymbol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b w:val="false"/>
      <w:sz w:val="24"/>
      <w:szCs w:val="24"/>
    </w:rPr>
  </w:style>
  <w:style w:type="character" w:styleId="ListLabel72">
    <w:name w:val="ListLabel 72"/>
    <w:qFormat/>
    <w:rPr>
      <w:b/>
      <w:sz w:val="24"/>
      <w:szCs w:val="24"/>
    </w:rPr>
  </w:style>
  <w:style w:type="character" w:styleId="ListLabel73">
    <w:name w:val="ListLabel 73"/>
    <w:qFormat/>
    <w:rPr>
      <w:b w:val="false"/>
      <w:sz w:val="24"/>
      <w:szCs w:val="24"/>
    </w:rPr>
  </w:style>
  <w:style w:type="character" w:styleId="ListLabel74">
    <w:name w:val="ListLabel 74"/>
    <w:qFormat/>
    <w:rPr>
      <w:b w:val="false"/>
      <w:sz w:val="24"/>
      <w:szCs w:val="24"/>
    </w:rPr>
  </w:style>
  <w:style w:type="character" w:styleId="ListLabel75">
    <w:name w:val="ListLabel 75"/>
    <w:qFormat/>
    <w:rPr>
      <w:rFonts w:cs="Tahoma;Tahoma"/>
      <w:b/>
      <w:bCs/>
      <w:sz w:val="24"/>
      <w:szCs w:val="24"/>
      <w:lang w:bidi="zxx"/>
    </w:rPr>
  </w:style>
  <w:style w:type="character" w:styleId="ListLabel76">
    <w:name w:val="ListLabel 76"/>
    <w:qFormat/>
    <w:rPr>
      <w:b w:val="false"/>
    </w:rPr>
  </w:style>
  <w:style w:type="character" w:styleId="ListLabel77">
    <w:name w:val="ListLabel 77"/>
    <w:qFormat/>
    <w:rPr>
      <w:b w:val="false"/>
      <w:sz w:val="24"/>
      <w:szCs w:val="24"/>
    </w:rPr>
  </w:style>
  <w:style w:type="character" w:styleId="ListLabel78">
    <w:name w:val="ListLabel 78"/>
    <w:qFormat/>
    <w:rPr>
      <w:b/>
    </w:rPr>
  </w:style>
  <w:style w:type="character" w:styleId="ListLabel79">
    <w:name w:val="ListLabel 79"/>
    <w:qFormat/>
    <w:rPr>
      <w:b/>
      <w:sz w:val="24"/>
    </w:rPr>
  </w:style>
  <w:style w:type="character" w:styleId="ListLabel80">
    <w:name w:val="ListLabel 80"/>
    <w:qFormat/>
    <w:rPr>
      <w:b/>
      <w:sz w:val="24"/>
      <w:szCs w:val="24"/>
    </w:rPr>
  </w:style>
  <w:style w:type="character" w:styleId="ListLabel81">
    <w:name w:val="ListLabel 81"/>
    <w:qFormat/>
    <w:rPr>
      <w:b w:val="false"/>
      <w:sz w:val="24"/>
      <w:szCs w:val="24"/>
    </w:rPr>
  </w:style>
  <w:style w:type="character" w:styleId="ListLabel82">
    <w:name w:val="ListLabel 82"/>
    <w:qFormat/>
    <w:rPr>
      <w:b/>
    </w:rPr>
  </w:style>
  <w:style w:type="character" w:styleId="ListLabel83">
    <w:name w:val="ListLabel 83"/>
    <w:qFormat/>
    <w:rPr>
      <w:b/>
      <w:sz w:val="24"/>
      <w:szCs w:val="24"/>
    </w:rPr>
  </w:style>
  <w:style w:type="character" w:styleId="ListLabel84">
    <w:name w:val="ListLabel 84"/>
    <w:qFormat/>
    <w:rPr>
      <w:b w:val="false"/>
    </w:rPr>
  </w:style>
  <w:style w:type="character" w:styleId="ListLabel85">
    <w:name w:val="ListLabel 85"/>
    <w:qFormat/>
    <w:rPr>
      <w:b w:val="false"/>
      <w:sz w:val="24"/>
    </w:rPr>
  </w:style>
  <w:style w:type="character" w:styleId="ListLabel86">
    <w:name w:val="ListLabel 86"/>
    <w:qFormat/>
    <w:rPr>
      <w:b w:val="false"/>
      <w:sz w:val="24"/>
      <w:szCs w:val="24"/>
    </w:rPr>
  </w:style>
  <w:style w:type="character" w:styleId="ListLabel87">
    <w:name w:val="ListLabel 87"/>
    <w:qFormat/>
    <w:rPr>
      <w:rFonts w:cs="Times New Roman;Times New Roman"/>
      <w:sz w:val="24"/>
      <w:szCs w:val="24"/>
    </w:rPr>
  </w:style>
  <w:style w:type="character" w:styleId="ListLabel88">
    <w:name w:val="ListLabel 88"/>
    <w:qFormat/>
    <w:rPr>
      <w:rFonts w:cs="Times New Roman;Times New Roman"/>
      <w:color w:val="FF0000"/>
    </w:rPr>
  </w:style>
  <w:style w:type="character" w:styleId="ListLabel89">
    <w:name w:val="ListLabel 89"/>
    <w:qFormat/>
    <w:rPr>
      <w:b/>
      <w:sz w:val="24"/>
      <w:szCs w:val="24"/>
    </w:rPr>
  </w:style>
  <w:style w:type="character" w:styleId="ListLabel90">
    <w:name w:val="ListLabel 90"/>
    <w:qFormat/>
    <w:rPr>
      <w:b/>
      <w:sz w:val="24"/>
      <w:szCs w:val="24"/>
    </w:rPr>
  </w:style>
  <w:style w:type="character" w:styleId="ListLabel91">
    <w:name w:val="ListLabel 91"/>
    <w:qFormat/>
    <w:rPr>
      <w:b w:val="false"/>
      <w:sz w:val="24"/>
      <w:szCs w:val="24"/>
    </w:rPr>
  </w:style>
  <w:style w:type="character" w:styleId="ListLabel92">
    <w:name w:val="ListLabel 92"/>
    <w:qFormat/>
    <w:rPr>
      <w:b w:val="false"/>
      <w:sz w:val="24"/>
      <w:szCs w:val="24"/>
    </w:rPr>
  </w:style>
  <w:style w:type="character" w:styleId="ListLabel93">
    <w:name w:val="ListLabel 93"/>
    <w:qFormat/>
    <w:rPr>
      <w:b w:val="false"/>
      <w:sz w:val="24"/>
      <w:szCs w:val="24"/>
    </w:rPr>
  </w:style>
  <w:style w:type="character" w:styleId="ListLabel94">
    <w:name w:val="ListLabel 94"/>
    <w:qFormat/>
    <w:rPr>
      <w:b w:val="false"/>
      <w:sz w:val="24"/>
      <w:szCs w:val="24"/>
    </w:rPr>
  </w:style>
  <w:style w:type="character" w:styleId="ListLabel95">
    <w:name w:val="ListLabel 95"/>
    <w:qFormat/>
    <w:rPr>
      <w:b/>
      <w:sz w:val="24"/>
      <w:szCs w:val="24"/>
    </w:rPr>
  </w:style>
  <w:style w:type="character" w:styleId="ListLabel96">
    <w:name w:val="ListLabel 96"/>
    <w:qFormat/>
    <w:rPr>
      <w:b/>
      <w:sz w:val="24"/>
      <w:szCs w:val="24"/>
    </w:rPr>
  </w:style>
  <w:style w:type="character" w:styleId="ListLabel97">
    <w:name w:val="ListLabel 97"/>
    <w:qFormat/>
    <w:rPr>
      <w:b/>
      <w:sz w:val="24"/>
      <w:szCs w:val="24"/>
    </w:rPr>
  </w:style>
  <w:style w:type="character" w:styleId="ListLabel98">
    <w:name w:val="ListLabel 98"/>
    <w:qFormat/>
    <w:rPr>
      <w:rFonts w:cs="Times New Roman;Times New Roman"/>
      <w:b/>
      <w:sz w:val="24"/>
      <w:szCs w:val="22"/>
      <w:lang w:bidi="zxx"/>
    </w:rPr>
  </w:style>
  <w:style w:type="character" w:styleId="ListLabel99">
    <w:name w:val="ListLabel 99"/>
    <w:qFormat/>
    <w:rPr>
      <w:b w:val="false"/>
      <w:sz w:val="24"/>
      <w:szCs w:val="24"/>
    </w:rPr>
  </w:style>
  <w:style w:type="character" w:styleId="ListLabel100">
    <w:name w:val="ListLabel 100"/>
    <w:qFormat/>
    <w:rPr>
      <w:b w:val="false"/>
      <w:sz w:val="24"/>
      <w:szCs w:val="24"/>
    </w:rPr>
  </w:style>
  <w:style w:type="character" w:styleId="ListLabel101">
    <w:name w:val="ListLabel 101"/>
    <w:qFormat/>
    <w:rPr>
      <w:rFonts w:cs="OpenSymbol"/>
      <w:b w:val="false"/>
      <w:sz w:val="24"/>
    </w:rPr>
  </w:style>
  <w:style w:type="character" w:styleId="ListLabel102">
    <w:name w:val="ListLabel 102"/>
    <w:qFormat/>
    <w:rPr>
      <w:rFonts w:cs="OpenSymbol"/>
    </w:rPr>
  </w:style>
  <w:style w:type="character" w:styleId="ListLabel103">
    <w:name w:val="ListLabel 103"/>
    <w:qFormat/>
    <w:rPr>
      <w:rFonts w:cs="OpenSymbol"/>
    </w:rPr>
  </w:style>
  <w:style w:type="character" w:styleId="ListLabel104">
    <w:name w:val="ListLabel 104"/>
    <w:qFormat/>
    <w:rPr>
      <w:rFonts w:cs="OpenSymbol"/>
    </w:rPr>
  </w:style>
  <w:style w:type="character" w:styleId="ListLabel105">
    <w:name w:val="ListLabel 105"/>
    <w:qFormat/>
    <w:rPr>
      <w:rFonts w:cs="OpenSymbol"/>
    </w:rPr>
  </w:style>
  <w:style w:type="character" w:styleId="ListLabel106">
    <w:name w:val="ListLabel 106"/>
    <w:qFormat/>
    <w:rPr>
      <w:rFonts w:cs="OpenSymbol"/>
    </w:rPr>
  </w:style>
  <w:style w:type="character" w:styleId="ListLabel107">
    <w:name w:val="ListLabel 107"/>
    <w:qFormat/>
    <w:rPr>
      <w:rFonts w:cs="OpenSymbol"/>
    </w:rPr>
  </w:style>
  <w:style w:type="character" w:styleId="ListLabel108">
    <w:name w:val="ListLabel 108"/>
    <w:qFormat/>
    <w:rPr>
      <w:rFonts w:cs="OpenSymbol"/>
    </w:rPr>
  </w:style>
  <w:style w:type="character" w:styleId="ListLabel109">
    <w:name w:val="ListLabel 109"/>
    <w:qFormat/>
    <w:rPr>
      <w:rFonts w:cs="OpenSymbol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Telo textu"/>
    <w:basedOn w:val="Normal"/>
    <w:pPr>
      <w:ind w:left="426" w:hanging="0"/>
      <w:jc w:val="both"/>
    </w:pPr>
    <w:rPr>
      <w:sz w:val="18"/>
    </w:rPr>
  </w:style>
  <w:style w:type="paragraph" w:styleId="Zoznam">
    <w:name w:val="Zoznam"/>
    <w:basedOn w:val="Telotextu"/>
    <w:pPr/>
    <w:rPr>
      <w:rFonts w:cs="Lucida Sans"/>
    </w:rPr>
  </w:style>
  <w:style w:type="paragraph" w:styleId="Popis">
    <w:name w:val="Popis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Pta">
    <w:name w:val="Päta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Textbubliny">
    <w:name w:val="Text bubliny"/>
    <w:basedOn w:val="Normal"/>
    <w:qFormat/>
    <w:pPr/>
    <w:rPr>
      <w:rFonts w:ascii="Tahoma;Tahoma" w:hAnsi="Tahoma;Tahoma" w:cs="Tahoma;Tahoma"/>
      <w:sz w:val="16"/>
      <w:szCs w:val="16"/>
    </w:rPr>
  </w:style>
  <w:style w:type="paragraph" w:styleId="Zkladntext1">
    <w:name w:val="Základní text1"/>
    <w:qFormat/>
    <w:pPr>
      <w:widowControl/>
      <w:bidi w:val="0"/>
      <w:spacing w:before="144" w:after="144"/>
      <w:ind w:firstLine="709"/>
      <w:jc w:val="both"/>
    </w:pPr>
    <w:rPr>
      <w:rFonts w:ascii="Times New Roman;Times New Roman" w:hAnsi="Times New Roman;Times New Roman" w:eastAsia="Times New Roman;Times New Roman" w:cs="Times New Roman;Times New Roman"/>
      <w:color w:val="000000"/>
      <w:sz w:val="24"/>
      <w:szCs w:val="24"/>
      <w:lang w:val="sk-SK" w:eastAsia="zh-CN" w:bidi="ar-SA"/>
    </w:rPr>
  </w:style>
  <w:style w:type="paragraph" w:styleId="Pismenka">
    <w:name w:val="Pismenka"/>
    <w:basedOn w:val="Telotextu"/>
    <w:qFormat/>
    <w:pPr>
      <w:tabs>
        <w:tab w:val="left" w:pos="426" w:leader="none"/>
      </w:tabs>
      <w:ind w:left="426" w:hanging="426"/>
    </w:pPr>
    <w:rPr>
      <w:b/>
    </w:rPr>
  </w:style>
  <w:style w:type="paragraph" w:styleId="Hlavika">
    <w:name w:val="Hlavička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TltlTextopatreniaArialNarrow11ptZa0pt">
    <w:name w:val="Štýl Štýl Text opatrenia + Arial Narrow 11 pt + Za:  0 pt"/>
    <w:basedOn w:val="Normal"/>
    <w:qFormat/>
    <w:pPr>
      <w:spacing w:before="240" w:after="0"/>
      <w:jc w:val="both"/>
    </w:pPr>
    <w:rPr>
      <w:rFonts w:ascii="Arial Narrow" w:hAnsi="Arial Narrow" w:cs="Arial Narrow"/>
      <w:sz w:val="22"/>
      <w:szCs w:val="22"/>
    </w:rPr>
  </w:style>
  <w:style w:type="paragraph" w:styleId="Odstavec">
    <w:name w:val="odstavec"/>
    <w:basedOn w:val="Normal"/>
    <w:qFormat/>
    <w:pPr>
      <w:ind w:right="0" w:hanging="0"/>
      <w:jc w:val="both"/>
    </w:pPr>
    <w:rPr>
      <w:sz w:val="24"/>
      <w:szCs w:val="24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  <w:style w:type="numbering" w:styleId="WW8Num4">
    <w:name w:val="WW8Num4"/>
  </w:style>
  <w:style w:type="numbering" w:styleId="WW8Num5">
    <w:name w:val="WW8Num5"/>
  </w:style>
  <w:style w:type="numbering" w:styleId="WW8Num6">
    <w:name w:val="WW8Num6"/>
  </w:style>
  <w:style w:type="numbering" w:styleId="WW8Num7">
    <w:name w:val="WW8Num7"/>
  </w:style>
  <w:style w:type="numbering" w:styleId="WW8Num8">
    <w:name w:val="WW8Num8"/>
  </w:style>
  <w:style w:type="numbering" w:styleId="WW8Num9">
    <w:name w:val="WW8Num9"/>
  </w:style>
  <w:style w:type="numbering" w:styleId="WW8Num10">
    <w:name w:val="WW8Num10"/>
  </w:style>
  <w:style w:type="numbering" w:styleId="WW8Num11">
    <w:name w:val="WW8Num11"/>
  </w:style>
  <w:style w:type="numbering" w:styleId="WW8Num12">
    <w:name w:val="WW8Num12"/>
  </w:style>
  <w:style w:type="numbering" w:styleId="WW8Num13">
    <w:name w:val="WW8Num13"/>
  </w:style>
  <w:style w:type="numbering" w:styleId="WW8Num14">
    <w:name w:val="WW8Num14"/>
  </w:style>
  <w:style w:type="numbering" w:styleId="WW8Num15">
    <w:name w:val="WW8Num15"/>
  </w:style>
  <w:style w:type="numbering" w:styleId="WW8Num16">
    <w:name w:val="WW8Num16"/>
  </w:style>
  <w:style w:type="numbering" w:styleId="WW8Num17">
    <w:name w:val="WW8Num17"/>
  </w:style>
  <w:style w:type="numbering" w:styleId="WW8Num18">
    <w:name w:val="WW8Num18"/>
  </w:style>
  <w:style w:type="numbering" w:styleId="WW8Num19">
    <w:name w:val="WW8Num19"/>
  </w:style>
  <w:style w:type="numbering" w:styleId="WW8Num20">
    <w:name w:val="WW8Num20"/>
  </w:style>
  <w:style w:type="numbering" w:styleId="WW8Num21">
    <w:name w:val="WW8Num21"/>
  </w:style>
  <w:style w:type="numbering" w:styleId="WW8Num22">
    <w:name w:val="WW8Num22"/>
  </w:style>
  <w:style w:type="numbering" w:styleId="WW8Num23">
    <w:name w:val="WW8Num23"/>
  </w:style>
  <w:style w:type="numbering" w:styleId="WW8Num24">
    <w:name w:val="WW8Num24"/>
  </w:style>
  <w:style w:type="numbering" w:styleId="WW8Num25">
    <w:name w:val="WW8Num25"/>
  </w:style>
  <w:style w:type="numbering" w:styleId="WW8Num26">
    <w:name w:val="WW8Num26"/>
  </w:style>
  <w:style w:type="numbering" w:styleId="WW8Num27">
    <w:name w:val="WW8Num27"/>
  </w:style>
  <w:style w:type="numbering" w:styleId="WW8Num28">
    <w:name w:val="WW8Num28"/>
  </w:style>
  <w:style w:type="numbering" w:styleId="WW8Num29">
    <w:name w:val="WW8Num29"/>
  </w:style>
  <w:style w:type="numbering" w:styleId="WW8Num30">
    <w:name w:val="WW8Num30"/>
  </w:style>
  <w:style w:type="numbering" w:styleId="WW8Num31">
    <w:name w:val="WW8Num31"/>
  </w:style>
  <w:style w:type="numbering" w:styleId="WW8Num32">
    <w:name w:val="WW8Num32"/>
  </w:style>
  <w:style w:type="numbering" w:styleId="WW8Num33">
    <w:name w:val="WW8Num33"/>
  </w:style>
  <w:style w:type="numbering" w:styleId="WW8Num34">
    <w:name w:val="WW8Num34"/>
  </w:style>
  <w:style w:type="numbering" w:styleId="WW8Num35">
    <w:name w:val="WW8Num35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3456</TotalTime>
  <Application>LibreOffice/5.0.6.3$Windows_x86 LibreOffice_project/490fc03b25318460cfc54456516ea2519c11d1aa</Application>
  <Paragraphs>888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2008-09-28T09:21:00Z</dcterms:created>
  <dc:creator>admin</dc:creator>
  <dc:language>sk-SK</dc:language>
  <cp:lastPrinted>2018-03-22T09:18:59Z</cp:lastPrinted>
  <dcterms:modified xsi:type="dcterms:W3CDTF">2018-03-23T08:44:58Z</dcterms:modified>
  <cp:revision>1820</cp:revision>
  <dc:title>Poznámky k 31</dc:title>
</cp:coreProperties>
</file>