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spacing w:lineRule="auto" w:line="240" w:before="0" w:after="12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POZNÁMKY K ÚČTOVNEJ ZÁVIERKE 201</w:t>
      </w:r>
      <w:bookmarkStart w:id="0" w:name="_GoBack"/>
      <w:bookmarkEnd w:id="0"/>
      <w:r>
        <w:rPr>
          <w:rFonts w:eastAsia="Calibri" w:cs="Calibri" w:ascii="Calibri" w:hAnsi="Calibri"/>
          <w:b/>
          <w:sz w:val="24"/>
          <w:szCs w:val="24"/>
        </w:rPr>
        <w:t>7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pre mikro účtovné jednotky</w:t>
      </w: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 – VŠEOBECNÉ INFORMÁCIE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1) Základné informácie o účtovnej jednotke:</w:t>
      </w:r>
    </w:p>
    <w:p>
      <w:pPr>
        <w:pStyle w:val="Normal"/>
        <w:spacing w:lineRule="auto" w:line="240"/>
        <w:rPr/>
      </w:pPr>
      <w:r>
        <w:rPr/>
      </w:r>
    </w:p>
    <w:tbl>
      <w:tblPr>
        <w:tblStyle w:val="a"/>
        <w:tblW w:w="9714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5"/>
        <w:gridCol w:w="6878"/>
      </w:tblGrid>
      <w:tr>
        <w:trPr>
          <w:trHeight w:val="34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VERONIKA  MODA, s.r.o.</w:t>
            </w:r>
          </w:p>
        </w:tc>
      </w:tr>
      <w:tr>
        <w:trPr>
          <w:trHeight w:val="3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 xml:space="preserve">023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14  Skalité 1007</w:t>
            </w:r>
          </w:p>
        </w:tc>
      </w:tr>
      <w:tr>
        <w:trPr>
          <w:trHeight w:val="1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s ručením obmedzeným</w:t>
            </w:r>
          </w:p>
        </w:tc>
      </w:tr>
      <w:tr>
        <w:trPr>
          <w:trHeight w:val="2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Zápis do obchodného registra: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05.1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1.2010</w:t>
            </w:r>
          </w:p>
        </w:tc>
      </w:tr>
      <w:tr>
        <w:trPr>
          <w:trHeight w:val="26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ind w:right="1027" w:hanging="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/>
            </w:r>
          </w:p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Arial;sans-serif" w:hAnsi="Arial;sans-serif"/>
                <w:color w:val="000000"/>
                <w:sz w:val="20"/>
                <w:szCs w:val="24"/>
              </w:rPr>
              <w:t>Výroba ostatného vrchného ošatenia</w:t>
            </w:r>
            <w:r>
              <w:rPr>
                <w:rFonts w:eastAsia="Calibri" w:cs="Calibri" w:ascii="Calibri" w:hAnsi="Calibri"/>
                <w:sz w:val="24"/>
                <w:szCs w:val="24"/>
              </w:rPr>
              <w:t xml:space="preserve"> </w:t>
            </w:r>
          </w:p>
        </w:tc>
      </w:tr>
      <w:tr>
        <w:trPr>
          <w:trHeight w:val="5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nie je subjektom verejného záujmu (§ 2/14 ZoU).</w:t>
            </w:r>
          </w:p>
        </w:tc>
      </w:tr>
      <w:tr>
        <w:trPr>
          <w:trHeight w:val="30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Kalendárny rok 201</w:t>
            </w:r>
            <w:r>
              <w:rPr>
                <w:rFonts w:eastAsia="Calibri" w:cs="Calibri" w:ascii="Calibri" w:hAnsi="Calibri"/>
                <w:sz w:val="24"/>
                <w:szCs w:val="24"/>
              </w:rPr>
              <w:t>7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UJ bola v účtovnom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– </w:t>
      </w:r>
      <w:r>
        <w:rPr>
          <w:rFonts w:eastAsia="Calibri" w:cs="Calibri" w:ascii="Calibri" w:hAnsi="Calibri"/>
          <w:sz w:val="24"/>
          <w:szCs w:val="24"/>
        </w:rPr>
        <w:t>malá</w:t>
      </w:r>
      <w:r>
        <w:rPr>
          <w:rFonts w:eastAsia="Calibri" w:cs="Calibri" w:ascii="Calibri" w:hAnsi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Dátum schválenia účtovnej závierky za bezprostredne predchádzajúce účtovné obdobie príslušným orgánom účtovnej jednotky:</w:t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widowControl w:val="false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3) Právny dôvod na zostavenie účtovnej závierky: Účtovná závierka Spoločnosti k 31.12.2016 je zostavená ako riadna účtovná závierka podľa §17 ods. 6 Zákona č. 431/2002 Z.z. o účtovníctve za účtovné obdobie od 01. januára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do 31. decembra 201</w:t>
      </w:r>
      <w:r>
        <w:rPr>
          <w:rFonts w:eastAsia="Calibri" w:cs="Calibri" w:ascii="Calibri" w:hAnsi="Calibri"/>
          <w:sz w:val="24"/>
          <w:szCs w:val="24"/>
        </w:rPr>
        <w:t>7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nie je v skupine účtovných jednotiek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6"/>
        <w:gridCol w:w="2523"/>
        <w:gridCol w:w="2368"/>
      </w:tblGrid>
      <w:tr>
        <w:trPr>
          <w:trHeight w:val="520" w:hRule="atLeast"/>
        </w:trPr>
        <w:tc>
          <w:tcPr>
            <w:tcW w:w="48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ind w:right="459" w:hanging="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160" w:hRule="atLeast"/>
        </w:trPr>
        <w:tc>
          <w:tcPr>
            <w:tcW w:w="48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  <w:tc>
          <w:tcPr>
            <w:tcW w:w="23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/>
        <w:ind w:left="928"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 – INFORMÁCIE O ORGÁNOCH SPOLOČNOSTI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b/>
          <w:sz w:val="24"/>
          <w:szCs w:val="24"/>
        </w:rPr>
        <w:t>Informácie o orgánoch účtovnej jednotky</w:t>
      </w:r>
      <w:r>
        <w:rPr>
          <w:rFonts w:eastAsia="Calibri" w:cs="Calibri" w:ascii="Calibri" w:hAnsi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969"/>
        <w:gridCol w:w="2488"/>
        <w:gridCol w:w="2360"/>
      </w:tblGrid>
      <w:tr>
        <w:trPr>
          <w:trHeight w:val="8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/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ind w:left="720" w:hanging="0"/>
              <w:rPr/>
            </w:pPr>
            <w:r>
              <w:rPr/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</w:tbl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III – INFORMÁCIE O PRIJATÝCH POSTUPOCH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neeviduje žiadne transakcie, ktoré sa neuvádzajú v súvahe.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Spôsob a určenie oceňovania majetku a záväzkov (vrátane rozhodujúcich odhadov):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a) Spôsob oceňovania majetku a záväzkov (§ 25 ZoU):</w:t>
      </w:r>
    </w:p>
    <w:p>
      <w:pPr>
        <w:pStyle w:val="Normal"/>
        <w:widowControl w:val="false"/>
        <w:tabs>
          <w:tab w:val="left" w:pos="808" w:leader="none"/>
        </w:tabs>
        <w:spacing w:lineRule="auto" w:line="240"/>
        <w:jc w:val="both"/>
        <w:rPr/>
      </w:pPr>
      <w:r>
        <w:rPr/>
      </w:r>
    </w:p>
    <w:tbl>
      <w:tblPr>
        <w:tblStyle w:val="a2"/>
        <w:tblW w:w="9606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b) Trvalé zníženie hodnoty majetku nebolo účtované.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c) Záväzky účtovná jednotka ocenila menovitou hodnotou záväzkov.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d) Účtovná jednotka nepoužila dobrovoľné oceňovanie obchodných podielov metódou vlastného imania (§ 27/9 ZoU).</w:t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/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4"/>
        <w:gridCol w:w="2107"/>
        <w:gridCol w:w="2267"/>
      </w:tblGrid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Dlhodobý hmotný a nehmotný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číslo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doba odpisovania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 xml:space="preserve">odpisová sadzba 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 w:before="0" w:after="120"/>
        <w:rPr/>
      </w:pPr>
      <w:r>
        <w:rPr>
          <w:rFonts w:eastAsia="Calibri" w:cs="Calibri" w:ascii="Calibri" w:hAnsi="Calibri"/>
          <w:sz w:val="24"/>
          <w:szCs w:val="24"/>
        </w:rPr>
        <w:t xml:space="preserve">Komentár k odpisovému plánu: 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nepoužila jednorazový odpis</w:t>
      </w:r>
      <w:r>
        <w:rPr>
          <w:rFonts w:eastAsia="Calibri" w:cs="Calibri" w:ascii="Calibri" w:hAnsi="Calibri"/>
          <w:b/>
          <w:sz w:val="24"/>
          <w:szCs w:val="24"/>
        </w:rPr>
        <w:t xml:space="preserve"> </w:t>
      </w:r>
      <w:r>
        <w:rPr>
          <w:rFonts w:eastAsia="Calibri" w:cs="Calibri" w:ascii="Calibri" w:hAnsi="Calibri"/>
          <w:sz w:val="24"/>
          <w:szCs w:val="24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360" w:hanging="360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 xml:space="preserve">g) ÚJ neboli v zdaňovacom období roku 201  </w:t>
      </w:r>
      <w:r>
        <w:rPr>
          <w:rFonts w:eastAsia="Calibri" w:cs="Calibri" w:ascii="Calibri" w:hAnsi="Calibri"/>
          <w:sz w:val="24"/>
          <w:szCs w:val="24"/>
        </w:rPr>
        <w:t>boli poskytnuté dotácie z ÚPSVaR</w:t>
      </w:r>
    </w:p>
    <w:p>
      <w:pPr>
        <w:pStyle w:val="Normal"/>
        <w:keepNext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5) ÚJ v zdaňovacom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nevykonala žiadne opravy významných chýb.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IV – INFORMÁCIE, KTORÉ VYSVETĽUJÚ A DOPĹŇAJÚ SÚVAHU A VÝKAZ ZISKOV A STRÁT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neeviduje žiadne položky nehmotného majetku.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položky významných derivátov, majetku a záväzkoch zabezpečených derivátmi.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3a) ÚJ neeviduje žiadne položky zabezpečených záväzkov so zostatkovou dobou splatnosti dlhšou </w:t>
        <w:tab/>
        <w:tab/>
        <w:tab/>
        <w:tab/>
        <w:tab/>
        <w:t xml:space="preserve"> ako 5 rokov:  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tbl>
      <w:tblPr>
        <w:tblStyle w:val="a4"/>
        <w:tblW w:w="9714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2"/>
        <w:gridCol w:w="2377"/>
      </w:tblGrid>
      <w:tr>
        <w:trPr>
          <w:trHeight w:val="68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0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3b) ÚJ neeviduje žiadne položky zabezpečených záväzkov.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neeviduje žiadne vlastné akcie.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ÚJ neeviduje žiadne položky nákladov alebo výnosov, ktoré majú výnimočný rozsah alebo výskyt.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 – INFORMÁCIE O INÝCH AKTÍVACH A INÝCH PASÍVACH</w:t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1a) ÚJ neeviduje žiadne položky podmieneného majetku.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1b) ÚJ neeviduje žiadne položky podmienených záväzkov.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ostatné finančné povinnosti, ktoré a nevykazujú v účtovných výkazoch.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3 V účtovníctve ÚJ sa nenachádzajú žiadne položky evidované na podsúvahových účtoch.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 – UDALOSTI, KTORÉ NASTALI PO ZÁVIERKOVOM DNI</w:t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(Následné udalosti)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ÚJ neeviduje žiadne udalosti, ktoré nastali po závierkovom dni.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VII – OSTATNÉ INFORMÁCIE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nemá žiadne právo poskytovať služby vo verejnom záujme.</w:t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nemá žiadnu priemyselnú výrobu.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nemá žiadne finančné vzťahy s orgánmi verejnej moci.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sectPr>
      <w:headerReference w:type="default" r:id="rId2"/>
      <w:footerReference w:type="default" r:id="rId3"/>
      <w:type w:val="nextPage"/>
      <w:pgSz w:w="11906" w:h="16838"/>
      <w:pgMar w:left="1417" w:right="992" w:header="708" w:top="1417" w:footer="708" w:bottom="1417" w:gutter="0"/>
      <w:pgNumType w:start="1"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Georgia">
    <w:charset w:val="ee"/>
    <w:family w:val="roman"/>
    <w:pitch w:val="variable"/>
  </w:font>
  <w:font w:name="Calibri">
    <w:charset w:val="ee"/>
    <w:family w:val="roman"/>
    <w:pitch w:val="variable"/>
  </w:font>
  <w:font w:name="Arial">
    <w:altName w:val="sans-serif"/>
    <w:charset w:val="ee"/>
    <w:family w:val="auto"/>
    <w:pitch w:val="default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enter" w:pos="4536" w:leader="none"/>
        <w:tab w:val="right" w:pos="9072" w:leader="none"/>
      </w:tabs>
      <w:spacing w:lineRule="auto" w:line="24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6</w:t>
    </w:r>
    <w:r>
      <w:fldChar w:fldCharType="end"/>
    </w:r>
  </w:p>
  <w:p>
    <w:pPr>
      <w:pStyle w:val="Normal"/>
      <w:tabs>
        <w:tab w:val="center" w:pos="4536" w:leader="none"/>
        <w:tab w:val="right" w:pos="9072" w:leader="none"/>
      </w:tabs>
      <w:spacing w:lineRule="auto" w:line="240" w:before="0" w:after="567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Poznámky Úč POD 3 – 01          </w:t>
    </w:r>
    <w:r>
      <w:rPr>
        <w:color w:val="707070"/>
        <w:sz w:val="18"/>
        <w:szCs w:val="18"/>
        <w:highlight w:val="white"/>
      </w:rPr>
      <w:tab/>
    </w:r>
    <w:r>
      <w:rPr/>
      <w:t xml:space="preserve">                 IČO: </w:t>
    </w:r>
    <w:r>
      <w:rPr/>
      <w:t xml:space="preserve">45919143  </w:t>
    </w:r>
    <w:r>
      <w:rPr/>
      <w:t xml:space="preserve">  DIČ: </w:t>
    </w:r>
    <w:r>
      <w:rPr/>
      <w:t>2023130186</w:t>
    </w:r>
    <w:r>
      <w:rPr/>
      <w:t xml:space="preserve"> </w:t>
    </w:r>
  </w:p>
  <w:p>
    <w:pPr>
      <w:pStyle w:val="Normal"/>
      <w:tabs>
        <w:tab w:val="center" w:pos="4703" w:leader="none"/>
        <w:tab w:val="right" w:pos="9406" w:leader="none"/>
      </w:tabs>
      <w:spacing w:lineRule="auto" w:line="24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"/>
      <w:numFmt w:val="bullet"/>
      <w:lvlText w:val="-"/>
      <w:lvlJc w:val="left"/>
      <w:pPr>
        <w:ind w:left="720" w:hanging="-3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-10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-18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-25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-32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-39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-46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-54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-61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2">
    <w:lvl w:ilvl="0">
      <w:start w:val="1"/>
      <w:numFmt w:val="bullet"/>
      <w:lvlText w:val="➢"/>
      <w:lvlJc w:val="left"/>
      <w:pPr>
        <w:ind w:left="3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080" w:hanging="-7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1800" w:hanging="-14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520" w:hanging="-21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240" w:hanging="-28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3960" w:hanging="-36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4680" w:hanging="-43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400" w:hanging="-50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120" w:hanging="-57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3">
    <w:lvl w:ilvl="0">
      <w:numFmt w:val="bullet"/>
      <w:lvlText w:val="-"/>
      <w:lvlJc w:val="left"/>
      <w:pPr>
        <w:ind w:left="720" w:hanging="-3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-10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-18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-25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-32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-39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-46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-54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-61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defaultTabStop w:val="720"/>
  <w:compat>
    <w:compatSetting w:name="compatibilityMode" w:uri="http://schemas.microsoft.com/office/word" w:val="14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color w:val="000000"/>
        <w:sz w:val="22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/>
      <w:jc w:val="left"/>
    </w:pPr>
    <w:rPr>
      <w:rFonts w:ascii="Arial" w:hAnsi="Arial" w:eastAsia="Arial" w:cs="Arial"/>
      <w:color w:val="000000"/>
      <w:sz w:val="22"/>
      <w:szCs w:val="22"/>
      <w:lang w:val="sk-SK" w:eastAsia="sk-SK" w:bidi="ar-SA"/>
    </w:rPr>
  </w:style>
  <w:style w:type="paragraph" w:styleId="Nadpis1">
    <w:name w:val="Nadpis 1"/>
    <w:basedOn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Nadpis 2"/>
    <w:basedOn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Nadpis 3"/>
    <w:basedOn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Nadpis 4"/>
    <w:basedOn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Nadpis 5"/>
    <w:basedOn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Nadpis 6"/>
    <w:basedOn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Arial" w:cs="Arial"/>
      <w:position w:val="0"/>
      <w:sz w:val="24"/>
      <w:sz w:val="24"/>
      <w:vertAlign w:val="baseline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Arial Unicode MS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Nzov">
    <w:name w:val="Názov"/>
    <w:basedOn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nzov">
    <w:name w:val="Podnázov"/>
    <w:basedOn w:val="Normal"/>
    <w:pPr>
      <w:keepNext/>
      <w:keepLines/>
      <w:spacing w:before="360" w:after="80"/>
      <w:contextualSpacing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Hlavika">
    <w:name w:val="Hlavička"/>
    <w:basedOn w:val="Normal"/>
    <w:pPr/>
    <w:rPr/>
  </w:style>
  <w:style w:type="paragraph" w:styleId="Pta">
    <w:name w:val="Pät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LibreOffice/5.0.4.2$Windows_x86 LibreOffice_project/2b9802c1994aa0b7dc6079e128979269cf95bc78</Application>
  <Paragraphs>198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2017-03-30T07:49:00Z</dcterms:created>
  <dc:language>sk-SK</dc:language>
  <dcterms:modified xsi:type="dcterms:W3CDTF">2018-03-26T13:41:47Z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