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ackground w:color="FFFFFF"/>
  <w:body>
    <w:p>
      <w:pPr>
        <w:pStyle w:val="Normal"/>
        <w:spacing w:lineRule="auto" w:line="240" w:before="0" w:after="12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POZNÁMKY K ÚČTOVNEJ ZÁVIERKE 201</w:t>
      </w:r>
      <w:bookmarkStart w:id="0" w:name="_GoBack"/>
      <w:bookmarkEnd w:id="0"/>
      <w:r>
        <w:rPr>
          <w:rFonts w:eastAsia="Calibri" w:cs="Calibri" w:ascii="Calibri" w:hAnsi="Calibri"/>
          <w:b/>
          <w:sz w:val="24"/>
          <w:szCs w:val="24"/>
        </w:rPr>
        <w:t>7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pre mikro účtovné jednotky</w:t>
      </w: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 – VŠEOBECNÉ INFORMÁCIE</w:t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1) Základné informácie o účtovnej jednotke:</w:t>
      </w:r>
    </w:p>
    <w:p>
      <w:pPr>
        <w:pStyle w:val="Normal"/>
        <w:spacing w:lineRule="auto" w:line="240"/>
        <w:rPr/>
      </w:pPr>
      <w:r>
        <w:rPr/>
      </w:r>
    </w:p>
    <w:tbl>
      <w:tblPr>
        <w:tblStyle w:val="a"/>
        <w:tblW w:w="9714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3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835"/>
        <w:gridCol w:w="6878"/>
      </w:tblGrid>
      <w:tr>
        <w:trPr>
          <w:trHeight w:val="34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Obchodné meno: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M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UDr. Cesnek Miloslav, s.r.o.</w:t>
            </w:r>
          </w:p>
        </w:tc>
      </w:tr>
      <w:tr>
        <w:trPr>
          <w:trHeight w:val="3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Sídlo: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Palárikova 2311, 022 01  Čadca</w:t>
            </w:r>
          </w:p>
        </w:tc>
      </w:tr>
      <w:tr>
        <w:trPr>
          <w:trHeight w:val="180" w:hRule="atLeast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Právna forma:</w:t>
            </w:r>
          </w:p>
        </w:tc>
        <w:tc>
          <w:tcPr>
            <w:tcW w:w="68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s ručením obmedzeným</w:t>
            </w:r>
          </w:p>
        </w:tc>
      </w:tr>
      <w:tr>
        <w:trPr>
          <w:trHeight w:val="2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Dátum vzniku: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Zápis do obchodného registra: </w:t>
            </w:r>
            <w:r>
              <w:rPr>
                <w:rFonts w:eastAsia="Calibri" w:cs="Calibri" w:ascii="Calibri" w:hAnsi="Calibri"/>
                <w:sz w:val="24"/>
                <w:szCs w:val="24"/>
                <w:highlight w:val="white"/>
              </w:rPr>
              <w:t>31.1.2009</w:t>
            </w:r>
          </w:p>
        </w:tc>
      </w:tr>
      <w:tr>
        <w:trPr>
          <w:trHeight w:val="26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ind w:right="1027" w:hanging="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Hlavný predmet podnikania: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/>
            </w:r>
          </w:p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Činnosť 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špeciálnej lekárskej praxe</w:t>
            </w:r>
          </w:p>
        </w:tc>
      </w:tr>
      <w:tr>
        <w:trPr>
          <w:trHeight w:val="52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Subjekt verejného záujmu: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  <w:insideH w:val="single" w:sz="4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Spoločnosť  nie je subjektom verejného záujmu (§ 2/14 ZoU).</w:t>
            </w:r>
          </w:p>
        </w:tc>
      </w:tr>
      <w:tr>
        <w:trPr>
          <w:trHeight w:val="300" w:hRule="atLeast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Účtovné obdobie:</w:t>
            </w:r>
          </w:p>
        </w:tc>
        <w:tc>
          <w:tcPr>
            <w:tcW w:w="6878" w:type="dxa"/>
            <w:tcBorders>
              <w:top w:val="single" w:sz="4" w:space="0" w:color="000001"/>
              <w:bottom w:val="single" w:sz="8" w:space="0" w:color="000001"/>
              <w:right w:val="single" w:sz="8" w:space="0" w:color="000001"/>
              <w:insideH w:val="single" w:sz="8" w:space="0" w:color="000001"/>
              <w:insideV w:val="single" w:sz="8" w:space="0" w:color="000001"/>
            </w:tcBorders>
            <w:shd w:fill="auto" w:val="clea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Kalendárny rok 201</w:t>
            </w:r>
            <w:r>
              <w:rPr>
                <w:rFonts w:eastAsia="Calibri" w:cs="Calibri" w:ascii="Calibri" w:hAnsi="Calibri"/>
                <w:sz w:val="24"/>
                <w:szCs w:val="24"/>
              </w:rPr>
              <w:t>7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UJ bola v účtovnom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– mikro účtovná jednotka, preto zostavuje účtovnú závierku podľa metodiky pre túto veľkostnú skupinu (Opatrenie č.MF/23378/2014-74).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widowControl w:val="false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3) Právny dôvod na zostavenie účtovnej závierky: Účtovná závierka Spoločnosti k 31.12.2016 je zostavená ako riadna účtovná závierka podľa §17 ods. 6 Zákona č. 431/2002 Z.z. o účtovníctve za účtovné obdobie od 01. januára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do 31. decembra 201</w:t>
      </w:r>
      <w:r>
        <w:rPr>
          <w:rFonts w:eastAsia="Calibri" w:cs="Calibri" w:ascii="Calibri" w:hAnsi="Calibri"/>
          <w:sz w:val="24"/>
          <w:szCs w:val="24"/>
        </w:rPr>
        <w:t>7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nie je v skupine účtovných jednotiek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3"/>
        <w:gridCol w:w="2368"/>
      </w:tblGrid>
      <w:tr>
        <w:trPr>
          <w:trHeight w:val="52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right="459" w:hanging="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160" w:hRule="atLeast"/>
        </w:trPr>
        <w:tc>
          <w:tcPr>
            <w:tcW w:w="48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  <w:tc>
          <w:tcPr>
            <w:tcW w:w="23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</w:t>
            </w:r>
          </w:p>
        </w:tc>
      </w:tr>
    </w:tbl>
    <w:p>
      <w:pPr>
        <w:pStyle w:val="Normal"/>
        <w:spacing w:lineRule="auto" w:line="240"/>
        <w:ind w:left="928"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 – INFORMÁCIE O ORGÁNOCH SPOLOČNOSTI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b/>
          <w:sz w:val="24"/>
          <w:szCs w:val="24"/>
        </w:rPr>
        <w:t>Informácie o orgánoch účtovnej jednotky</w:t>
      </w:r>
      <w:r>
        <w:rPr>
          <w:rFonts w:eastAsia="Calibri" w:cs="Calibri" w:ascii="Calibri" w:hAnsi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969"/>
        <w:gridCol w:w="2488"/>
        <w:gridCol w:w="2360"/>
      </w:tblGrid>
      <w:tr>
        <w:trPr>
          <w:trHeight w:val="8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>
                <w:rFonts w:ascii="Calibri" w:hAnsi="Calibri" w:eastAsia="Calibri" w:cs="Calibri"/>
                <w:sz w:val="24"/>
                <w:szCs w:val="24"/>
              </w:rPr>
            </w:pPr>
            <w:r>
              <w:rPr/>
            </w:r>
          </w:p>
        </w:tc>
      </w:tr>
      <w:tr>
        <w:trPr>
          <w:trHeight w:val="2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3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4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 </w:t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numPr>
                <w:ilvl w:val="0"/>
                <w:numId w:val="1"/>
              </w:numPr>
              <w:spacing w:lineRule="auto" w:line="240"/>
              <w:ind w:left="720" w:hanging="360"/>
              <w:rPr>
                <w:sz w:val="24"/>
                <w:szCs w:val="24"/>
              </w:rPr>
            </w:pPr>
            <w:r>
              <w:rPr>
                <w:rFonts w:eastAsia="Calibri" w:cs="Calibri" w:ascii="Calibri" w:hAnsi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  <w:tr>
        <w:trPr>
          <w:trHeight w:val="160" w:hRule="atLeast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ind w:left="720" w:hanging="0"/>
              <w:rPr/>
            </w:pPr>
            <w:r>
              <w:rPr/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/>
            </w:r>
          </w:p>
        </w:tc>
      </w:tr>
    </w:tbl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III – INFORMÁCIE O PRIJATÝCH POSTUPOCH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Účtovná závierka je zostavená za splnenia predpokladu, že ÚJ bude nepretržite pokračovať vo svojej činnosti minimálne 12 mesiacov po závierkovom dni v zmysle § 7 ods. 4 zákona o účtovníctve.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neeviduje žiadne transakcie, ktoré sa neuvádzajú v súvahe.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Spôsob a určenie oceňovania majetku a záväzkov (vrátane rozhodujúcich odhadov):</w:t>
      </w:r>
    </w:p>
    <w:p>
      <w:pPr>
        <w:pStyle w:val="Normal"/>
        <w:spacing w:lineRule="auto" w:line="24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a) Spôsob oceňovania majetku a záväzkov (§ 25 ZoU):</w:t>
      </w:r>
    </w:p>
    <w:p>
      <w:pPr>
        <w:pStyle w:val="Normal"/>
        <w:widowControl w:val="false"/>
        <w:tabs>
          <w:tab w:val="left" w:pos="808" w:leader="none"/>
        </w:tabs>
        <w:spacing w:lineRule="auto" w:line="240"/>
        <w:jc w:val="both"/>
        <w:rPr/>
      </w:pPr>
      <w:r>
        <w:rPr/>
      </w:r>
    </w:p>
    <w:tbl>
      <w:tblPr>
        <w:tblStyle w:val="a2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00"/>
      </w:tblGrid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náklady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Reprodukčná 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widowControl w:val="false"/>
              <w:tabs>
                <w:tab w:val="left" w:pos="808" w:leader="none"/>
              </w:tabs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Menovitá hodnota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b) Trvalé zníženie hodnoty majetku nebolo účtované.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c) Záväzky účtovná jednotka ocenila menovitou hodnotou záväzkov. 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d) Účtovná jednotka nepoužila dobrovoľné oceňovanie obchodných podielov metódou vlastného imania (§ 27/9 ZoU).</w:t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/>
      </w:r>
    </w:p>
    <w:p>
      <w:pPr>
        <w:pStyle w:val="Normal"/>
        <w:keepNext/>
        <w:tabs>
          <w:tab w:val="left" w:pos="1005" w:leader="none"/>
        </w:tabs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jc w:val="left"/>
        <w:tblInd w:w="-108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4"/>
        <w:gridCol w:w="2107"/>
        <w:gridCol w:w="2267"/>
      </w:tblGrid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Dlhodobý hmotný a nehmotný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číslo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doba odpisovania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 xml:space="preserve">odpisová sadzba </w:t>
            </w:r>
          </w:p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20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4</w:t>
            </w:r>
          </w:p>
        </w:tc>
        <w:tc>
          <w:tcPr>
            <w:tcW w:w="226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25</w:t>
            </w:r>
          </w:p>
        </w:tc>
      </w:tr>
    </w:tbl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 </w:t>
      </w:r>
    </w:p>
    <w:p>
      <w:pPr>
        <w:pStyle w:val="Normal"/>
        <w:spacing w:lineRule="auto" w:line="240" w:before="0" w:after="120"/>
        <w:rPr/>
      </w:pPr>
      <w:r>
        <w:rPr>
          <w:rFonts w:eastAsia="Calibri" w:cs="Calibri" w:ascii="Calibri" w:hAnsi="Calibri"/>
          <w:sz w:val="24"/>
          <w:szCs w:val="24"/>
        </w:rPr>
        <w:t xml:space="preserve">Komentár k odpisovému plánu: 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odpisuje jednotlivé veci alebo relevantné súbory hnuteľných vecí (napr. počítačová sieť, nábytková zostava). UJ nepoužíva komponentné odpisovanie (odpisovanie častí majetku - komponentov).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UJ nepoužila jednorazový odpis</w:t>
      </w:r>
      <w:r>
        <w:rPr>
          <w:rFonts w:eastAsia="Calibri" w:cs="Calibri" w:ascii="Calibri" w:hAnsi="Calibri"/>
          <w:b/>
          <w:sz w:val="24"/>
          <w:szCs w:val="24"/>
        </w:rPr>
        <w:t xml:space="preserve"> </w:t>
      </w:r>
      <w:r>
        <w:rPr>
          <w:rFonts w:eastAsia="Calibri" w:cs="Calibri" w:ascii="Calibri" w:hAnsi="Calibri"/>
          <w:sz w:val="24"/>
          <w:szCs w:val="24"/>
        </w:rPr>
        <w:t>dlhodobého majetku z dôvodu jednorazového trvalého zníženia hodnoty majetku (§ 21/5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227" w:hanging="227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ind w:left="360" w:hanging="360"/>
        <w:jc w:val="both"/>
        <w:rPr>
          <w:sz w:val="24"/>
          <w:szCs w:val="24"/>
        </w:rPr>
      </w:pPr>
      <w:r>
        <w:rPr>
          <w:rFonts w:eastAsia="Calibri" w:cs="Calibri" w:ascii="Calibri" w:hAnsi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g) ÚJ neboli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poskytnuté žiadne dotácie</w:t>
      </w:r>
    </w:p>
    <w:p>
      <w:pPr>
        <w:pStyle w:val="Normal"/>
        <w:keepNext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rPr/>
      </w:pPr>
      <w:r>
        <w:rPr>
          <w:rFonts w:eastAsia="Calibri" w:cs="Calibri" w:ascii="Calibri" w:hAnsi="Calibri"/>
          <w:sz w:val="24"/>
          <w:szCs w:val="24"/>
        </w:rPr>
        <w:t>5) ÚJ v zdaňovacom období roku 201</w:t>
      </w:r>
      <w:r>
        <w:rPr>
          <w:rFonts w:eastAsia="Calibri" w:cs="Calibri" w:ascii="Calibri" w:hAnsi="Calibri"/>
          <w:sz w:val="24"/>
          <w:szCs w:val="24"/>
        </w:rPr>
        <w:t>7</w:t>
      </w:r>
      <w:r>
        <w:rPr>
          <w:rFonts w:eastAsia="Calibri" w:cs="Calibri" w:ascii="Calibri" w:hAnsi="Calibri"/>
          <w:sz w:val="24"/>
          <w:szCs w:val="24"/>
        </w:rPr>
        <w:t xml:space="preserve"> nevykonala žiadne opravy významných chýb.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IV – INFORMÁCIE, KTORÉ VYSVETĽUJÚ A DOPĹŇAJÚ SÚVAHU A VÝKAZ ZISKOV A STRÁT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neeviduje žiadne položky nehmotného majetku.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položky významných derivátov, majetku a záväzkoch zabezpečených derivátmi.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 xml:space="preserve">3a) ÚJ neeviduje žiadne položky zabezpečených záväzkov so zostatkovou dobou splatnosti dlhšou </w:t>
        <w:tab/>
        <w:tab/>
        <w:tab/>
        <w:tab/>
        <w:tab/>
        <w:t xml:space="preserve"> ako 5 rokov:  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tbl>
      <w:tblPr>
        <w:tblStyle w:val="a4"/>
        <w:tblW w:w="9714" w:type="dxa"/>
        <w:jc w:val="center"/>
        <w:tblInd w:w="0" w:type="dxa"/>
        <w:tblBorders>
          <w:top w:val="single" w:sz="4" w:space="0" w:color="000001"/>
          <w:left w:val="single" w:sz="4" w:space="0" w:color="000001"/>
          <w:bottom w:val="single" w:sz="4" w:space="0" w:color="000001"/>
          <w:right w:val="single" w:sz="4" w:space="0" w:color="000001"/>
          <w:insideH w:val="single" w:sz="4" w:space="0" w:color="000001"/>
          <w:insideV w:val="single" w:sz="4" w:space="0" w:color="000001"/>
        </w:tblBorders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377"/>
      </w:tblGrid>
      <w:tr>
        <w:trPr>
          <w:trHeight w:val="68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>
        <w:trPr>
          <w:trHeight w:val="200" w:hRule="atLeast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center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fill="auto" w:val="clear"/>
            <w:tcMar>
              <w:left w:w="108" w:type="dxa"/>
            </w:tcMar>
            <w:vAlign w:val="center"/>
          </w:tcPr>
          <w:p>
            <w:pPr>
              <w:pStyle w:val="Normal"/>
              <w:spacing w:lineRule="auto" w:line="240"/>
              <w:jc w:val="both"/>
              <w:rPr/>
            </w:pPr>
            <w:r>
              <w:rPr>
                <w:rFonts w:eastAsia="Calibri" w:cs="Calibri" w:ascii="Calibri" w:hAnsi="Calibri"/>
                <w:sz w:val="24"/>
                <w:szCs w:val="24"/>
              </w:rPr>
              <w:t>0</w:t>
            </w:r>
          </w:p>
        </w:tc>
      </w:tr>
    </w:tbl>
    <w:p>
      <w:pPr>
        <w:pStyle w:val="Normal"/>
        <w:spacing w:lineRule="auto" w:line="240" w:before="120" w:after="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3b) ÚJ neeviduje žiadne položky zabezpečených záväzkov.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4) ÚJ neeviduje žiadne vlastné akcie.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5) ÚJ neeviduje žiadne položky nákladov alebo výnosov, ktoré majú výnimočný rozsah alebo výskyt.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 – INFORMÁCIE O INÝCH AKTÍVACH A INÝCH PASÍVACH</w:t>
      </w:r>
    </w:p>
    <w:p>
      <w:pPr>
        <w:pStyle w:val="Normal"/>
        <w:spacing w:lineRule="auto" w:line="240" w:before="0" w:after="12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1a) ÚJ neeviduje žiadne položky podmieneného majetku.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1b) ÚJ neeviduje žiadne položky podmienených záväzkov.</w:t>
      </w:r>
    </w:p>
    <w:p>
      <w:pPr>
        <w:pStyle w:val="Normal"/>
        <w:spacing w:lineRule="auto" w:line="240" w:before="0" w:after="12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neeviduje žiadne ostatné finančné povinnosti, ktoré a nevykazujú v účtovných výkazoch.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 w:before="0" w:after="120"/>
        <w:jc w:val="both"/>
        <w:rPr/>
      </w:pPr>
      <w:r>
        <w:rPr>
          <w:rFonts w:eastAsia="Calibri" w:cs="Calibri" w:ascii="Calibri" w:hAnsi="Calibri"/>
          <w:sz w:val="24"/>
          <w:szCs w:val="24"/>
        </w:rPr>
        <w:t>3 V účtovníctve ÚJ sa nenachádzajú žiadne položky evidované na podsúvahových účtoch.</w:t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 – UDALOSTI, KTORÉ NASTALI PO ZÁVIERKOVOM DNI</w:t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(Následné udalosti)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jc w:val="both"/>
        <w:rPr/>
      </w:pPr>
      <w:r>
        <w:rPr>
          <w:rFonts w:eastAsia="Calibri" w:cs="Calibri" w:ascii="Calibri" w:hAnsi="Calibri"/>
          <w:sz w:val="24"/>
          <w:szCs w:val="24"/>
        </w:rPr>
        <w:t>ÚJ neeviduje žiadne udalosti, ktoré nastali po závierkovom dni.</w:t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/>
      </w:r>
    </w:p>
    <w:p>
      <w:pPr>
        <w:pStyle w:val="Normal"/>
        <w:spacing w:lineRule="auto" w:line="240"/>
        <w:ind w:right="0" w:hanging="0"/>
        <w:jc w:val="center"/>
        <w:rPr/>
      </w:pPr>
      <w:r>
        <w:rPr>
          <w:rFonts w:eastAsia="Calibri" w:cs="Calibri" w:ascii="Calibri" w:hAnsi="Calibri"/>
          <w:b/>
          <w:sz w:val="24"/>
          <w:szCs w:val="24"/>
        </w:rPr>
        <w:t>Článok VII – OSTATNÉ INFORMÁCIE</w:t>
      </w:r>
    </w:p>
    <w:p>
      <w:pPr>
        <w:pStyle w:val="Normal"/>
        <w:spacing w:lineRule="auto" w:line="24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1) ÚJ nemá žiadne právo poskytovať služby vo verejnom záujme.</w:t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2) ÚJ nemá žiadnu priemyselnú výrobu.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>3) ÚJ nemá žiadne finančné vzťahy s orgánmi verejnej moci. (§ 23d/6 ZoU)</w:t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/>
      </w:r>
    </w:p>
    <w:p>
      <w:pPr>
        <w:pStyle w:val="Normal"/>
        <w:spacing w:lineRule="auto" w:line="240" w:before="0" w:after="120"/>
        <w:rPr/>
      </w:pPr>
      <w:r>
        <w:rPr/>
      </w:r>
    </w:p>
    <w:p>
      <w:pPr>
        <w:pStyle w:val="Normal"/>
        <w:spacing w:lineRule="auto" w:line="240" w:before="0" w:after="120"/>
        <w:ind w:right="0" w:hanging="0"/>
        <w:jc w:val="both"/>
        <w:rPr/>
      </w:pPr>
      <w:r>
        <w:rPr>
          <w:rFonts w:eastAsia="Calibri" w:cs="Calibri" w:ascii="Calibri" w:hAnsi="Calibri"/>
          <w:sz w:val="24"/>
          <w:szCs w:val="24"/>
        </w:rPr>
        <w:tab/>
        <w:tab/>
      </w:r>
    </w:p>
    <w:sectPr>
      <w:headerReference w:type="default" r:id="rId2"/>
      <w:footerReference w:type="default" r:id="rId3"/>
      <w:type w:val="nextPage"/>
      <w:pgSz w:w="11906" w:h="16838"/>
      <w:pgMar w:left="1417" w:right="992" w:header="708" w:top="1417" w:footer="708" w:bottom="1417" w:gutter="0"/>
      <w:pgNumType w:start="1" w:fmt="decimal"/>
      <w:formProt w:val="false"/>
      <w:textDirection w:val="lrTb"/>
      <w:docGrid w:type="default" w:linePitch="24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Georgia">
    <w:charset w:val="ee"/>
    <w:family w:val="roman"/>
    <w:pitch w:val="variable"/>
  </w:font>
  <w:font w:name="Calibri">
    <w:charset w:val="ee"/>
    <w:family w:val="roman"/>
    <w:pitch w:val="variable"/>
  </w:font>
  <w:font w:name="Arial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tabs>
        <w:tab w:val="center" w:pos="4536" w:leader="none"/>
        <w:tab w:val="right" w:pos="9072" w:leader="none"/>
      </w:tabs>
      <w:spacing w:lineRule="auto" w:line="24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6</w:t>
    </w:r>
    <w:r>
      <w:fldChar w:fldCharType="end"/>
    </w:r>
  </w:p>
  <w:p>
    <w:pPr>
      <w:pStyle w:val="Normal"/>
      <w:tabs>
        <w:tab w:val="center" w:pos="4536" w:leader="none"/>
        <w:tab w:val="right" w:pos="9072" w:leader="none"/>
      </w:tabs>
      <w:spacing w:lineRule="auto" w:line="240" w:before="0" w:after="567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widowControl w:val="false"/>
      <w:tabs>
        <w:tab w:val="left" w:pos="2990" w:leader="none"/>
        <w:tab w:val="left" w:pos="6348" w:leader="none"/>
      </w:tabs>
      <w:spacing w:lineRule="auto" w:line="240" w:before="567" w:after="0"/>
      <w:ind w:left="0" w:hanging="0"/>
      <w:jc w:val="center"/>
      <w:rPr/>
    </w:pPr>
    <w:r>
      <w:rPr/>
      <w:t xml:space="preserve"> </w:t>
    </w:r>
    <w:r>
      <w:rPr/>
      <w:t xml:space="preserve">Poznámky Úč POD 3 – 01          </w:t>
    </w:r>
    <w:r>
      <w:rPr>
        <w:color w:val="707070"/>
        <w:sz w:val="18"/>
        <w:szCs w:val="18"/>
        <w:highlight w:val="white"/>
      </w:rPr>
      <w:tab/>
    </w:r>
    <w:r>
      <w:rPr/>
      <w:t xml:space="preserve">                 IČO: </w:t>
    </w:r>
    <w:r>
      <w:rPr/>
      <w:t xml:space="preserve">36862118  </w:t>
    </w:r>
    <w:r>
      <w:rPr/>
      <w:t xml:space="preserve"> DIČ: </w:t>
    </w:r>
    <w:r>
      <w:rPr/>
      <w:t>2022754855</w:t>
    </w:r>
  </w:p>
  <w:p>
    <w:pPr>
      <w:pStyle w:val="Normal"/>
      <w:tabs>
        <w:tab w:val="center" w:pos="4703" w:leader="none"/>
        <w:tab w:val="right" w:pos="9406" w:leader="none"/>
      </w:tabs>
      <w:spacing w:lineRule="auto" w:line="24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6"/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2">
    <w:lvl w:ilvl="0">
      <w:start w:val="1"/>
      <w:numFmt w:val="bullet"/>
      <w:lvlText w:val="➢"/>
      <w:lvlJc w:val="left"/>
      <w:pPr>
        <w:ind w:left="360" w:hanging="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080" w:hanging="-7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1800" w:hanging="-14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520" w:hanging="-21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240" w:hanging="-28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3960" w:hanging="-36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4680" w:hanging="-43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400" w:hanging="-50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120" w:hanging="-57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3">
    <w:lvl w:ilvl="0">
      <w:numFmt w:val="bullet"/>
      <w:lvlText w:val="-"/>
      <w:lvlJc w:val="left"/>
      <w:pPr>
        <w:ind w:left="720" w:hanging="-3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1">
      <w:start w:val="1"/>
      <w:numFmt w:val="bullet"/>
      <w:lvlText w:val="o"/>
      <w:lvlJc w:val="left"/>
      <w:pPr>
        <w:ind w:left="1440" w:hanging="-10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2">
      <w:start w:val="1"/>
      <w:numFmt w:val="bullet"/>
      <w:lvlText w:val="▪"/>
      <w:lvlJc w:val="left"/>
      <w:pPr>
        <w:ind w:left="2160" w:hanging="-18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3">
      <w:start w:val="1"/>
      <w:numFmt w:val="bullet"/>
      <w:lvlText w:val="●"/>
      <w:lvlJc w:val="left"/>
      <w:pPr>
        <w:ind w:left="2880" w:hanging="-25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4">
      <w:start w:val="1"/>
      <w:numFmt w:val="bullet"/>
      <w:lvlText w:val="o"/>
      <w:lvlJc w:val="left"/>
      <w:pPr>
        <w:ind w:left="3600" w:hanging="-324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5">
      <w:start w:val="1"/>
      <w:numFmt w:val="bullet"/>
      <w:lvlText w:val="▪"/>
      <w:lvlJc w:val="left"/>
      <w:pPr>
        <w:ind w:left="4320" w:hanging="-396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6">
      <w:start w:val="1"/>
      <w:numFmt w:val="bullet"/>
      <w:lvlText w:val="●"/>
      <w:lvlJc w:val="left"/>
      <w:pPr>
        <w:ind w:left="5040" w:hanging="-468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7">
      <w:start w:val="1"/>
      <w:numFmt w:val="bullet"/>
      <w:lvlText w:val="o"/>
      <w:lvlJc w:val="left"/>
      <w:pPr>
        <w:ind w:left="5760" w:hanging="-540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  <w:lvl w:ilvl="8">
      <w:start w:val="1"/>
      <w:numFmt w:val="bullet"/>
      <w:lvlText w:val="▪"/>
      <w:lvlJc w:val="left"/>
      <w:pPr>
        <w:ind w:left="6480" w:hanging="-6120"/>
      </w:pPr>
      <w:rPr>
        <w:rFonts w:ascii="Arial" w:hAnsi="Arial" w:cs="Arial" w:hint="default"/>
        <w:vertAlign w:val="baseline"/>
        <w:position w:val="0"/>
        <w:sz w:val="24"/>
        <w:sz w:val="24"/>
        <w:rFonts w:cs="Arial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defaultTabStop w:val="720"/>
  <w:compat>
    <w:compatSetting w:name="compatibilityMode" w:uri="http://schemas.microsoft.com/office/word" w:val="14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" w:hAnsi="Arial" w:eastAsia="Arial" w:cs="Arial"/>
        <w:color w:val="000000"/>
        <w:sz w:val="22"/>
        <w:szCs w:val="22"/>
        <w:lang w:val="sk-SK" w:eastAsia="sk-SK" w:bidi="ar-SA"/>
      </w:rPr>
    </w:rPrDefault>
    <w:pPrDefault>
      <w:pPr>
        <w:spacing w:lineRule="auto" w:line="276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bidi w:val="0"/>
      <w:spacing w:lineRule="auto" w:line="276"/>
      <w:jc w:val="left"/>
    </w:pPr>
    <w:rPr>
      <w:rFonts w:ascii="Arial" w:hAnsi="Arial" w:eastAsia="Arial" w:cs="Arial"/>
      <w:color w:val="000000"/>
      <w:sz w:val="22"/>
      <w:szCs w:val="22"/>
      <w:lang w:val="sk-SK" w:eastAsia="sk-SK" w:bidi="ar-SA"/>
    </w:rPr>
  </w:style>
  <w:style w:type="paragraph" w:styleId="Nadpis1">
    <w:name w:val="Nadpis 1"/>
    <w:basedOn w:val="Normal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Nadpis 2"/>
    <w:basedOn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Nadpis 3"/>
    <w:basedOn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Nadpis 4"/>
    <w:basedOn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Nadpis 5"/>
    <w:basedOn w:val="Normal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Nadpis 6"/>
    <w:basedOn w:val="Normal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ListLabel1">
    <w:name w:val="ListLabel 1"/>
    <w:qFormat/>
    <w:rPr>
      <w:rFonts w:eastAsia="Arial" w:cs="Arial"/>
      <w:position w:val="0"/>
      <w:sz w:val="24"/>
      <w:sz w:val="24"/>
      <w:vertAlign w:val="baseline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Arial Unicode MS" w:cs="Mangal"/>
      <w:sz w:val="28"/>
      <w:szCs w:val="28"/>
    </w:rPr>
  </w:style>
  <w:style w:type="paragraph" w:styleId="Telotextu">
    <w:name w:val="Telo textu"/>
    <w:basedOn w:val="Normal"/>
    <w:pPr>
      <w:spacing w:lineRule="auto" w:line="288" w:before="0" w:after="140"/>
    </w:pPr>
    <w:rPr/>
  </w:style>
  <w:style w:type="paragraph" w:styleId="Zoznam">
    <w:name w:val="Zoznam"/>
    <w:basedOn w:val="Telotextu"/>
    <w:pPr/>
    <w:rPr>
      <w:rFonts w:cs="Mangal"/>
    </w:rPr>
  </w:style>
  <w:style w:type="paragraph" w:styleId="Popis">
    <w:name w:val="Popis"/>
    <w:basedOn w:val="Normal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zov">
    <w:name w:val="Názov"/>
    <w:basedOn w:val="Normal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nzov">
    <w:name w:val="Podnázov"/>
    <w:basedOn w:val="Normal"/>
    <w:pPr>
      <w:keepNext/>
      <w:keepLines/>
      <w:spacing w:before="360" w:after="80"/>
      <w:contextualSpacing/>
    </w:pPr>
    <w:rPr>
      <w:rFonts w:ascii="Georgia" w:hAnsi="Georgia" w:eastAsia="Georgia" w:cs="Georgia"/>
      <w:i/>
      <w:color w:val="666666"/>
      <w:sz w:val="48"/>
      <w:szCs w:val="48"/>
    </w:rPr>
  </w:style>
  <w:style w:type="paragraph" w:styleId="Hlavika">
    <w:name w:val="Hlavička"/>
    <w:basedOn w:val="Normal"/>
    <w:pPr/>
    <w:rPr/>
  </w:style>
  <w:style w:type="paragraph" w:styleId="Pta">
    <w:name w:val="Päta"/>
    <w:basedOn w:val="Normal"/>
    <w:pPr/>
    <w:rPr/>
  </w:style>
  <w:style w:type="numbering" w:styleId="NoList" w:default="1">
    <w:name w:val="No List"/>
    <w:uiPriority w:val="99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LibreOffice/5.0.4.2$Windows_x86 LibreOffice_project/2b9802c1994aa0b7dc6079e128979269cf95bc78</Application>
  <Paragraphs>198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2017-03-30T07:49:00Z</dcterms:created>
  <dc:language>sk-SK</dc:language>
  <dcterms:modified xsi:type="dcterms:W3CDTF">2018-03-27T08:21:44Z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