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M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UDr. Marta Tkáčová, spol.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Moyzesova 1441, 022 01  Čadca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25.6.2013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Činnosť všeobecnej lekárskej praxe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 xml:space="preserve">7 </w:t>
      </w:r>
      <w:r>
        <w:rPr>
          <w:rFonts w:eastAsia="Calibri" w:cs="Calibri" w:ascii="Calibri" w:hAnsi="Calibri"/>
          <w:sz w:val="24"/>
          <w:szCs w:val="24"/>
        </w:rPr>
        <w:t>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 xml:space="preserve">7 </w:t>
      </w:r>
      <w:r>
        <w:rPr>
          <w:rFonts w:eastAsia="Calibri" w:cs="Calibri" w:ascii="Calibri" w:hAnsi="Calibri"/>
          <w:sz w:val="24"/>
          <w:szCs w:val="24"/>
        </w:rPr>
        <w:t>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47248971</w:t>
    </w:r>
    <w:r>
      <w:rPr/>
      <w:t xml:space="preserve">         DIČ: </w:t>
    </w:r>
    <w:r>
      <w:rPr/>
      <w:t>2023803694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2018-03-27T10:08:34Z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