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M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UDr. Marta Tkáčová, spol.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Moyzesova 1441, 022 01  Čadca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25.6.2013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Činnosť všeobecnej lekárskej praxe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mikro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 xml:space="preserve">7 </w:t>
      </w:r>
      <w:r>
        <w:rPr>
          <w:rFonts w:eastAsia="Calibri" w:cs="Calibri" w:ascii="Calibri" w:hAnsi="Calibri"/>
          <w:sz w:val="24"/>
          <w:szCs w:val="24"/>
        </w:rPr>
        <w:t>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 xml:space="preserve">7 </w:t>
      </w:r>
      <w:r>
        <w:rPr>
          <w:rFonts w:eastAsia="Calibri" w:cs="Calibri" w:ascii="Calibri" w:hAnsi="Calibri"/>
          <w:sz w:val="24"/>
          <w:szCs w:val="24"/>
        </w:rPr>
        <w:t>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>47248971</w:t>
    </w:r>
    <w:r>
      <w:rPr/>
      <w:t xml:space="preserve">         DIČ: </w:t>
    </w:r>
    <w:r>
      <w:rPr/>
      <w:t>2023803694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LibreOffice/5.0.4.2$Windows_x86 LibreOffice_project/2b9802c1994aa0b7dc6079e128979269cf95bc78</Application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language>sk-SK</dc:language>
  <dcterms:modified xsi:type="dcterms:W3CDTF">2018-03-27T10:08:34Z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