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375" w:type="dxa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060"/>
        <w:gridCol w:w="2665"/>
        <w:gridCol w:w="341"/>
        <w:gridCol w:w="340"/>
        <w:gridCol w:w="340"/>
        <w:gridCol w:w="341"/>
        <w:gridCol w:w="340"/>
        <w:gridCol w:w="340"/>
        <w:gridCol w:w="341"/>
        <w:gridCol w:w="340"/>
        <w:gridCol w:w="565"/>
        <w:gridCol w:w="341"/>
        <w:gridCol w:w="340"/>
        <w:gridCol w:w="340"/>
        <w:gridCol w:w="341"/>
      </w:tblGrid>
      <w:tr>
        <w:trPr/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jc w:val="righ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2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2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2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Všeobecné údaje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</w:rPr>
        <w:t>.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</w:rPr>
        <w:t xml:space="preserve">             </w:t>
      </w:r>
      <w:r>
        <w:rPr>
          <w:rFonts w:cs="Arial" w:ascii="Arial" w:hAnsi="Arial"/>
        </w:rPr>
        <w:t>Zakľadateľ neziskovej organizácie:</w:t>
      </w:r>
    </w:p>
    <w:p>
      <w:pPr>
        <w:pStyle w:val="Normal"/>
        <w:widowControl w:val="false"/>
        <w:suppressAutoHyphens w:val="true"/>
        <w:rPr/>
      </w:pPr>
      <w:r>
        <w:rPr/>
        <w:t>Obec Gajary, sídlo: 900 61 Gajary, ul. Hlavná 67, IČO: 00304743, v zastúpení: Ing. Peter Tydlitát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Malé Leváre, sídlo: 908 74 Malé Leváre č.177, IČO: 00309711, v zastúpení: Adrian Pernecký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Veľké Leváre, sídlo: 908 73 Veľké Leváre, ul. Štefánikova 747, IČO: 00310115, v zastúpení: Bc. Štefan Kudlička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Jakubov, sídlo: 900 63 Jakubov č. 191, IČO: 00304816, v zastúpení: Mgr. Peter Gajdár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Studienka, sídlo: 908 75 Studienka č. 364, IČO: 00310042, v zastúpení: Ing. Boris Soukup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Závod, sídlo: 908 72 Závod, ul. Sokolská 243, IČO: 00310158, v zastúpení: Ing. Peter Vrablec</w:t>
      </w:r>
    </w:p>
    <w:p>
      <w:pPr>
        <w:pStyle w:val="Normal"/>
        <w:widowControl w:val="false"/>
        <w:suppressAutoHyphens w:val="true"/>
        <w:spacing w:lineRule="atLeast" w:line="200"/>
        <w:rPr>
          <w:b/>
          <w:b/>
          <w:bCs/>
        </w:rPr>
      </w:pPr>
      <w:r>
        <w:rPr/>
        <w:t>Obec Kostolište, sídlo: 900 62 Kostolište č. 66, IČO: 00304867, v zastúpení: Mgr. Hubert Danihel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</w:rPr>
        <w:t xml:space="preserve">            </w:t>
      </w:r>
    </w:p>
    <w:p>
      <w:pPr>
        <w:pStyle w:val="Normal"/>
        <w:widowControl w:val="false"/>
        <w:suppressAutoHyphens w:val="true"/>
        <w:rPr>
          <w:b/>
          <w:b/>
          <w:bCs/>
        </w:rPr>
      </w:pPr>
      <w:r>
        <w:rPr>
          <w:rFonts w:cs="Arial" w:ascii="Arial" w:hAnsi="Arial"/>
        </w:rPr>
        <w:t xml:space="preserve">             </w:t>
      </w:r>
      <w:r>
        <w:rPr>
          <w:rFonts w:cs="Arial" w:ascii="Arial" w:hAnsi="Arial"/>
        </w:rPr>
        <w:t>Dátum založenia neziskovej organizácie:</w:t>
      </w:r>
      <w:r>
        <w:rPr>
          <w:b/>
          <w:bCs/>
        </w:rPr>
        <w:t xml:space="preserve"> 19.1.2007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 xml:space="preserve">Riaditeľ: </w:t>
      </w:r>
      <w:r>
        <w:rPr>
          <w:b/>
          <w:bCs/>
        </w:rPr>
        <w:t>Mgr.Hubert Danihel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>Správna rada: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>Predseda: Ing. Peter Tydlitát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 xml:space="preserve">Členovia: 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>Ing. Boris Soukup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>Mgr. Peter Gajdár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>Ing. Adrian Pernecký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1778" w:hanging="0"/>
        <w:rPr>
          <w:rFonts w:ascii="Arial" w:hAnsi="Arial" w:cs="Arial"/>
          <w:b/>
          <w:b/>
          <w:bCs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</w:r>
    </w:p>
    <w:p>
      <w:pPr>
        <w:pStyle w:val="BodyTextIndent2"/>
        <w:rPr>
          <w:rFonts w:ascii="Arial" w:hAnsi="Arial" w:cs="Arial"/>
        </w:rPr>
      </w:pPr>
      <w:r>
        <w:rPr>
          <w:rFonts w:cs="Arial" w:ascii="Arial" w:hAnsi="Arial"/>
        </w:rPr>
        <w:t>Nezisková organizácia bude poskytovať všeobecne prospešné služby v oblasti tvorby, rozvoja, ochrany, obnovy a prezentácie duchovných a kultúrnych hodnôt:</w:t>
      </w:r>
    </w:p>
    <w:p>
      <w:pPr>
        <w:pStyle w:val="BodyTextIndent2"/>
        <w:tabs>
          <w:tab w:val="left" w:pos="4111" w:leader="none"/>
        </w:tabs>
        <w:rPr>
          <w:rFonts w:ascii="Arial" w:hAnsi="Arial" w:cs="Arial"/>
        </w:rPr>
      </w:pPr>
      <w:r>
        <w:rPr>
          <w:rFonts w:cs="Arial" w:ascii="Arial" w:hAnsi="Arial"/>
        </w:rPr>
        <w:t>- služby organizovania kultúrnych, spoločenských podujatí, výstav, prezentácií, osvetových podujatí  a stretnutí a ďalšie služby v oblasti výskumu, vývoja, vedecko-technických služieb a informačných služieb so zameraním na informačné služby: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     </w:t>
      </w:r>
      <w:r>
        <w:rPr>
          <w:rFonts w:cs="Arial" w:ascii="Arial" w:hAnsi="Arial"/>
        </w:rPr>
        <w:t>- analýzy, rozbory, prieskumy, spracovanie a realizácia projektov,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     </w:t>
      </w:r>
      <w:r>
        <w:rPr>
          <w:rFonts w:cs="Arial" w:ascii="Arial" w:hAnsi="Arial"/>
        </w:rPr>
        <w:t>- informačné služby prostredníctvom  internetu.</w:t>
      </w:r>
    </w:p>
    <w:p>
      <w:pPr>
        <w:pStyle w:val="Normal"/>
        <w:spacing w:lineRule="auto" w:line="240" w:before="0" w:after="120"/>
        <w:rPr>
          <w:rFonts w:ascii="Arial" w:hAnsi="Arial" w:cs="Arial"/>
          <w:highlight w:val="yellow"/>
        </w:rPr>
      </w:pPr>
      <w:r>
        <w:rPr>
          <w:rFonts w:cs="Arial" w:ascii="Arial" w:hAnsi="Arial"/>
          <w:highlight w:val="yellow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jc w:val="left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Tabuľka k čl. I ods.  4 o počte zamestnancov a dobrovoľníkov</w:t>
      </w:r>
    </w:p>
    <w:tbl>
      <w:tblPr>
        <w:tblW w:w="9923" w:type="dxa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61"/>
        <w:gridCol w:w="2410"/>
        <w:gridCol w:w="2552"/>
      </w:tblGrid>
      <w:tr>
        <w:trPr/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xtopatrenia"/>
              <w:spacing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</w:t>
            </w:r>
          </w:p>
          <w:p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mc:AlternateContent>
          <mc:Choice Requires="wps">
            <w:drawing>
              <wp:anchor behindDoc="0" distT="0" distB="0" distL="89535" distR="89535" simplePos="0" locked="0" layoutInCell="1" allowOverlap="1" relativeHeight="7">
                <wp:simplePos x="0" y="0"/>
                <wp:positionH relativeFrom="margin">
                  <wp:posOffset>-9525</wp:posOffset>
                </wp:positionH>
                <wp:positionV relativeFrom="paragraph">
                  <wp:posOffset>-58420</wp:posOffset>
                </wp:positionV>
                <wp:extent cx="3787775" cy="220980"/>
                <wp:effectExtent l="0" t="0" r="0" b="0"/>
                <wp:wrapSquare wrapText="bothSides"/>
                <wp:docPr id="1" name="Rámec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87200" cy="2203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Obsahrmca"/>
                              <w:spacing w:before="120" w:after="120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  <wp14:sizeRelH relativeFrom="margin">
                  <wp14:pctWidth>57000</wp14:pctWidth>
                </wp14:sizeRelH>
              </wp:anchor>
            </w:drawing>
          </mc:Choice>
          <mc:Fallback>
            <w:pict>
              <v:rect id="shape_0" ID="Rámec2" stroked="f" style="position:absolute;margin-left:-0.75pt;margin-top:-4.6pt;width:298.15pt;height:17.3pt;mso-position-horizontal-relative:margin">
                <w10:wrap type="none"/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Obsahrmca"/>
                        <w:spacing w:before="120" w:after="12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cs="Arial" w:ascii="Arial" w:hAnsi="Arial"/>
          <w:sz w:val="16"/>
          <w:szCs w:val="16"/>
        </w:rPr>
        <w:t xml:space="preserve">              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  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Informácie o účtovných zásadách a účtovných metódach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left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II. ods.1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>Spoločnosť zostavila účtovnú závierku za predpokladu nepretržitého pokračovania vo svojej činnosti. Spoločnosť nepretržite pokračovala vo svojej činnosti od 1.1.2017 do 31.12.2017 a predpokladá túto činnosť vykonávať i naďalej.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  <w:t xml:space="preserve">II.odst.2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>Účtovná jednotka nevykonala žiadne zmeny účtovných zásad a účtovných metód.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II.ods.3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>3.1 Účtovná jednotka oceňovala majetok a záväzky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ku dňu uskutočnenie účtovného prípadu</w:t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>3.1.1 Ku dňu uskutočnenia účtovného prípadu oceňovala účtovná jednotka majetok a záväzky: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</w:t>
      </w:r>
      <w:r>
        <w:rPr>
          <w:rFonts w:cs="Arial" w:ascii="Arial" w:hAnsi="Arial"/>
          <w:sz w:val="16"/>
          <w:szCs w:val="16"/>
        </w:rPr>
        <w:t>a) obstarávacou cenou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dlhodobý nehmotný majetok obstaraný kúpou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dlhodobý hmotný majetok obstaraný kúpou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dlhodobý finančný majetok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</w:t>
      </w:r>
      <w:r>
        <w:rPr>
          <w:rFonts w:cs="Arial" w:ascii="Arial" w:hAnsi="Arial"/>
          <w:sz w:val="16"/>
          <w:szCs w:val="16"/>
        </w:rPr>
        <w:t>- zásoby obstarané kúpou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>b)/menovitou hodnotou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pohľadávky pri odplatnom nadobudnutí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záväzky pri ich prevzatí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krátkodobý finančný majetok obstaraný kúpou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 xml:space="preserve">Obstarávacia cena je cena, za ktorú sa majetok obstaral a náklady súviace s jeho obstaraním.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 xml:space="preserve">Vyskytujúce sa náklady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>súvisiace s obstaraním v účtovnej jednotke: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 </w:t>
      </w:r>
      <w:r>
        <w:rPr>
          <w:rFonts w:cs="Arial" w:ascii="Arial" w:hAnsi="Arial"/>
          <w:sz w:val="16"/>
          <w:szCs w:val="16"/>
        </w:rPr>
        <w:t>- provízia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 </w:t>
      </w:r>
      <w:r>
        <w:rPr>
          <w:rFonts w:cs="Arial" w:ascii="Arial" w:hAnsi="Arial"/>
          <w:sz w:val="16"/>
          <w:szCs w:val="16"/>
        </w:rPr>
        <w:t>- dopravné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sz w:val="16"/>
          <w:szCs w:val="16"/>
        </w:rPr>
        <w:t xml:space="preserve">  </w:t>
      </w:r>
      <w:r>
        <w:rPr>
          <w:rFonts w:cs="Arial" w:ascii="Arial" w:hAnsi="Arial"/>
          <w:b/>
          <w:bCs/>
          <w:sz w:val="18"/>
          <w:szCs w:val="18"/>
        </w:rPr>
        <w:t xml:space="preserve"> </w:t>
      </w:r>
      <w:r>
        <w:rPr>
          <w:rFonts w:cs="Arial" w:ascii="Arial" w:hAnsi="Arial"/>
          <w:b/>
          <w:bCs/>
          <w:sz w:val="18"/>
          <w:szCs w:val="18"/>
        </w:rPr>
        <w:t>II. ods.  4 Spôsob zostavovania odpisového plánu dlhodobého majetku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Účtovná jednotka stanovila interným predpisom pravidlá pre účtovanie dlhodobého majetku: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 xml:space="preserve">Nehmotný majetok, ktorého ocenenie sa rovná sume  2400 EUR, alebo nižšie sa účtuje na ťarchu 518 - Ostatné služby.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Nehmotný majetok, ktorého ocenenie je vyššie, zaradila účtovná jednotka do dlhodobého nehmotného majetku.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 xml:space="preserve">Hmotný majetok, ktorého ocenenie sa rovná sume   1700 EUR, alebo nižšie účtuje účtovná jednotka na ťarchu účtu zásob.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Hmotný majetok, ktorého ocenenie je vyššie, zaradila účtovná jednotka do dlhodobého hmotného majetku.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- účtovná jednotka zostavila pre bežné účtovné obdobie odpisový plán pre dlhodobý majetok, ktorý obsahuje dobu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</w:t>
      </w:r>
      <w:r>
        <w:rPr>
          <w:rFonts w:cs="Arial" w:ascii="Arial" w:hAnsi="Arial"/>
          <w:sz w:val="16"/>
          <w:szCs w:val="16"/>
        </w:rPr>
        <w:t>odpisovania, sadzby odpisov, odpisové metódy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- účtovná jednotka stanovila interným predpisom, že účtovné odpisy dlhodobého majetku sa rovnajú daňovým odpisom.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460" w:hanging="0"/>
        <w:rPr/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76" w:type="dxa"/>
        <w:jc w:val="left"/>
        <w:tblInd w:w="34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61"/>
        <w:gridCol w:w="4914"/>
      </w:tblGrid>
      <w:tr>
        <w:trPr>
          <w:trHeight w:val="284" w:hRule="atLeast"/>
        </w:trPr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lotextu"/>
              <w:spacing w:before="0" w:after="140"/>
              <w:jc w:val="center"/>
              <w:rPr/>
            </w:pPr>
            <w:r>
              <w:rPr>
                <w:b/>
                <w:sz w:val="16"/>
                <w:szCs w:val="16"/>
              </w:rPr>
              <w:t>Opravné položky</w:t>
            </w:r>
          </w:p>
        </w:tc>
        <w:tc>
          <w:tcPr>
            <w:tcW w:w="49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lotextu"/>
              <w:spacing w:before="0" w:after="140"/>
              <w:jc w:val="center"/>
              <w:rPr/>
            </w:pPr>
            <w:r>
              <w:rPr>
                <w:b/>
                <w:sz w:val="16"/>
                <w:szCs w:val="16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9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 xml:space="preserve">áno 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  <w:highlight w:val="yellow"/>
        </w:rPr>
      </w:pPr>
      <w:r>
        <w:rPr>
          <w:rFonts w:cs="Arial" w:ascii="Arial" w:hAnsi="Arial"/>
          <w:sz w:val="16"/>
          <w:szCs w:val="16"/>
          <w:highlight w:val="yellow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Informácie, ktoré dopĺňajú a vysvetľujú údaje v súvahe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left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III ods. 1 o stave a pohybe dlhodobého hmotného majetku</w:t>
      </w:r>
    </w:p>
    <w:tbl>
      <w:tblPr>
        <w:tblW w:w="7990" w:type="dxa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377"/>
        <w:gridCol w:w="1872"/>
        <w:gridCol w:w="1871"/>
        <w:gridCol w:w="1869"/>
      </w:tblGrid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Drobný hn.majetok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Prvotné ocenenie</w:t>
            </w:r>
            <w:r>
              <w:rPr>
                <w:rFonts w:cs="Arial"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11373,38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/>
              <w:t>13116,58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24489,96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1519,64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1519,64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presuny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9853,74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/>
              <w:t>13116,58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22970,32</w:t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 xml:space="preserve">Oprávky – </w:t>
            </w:r>
            <w:r>
              <w:rPr>
                <w:rFonts w:cs="Arial"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11373,38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13116,58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24489,96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1519,64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1519,64</w:t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9853,74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/>
              <w:t>13116,58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22970,32</w:t>
            </w:r>
          </w:p>
        </w:tc>
      </w:tr>
      <w:tr>
        <w:trPr>
          <w:trHeight w:val="361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Zostatková hodnota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475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</w:tr>
      <w:tr>
        <w:trPr>
          <w:trHeight w:val="361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III ods. 6 o položkách krátkodobého finančného majetku</w:t>
      </w:r>
    </w:p>
    <w:p>
      <w:pPr>
        <w:pStyle w:val="Normal"/>
        <w:spacing w:lineRule="auto" w:line="240" w:before="0" w:after="120"/>
        <w:ind w:left="567" w:hanging="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Tabuľka č. 1</w:t>
      </w:r>
    </w:p>
    <w:tbl>
      <w:tblPr>
        <w:tblW w:w="10382" w:type="dxa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317"/>
        <w:gridCol w:w="3602"/>
        <w:gridCol w:w="3463"/>
      </w:tblGrid>
      <w:tr>
        <w:trPr/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/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Pokladnica,ceniny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160,93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556,28</w:t>
            </w:r>
          </w:p>
        </w:tc>
      </w:tr>
      <w:tr>
        <w:trPr/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74848,44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94346,54</w:t>
            </w:r>
          </w:p>
        </w:tc>
      </w:tr>
      <w:tr>
        <w:trPr/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75009,37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94902,82</w:t>
            </w:r>
          </w:p>
        </w:tc>
      </w:tr>
    </w:tbl>
    <w:p>
      <w:pPr>
        <w:pStyle w:val="Normal"/>
        <w:spacing w:lineRule="auto" w:line="240" w:before="0" w:after="120"/>
        <w:ind w:left="709" w:hanging="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ind w:left="709" w:hanging="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 </w:t>
      </w:r>
      <w:r>
        <w:rPr>
          <w:rFonts w:cs="Arial" w:ascii="Arial" w:hAnsi="Arial"/>
          <w:b/>
          <w:bCs/>
        </w:rPr>
        <w:t xml:space="preserve">Čl. III ods. 10  o pohľadávkach do lehoty splatnosti a po lehote splatnosti </w:t>
      </w:r>
    </w:p>
    <w:tbl>
      <w:tblPr>
        <w:tblW w:w="10682" w:type="dxa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642"/>
        <w:gridCol w:w="3234"/>
        <w:gridCol w:w="3806"/>
      </w:tblGrid>
      <w:tr>
        <w:trPr>
          <w:trHeight w:val="397" w:hRule="atLeast"/>
        </w:trPr>
        <w:tc>
          <w:tcPr>
            <w:tcW w:w="364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70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/>
        <w:tc>
          <w:tcPr>
            <w:tcW w:w="364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3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/>
        <w:tc>
          <w:tcPr>
            <w:tcW w:w="3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8020,70</w:t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978,57</w:t>
            </w:r>
          </w:p>
        </w:tc>
      </w:tr>
      <w:tr>
        <w:trPr/>
        <w:tc>
          <w:tcPr>
            <w:tcW w:w="3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3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8020,70</w:t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978,57</w:t>
            </w:r>
          </w:p>
        </w:tc>
      </w:tr>
    </w:tbl>
    <w:p>
      <w:pPr>
        <w:pStyle w:val="Normal"/>
        <w:spacing w:lineRule="auto" w:line="240" w:before="0" w:after="12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  <w:t>Čl.III.ods.11Prehľad významných položiek časového rozlíšenia nákladov budúcich období a príjmov budúcich období</w:t>
      </w:r>
    </w:p>
    <w:tbl>
      <w:tblPr>
        <w:tblW w:w="9284" w:type="dxa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306"/>
        <w:gridCol w:w="2977"/>
      </w:tblGrid>
      <w:tr>
        <w:trPr>
          <w:trHeight w:val="403" w:hRule="atLeast"/>
        </w:trPr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Jednotlivé druhy  NBO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Domena 2018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48,21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48,21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 </w:t>
      </w:r>
      <w:r>
        <w:rPr>
          <w:rFonts w:cs="Arial" w:ascii="Arial" w:hAnsi="Arial"/>
          <w:b/>
          <w:bCs/>
        </w:rPr>
        <w:t>Čl. III ods. 12 o zmenách vlastných zdrojov krytia neobežného majetku a obežného majetku</w:t>
      </w:r>
      <w:r>
        <w:rPr>
          <w:rFonts w:cs="Arial" w:ascii="Arial" w:hAnsi="Arial"/>
        </w:rPr>
        <w:t xml:space="preserve">    </w:t>
      </w:r>
    </w:p>
    <w:tbl>
      <w:tblPr>
        <w:tblW w:w="10383" w:type="dxa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040"/>
        <w:gridCol w:w="2072"/>
        <w:gridCol w:w="1482"/>
        <w:gridCol w:w="1336"/>
        <w:gridCol w:w="1457"/>
        <w:gridCol w:w="1995"/>
      </w:tblGrid>
      <w:tr>
        <w:trPr/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2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391" w:hRule="atLeast"/>
        </w:trPr>
        <w:tc>
          <w:tcPr>
            <w:tcW w:w="1038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39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2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39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Nevysp.výsledok hosp.</w:t>
            </w:r>
          </w:p>
        </w:tc>
        <w:tc>
          <w:tcPr>
            <w:tcW w:w="2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17780,93</w:t>
            </w:r>
          </w:p>
        </w:tc>
        <w:tc>
          <w:tcPr>
            <w:tcW w:w="1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60977,39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78758,32</w:t>
            </w:r>
          </w:p>
        </w:tc>
      </w:tr>
      <w:tr>
        <w:trPr>
          <w:trHeight w:val="42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60977,39</w:t>
            </w:r>
          </w:p>
        </w:tc>
        <w:tc>
          <w:tcPr>
            <w:tcW w:w="1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609,51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-60977,39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609,51</w:t>
            </w:r>
          </w:p>
        </w:tc>
      </w:tr>
      <w:tr>
        <w:trPr>
          <w:trHeight w:val="39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78758,32</w:t>
            </w:r>
          </w:p>
        </w:tc>
        <w:tc>
          <w:tcPr>
            <w:tcW w:w="1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609,51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79367,83</w:t>
            </w:r>
          </w:p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III ods. 13 o rozdelení účtovného zisku alebo vysporiadaní účtovnej straty</w:t>
      </w:r>
    </w:p>
    <w:tbl>
      <w:tblPr>
        <w:tblW w:w="5000" w:type="pct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930"/>
        <w:gridCol w:w="4535"/>
      </w:tblGrid>
      <w:tr>
        <w:trPr>
          <w:trHeight w:val="765" w:hRule="atLeast"/>
        </w:trPr>
        <w:tc>
          <w:tcPr>
            <w:tcW w:w="5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Názov položky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</w:rPr>
              <w:t>Účtovný zisk 2016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color w:val="000000"/>
                <w:sz w:val="16"/>
                <w:szCs w:val="16"/>
              </w:rPr>
              <w:t>60977,39</w:t>
            </w:r>
          </w:p>
        </w:tc>
      </w:tr>
      <w:tr>
        <w:trPr>
          <w:trHeight w:val="330" w:hRule="atLeast"/>
        </w:trPr>
        <w:tc>
          <w:tcPr>
            <w:tcW w:w="1046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330" w:hRule="atLeast"/>
        </w:trPr>
        <w:tc>
          <w:tcPr>
            <w:tcW w:w="5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</w:rPr>
              <w:t>Do nevyspor. výsledku hospod. min. rokov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color w:val="000000"/>
                <w:sz w:val="16"/>
                <w:szCs w:val="16"/>
              </w:rPr>
              <w:t>60977,39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III ods. 14 písm. a) o  tvorbe a použití rezerv</w:t>
      </w:r>
    </w:p>
    <w:tbl>
      <w:tblPr>
        <w:tblW w:w="10240" w:type="dxa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094"/>
        <w:gridCol w:w="1908"/>
        <w:gridCol w:w="1407"/>
        <w:gridCol w:w="1369"/>
        <w:gridCol w:w="1549"/>
        <w:gridCol w:w="1912"/>
      </w:tblGrid>
      <w:tr>
        <w:trPr/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9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648" w:hRule="atLeast"/>
        </w:trPr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1039,50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966,84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1039,50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966,84</w:t>
            </w:r>
          </w:p>
        </w:tc>
      </w:tr>
      <w:tr>
        <w:trPr/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Rezerva dovolenka</w:t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1039,50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966,40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1039,50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966,40</w:t>
            </w:r>
          </w:p>
        </w:tc>
      </w:tr>
      <w:tr>
        <w:trPr/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236" w:hRule="atLeast"/>
        </w:trPr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Ostatné rezervy spolu</w:t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1039,50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966,40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1039,50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19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966,40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</w:t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/>
      </w:pPr>
      <w:r>
        <w:rPr>
          <w:rFonts w:cs="Arial" w:ascii="Arial" w:hAnsi="Arial"/>
          <w:sz w:val="16"/>
          <w:szCs w:val="16"/>
        </w:rPr>
        <w:t>Predpokladaný rok použitia rezervy- rok 2018</w:t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III ods. 14 písm. c) a d) o záväzkoch</w:t>
      </w:r>
    </w:p>
    <w:tbl>
      <w:tblPr>
        <w:tblW w:w="5000" w:type="pct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431"/>
        <w:gridCol w:w="2825"/>
        <w:gridCol w:w="3210"/>
      </w:tblGrid>
      <w:tr>
        <w:trPr>
          <w:trHeight w:val="397" w:hRule="atLeast"/>
        </w:trPr>
        <w:tc>
          <w:tcPr>
            <w:tcW w:w="443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60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/>
        <w:tc>
          <w:tcPr>
            <w:tcW w:w="44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391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</w:r>
          </w:p>
        </w:tc>
      </w:tr>
      <w:tr>
        <w:trPr>
          <w:trHeight w:val="391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  <w:t>2743,61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  <w:t>16044,31</w:t>
            </w:r>
          </w:p>
        </w:tc>
      </w:tr>
      <w:tr>
        <w:trPr>
          <w:trHeight w:val="447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2743,61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16044,31</w:t>
            </w:r>
          </w:p>
        </w:tc>
      </w:tr>
      <w:tr>
        <w:trPr/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44,60</w:t>
            </w:r>
          </w:p>
        </w:tc>
      </w:tr>
      <w:tr>
        <w:trPr>
          <w:trHeight w:val="478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409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44,60</w:t>
            </w:r>
          </w:p>
        </w:tc>
      </w:tr>
      <w:tr>
        <w:trPr>
          <w:trHeight w:val="409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2743,61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16088,91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III ods. 14 písm. e) o vývoji sociálneho fondu</w:t>
      </w:r>
    </w:p>
    <w:tbl>
      <w:tblPr>
        <w:tblW w:w="10240" w:type="dxa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822"/>
        <w:gridCol w:w="3221"/>
        <w:gridCol w:w="3197"/>
      </w:tblGrid>
      <w:tr>
        <w:trPr/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610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44,60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122,63</w:t>
            </w:r>
          </w:p>
        </w:tc>
      </w:tr>
      <w:tr>
        <w:trPr>
          <w:trHeight w:val="375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69,77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66,08</w:t>
            </w:r>
          </w:p>
        </w:tc>
      </w:tr>
      <w:tr>
        <w:trPr>
          <w:trHeight w:val="411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Čerpanie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114,37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144,11</w:t>
            </w:r>
          </w:p>
        </w:tc>
      </w:tr>
      <w:tr>
        <w:trPr>
          <w:trHeight w:val="557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44,60</w:t>
            </w:r>
          </w:p>
        </w:tc>
      </w:tr>
    </w:tbl>
    <w:p>
      <w:pPr>
        <w:pStyle w:val="Normal"/>
        <w:spacing w:lineRule="auto" w:line="240"/>
        <w:ind w:left="180" w:hanging="18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ind w:left="180" w:hanging="180"/>
        <w:rPr>
          <w:rFonts w:ascii="Arial" w:hAnsi="Arial" w:cs="Arial"/>
          <w:sz w:val="16"/>
          <w:szCs w:val="16"/>
        </w:rPr>
      </w:pPr>
      <w:bookmarkStart w:id="0" w:name="_GoBack"/>
      <w:bookmarkStart w:id="1" w:name="_GoBack"/>
      <w:bookmarkEnd w:id="1"/>
      <w:r>
        <w:rPr>
          <w:rFonts w:cs="Arial" w:ascii="Arial" w:hAnsi="Arial"/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tabs>
          <w:tab w:val="left" w:pos="3041" w:leader="none"/>
          <w:tab w:val="center" w:pos="7568" w:leader="none"/>
        </w:tabs>
        <w:spacing w:lineRule="auto" w:line="240" w:before="0" w:after="120"/>
        <w:jc w:val="left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ab/>
        <w:t>Informácie, ktoré dopĺňajú a vysvetľujú údaje vo výkaze ziskov a strát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IV. ods.1 o tržbách za vlastné výkony a tovar</w:t>
      </w:r>
    </w:p>
    <w:tbl>
      <w:tblPr>
        <w:tblW w:w="10420" w:type="dxa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88"/>
        <w:gridCol w:w="3641"/>
        <w:gridCol w:w="3491"/>
      </w:tblGrid>
      <w:tr>
        <w:trPr/>
        <w:tc>
          <w:tcPr>
            <w:tcW w:w="3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TRŽBY</w:t>
            </w:r>
          </w:p>
        </w:tc>
        <w:tc>
          <w:tcPr>
            <w:tcW w:w="3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/>
        <w:tc>
          <w:tcPr>
            <w:tcW w:w="3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služby</w:t>
            </w:r>
          </w:p>
        </w:tc>
        <w:tc>
          <w:tcPr>
            <w:tcW w:w="3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5518,13</w:t>
            </w:r>
          </w:p>
        </w:tc>
        <w:tc>
          <w:tcPr>
            <w:tcW w:w="3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3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5518,13</w:t>
            </w:r>
          </w:p>
        </w:tc>
        <w:tc>
          <w:tcPr>
            <w:tcW w:w="3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b/>
          <w:bCs/>
        </w:rPr>
      </w:pPr>
      <w:r>
        <w:rPr>
          <w:b/>
          <w:bCs/>
        </w:rPr>
        <w:t>Čl. IV. odst.3 o položkách prijatých dotácií</w:t>
      </w:r>
    </w:p>
    <w:tbl>
      <w:tblPr>
        <w:tblW w:w="9284" w:type="dxa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306"/>
        <w:gridCol w:w="2977"/>
      </w:tblGrid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Jednotlivé druhy dotácií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Dotácia –členské od obcí</w:t>
            </w:r>
          </w:p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Dotácia BSK</w:t>
            </w:r>
          </w:p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Dotácia IBK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17396,00</w:t>
            </w:r>
          </w:p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1388,00</w:t>
            </w:r>
          </w:p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7499,74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26283,74</w:t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b/>
          <w:bCs/>
          <w:sz w:val="18"/>
          <w:szCs w:val="18"/>
        </w:rPr>
        <w:t>IV. ods. 5 o významných položkách nákladov</w:t>
      </w:r>
    </w:p>
    <w:tbl>
      <w:tblPr>
        <w:tblW w:w="10420" w:type="dxa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883"/>
        <w:gridCol w:w="3299"/>
        <w:gridCol w:w="3238"/>
      </w:tblGrid>
      <w:tr>
        <w:trPr/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610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Náklady za poskytnuté služby, z toho: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2290,62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8261,06</w:t>
            </w:r>
          </w:p>
        </w:tc>
      </w:tr>
      <w:tr>
        <w:trPr>
          <w:trHeight w:val="375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Náklady voči audítorovi,účto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1077,94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480,58</w:t>
            </w:r>
          </w:p>
        </w:tc>
      </w:tr>
      <w:tr>
        <w:trPr>
          <w:trHeight w:val="279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1212,68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24720,20</w:t>
            </w:r>
          </w:p>
        </w:tc>
      </w:tr>
      <w:tr>
        <w:trPr>
          <w:trHeight w:val="411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513-Náklady repre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56,11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6448,02</w:t>
            </w:r>
          </w:p>
        </w:tc>
      </w:tr>
      <w:tr>
        <w:trPr>
          <w:trHeight w:val="411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 xml:space="preserve">551-odpisy 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center"/>
              <w:rPr/>
            </w:pPr>
            <w:r>
              <w:rPr/>
              <w:t>0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center"/>
              <w:rPr/>
            </w:pPr>
            <w:r>
              <w:rPr/>
              <w:t>499,45</w:t>
            </w:r>
          </w:p>
        </w:tc>
      </w:tr>
      <w:tr>
        <w:trPr>
          <w:trHeight w:val="411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 xml:space="preserve">521 – Mzdové náklady 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center"/>
              <w:rPr/>
            </w:pPr>
            <w:r>
              <w:rPr/>
              <w:t>19005,98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center"/>
              <w:rPr/>
            </w:pPr>
            <w:r>
              <w:rPr/>
              <w:t>13108,91</w:t>
            </w:r>
          </w:p>
        </w:tc>
      </w:tr>
      <w:tr>
        <w:trPr>
          <w:trHeight w:val="411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524 – Zákonné SP a ZP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center"/>
              <w:rPr/>
            </w:pPr>
            <w:r>
              <w:rPr/>
              <w:t>6729,46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center"/>
              <w:rPr/>
            </w:pPr>
            <w:r>
              <w:rPr/>
              <w:t>4663,82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IV  ods. 8 o nákladoch vynaložených v súvislosti s auditom účtovnej závierky</w:t>
      </w:r>
    </w:p>
    <w:tbl>
      <w:tblPr>
        <w:tblW w:w="9284" w:type="dxa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306"/>
        <w:gridCol w:w="2977"/>
      </w:tblGrid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Overenie účt. závierky 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480,58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480,58</w:t>
            </w:r>
          </w:p>
        </w:tc>
      </w:tr>
    </w:tbl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 xml:space="preserve">                                                                             </w:t>
      </w:r>
      <w:r>
        <w:rPr>
          <w:rFonts w:cs="Arial" w:ascii="Arial" w:hAnsi="Arial"/>
          <w:b/>
          <w:bCs/>
        </w:rPr>
        <w:t xml:space="preserve">Čl. VI  </w:t>
      </w:r>
    </w:p>
    <w:p>
      <w:pPr>
        <w:pStyle w:val="Normal"/>
        <w:spacing w:lineRule="auto" w:line="24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 xml:space="preserve">                                                                   </w:t>
      </w:r>
      <w:r>
        <w:rPr>
          <w:rFonts w:cs="Arial" w:ascii="Arial" w:hAnsi="Arial"/>
          <w:b/>
          <w:bCs/>
        </w:rPr>
        <w:t>ďalšie informácie</w:t>
      </w:r>
    </w:p>
    <w:p>
      <w:pPr>
        <w:pStyle w:val="Normal"/>
        <w:spacing w:lineRule="auto" w:line="240"/>
        <w:rPr/>
      </w:pPr>
      <w:bookmarkStart w:id="2" w:name="__UnoMark__1263_2268198812"/>
      <w:bookmarkEnd w:id="2"/>
      <w:r>
        <w:rPr>
          <w:rFonts w:cs="Arial" w:ascii="Arial" w:hAnsi="Arial"/>
          <w:sz w:val="16"/>
          <w:szCs w:val="16"/>
        </w:rPr>
        <w:t>Po 31.12.2017 nenastali také skutočnosti, ktoré by si vyžadovali zverejnenie, alebo vykázanie v účtovnej závierke za rok 2017.</w:t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jc w:val="left"/>
        <w:rPr/>
      </w:pPr>
      <w:r>
        <w:rPr/>
      </w:r>
    </w:p>
    <w:sectPr>
      <w:footerReference w:type="default" r:id="rId2"/>
      <w:footerReference w:type="first" r:id="rId3"/>
      <w:type w:val="nextPage"/>
      <w:pgSz w:w="11906" w:h="16838"/>
      <w:pgMar w:left="720" w:right="720" w:header="0" w:top="720" w:footer="709" w:bottom="766" w:gutter="0"/>
      <w:pgNumType w:start="7" w:fmt="decimal"/>
      <w:formProt w:val="false"/>
      <w:titlePg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ind w:right="360" w:hanging="0"/>
      <w:rPr/>
    </w:pPr>
    <w:r>
      <w:rPr/>
      <mc:AlternateContent>
        <mc:Choice Requires="wps">
          <w:drawing>
            <wp:anchor behindDoc="1" distT="0" distB="0" distL="0" distR="0" simplePos="0" locked="0" layoutInCell="1" allowOverlap="1" relativeHeight="6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72720" cy="250825"/>
              <wp:effectExtent l="0" t="0" r="0" b="0"/>
              <wp:wrapSquare wrapText="largest"/>
              <wp:docPr id="3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080" cy="250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Pta"/>
                            <w:spacing w:before="120" w:after="12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stroked="f" style="position:absolute;margin-left:509.7pt;margin-top:0.05pt;width:13.5pt;height:19.65pt;mso-position-horizontal:right;mso-position-horizontal-relative:margin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Pta"/>
                      <w:spacing w:before="120" w:after="12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Subtitle" w:uiPriority="11" w:semiHidden="0" w:unhideWhenUsed="0" w:qFormat="1"/>
    <w:lsdException w:name="Strong" w:semiHidden="0" w:unhideWhenUsed="0" w:qFormat="1"/>
    <w:lsdException w:name="Emphasis" w:uiPriority="20" w:semiHidden="0" w:unhideWhenUsed="0" w:qFormat="1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cs="Arial Narrow" w:eastAsia="Times New Roman"/>
      <w:color w:val="00000A"/>
      <w:sz w:val="20"/>
      <w:szCs w:val="20"/>
      <w:lang w:eastAsia="cs-CZ" w:val="sk-SK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4056c5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4056c5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4056c5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c770ad"/>
    <w:rPr>
      <w:rFonts w:ascii="Arial Narrow" w:hAnsi="Arial Narrow" w:cs="Arial Narrow"/>
      <w:sz w:val="24"/>
      <w:szCs w:val="24"/>
      <w:lang w:eastAsia="cs-CZ"/>
    </w:rPr>
  </w:style>
  <w:style w:type="character" w:styleId="ListLabel1" w:customStyle="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Pr>
      <w:b/>
      <w:bCs/>
      <w:i w:val="false"/>
      <w:iCs w:val="false"/>
    </w:rPr>
  </w:style>
  <w:style w:type="character" w:styleId="ListLabel6" w:customStyle="1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9" w:customStyle="1">
    <w:name w:val="ListLabel 9"/>
    <w:qFormat/>
    <w:rPr>
      <w:rFonts w:eastAsia="Times New Roman"/>
    </w:rPr>
  </w:style>
  <w:style w:type="character" w:styleId="ListLabel10" w:customStyle="1">
    <w:name w:val="ListLabel 10"/>
    <w:qFormat/>
    <w:rPr>
      <w:rFonts w:cs="Courier New"/>
    </w:rPr>
  </w:style>
  <w:style w:type="character" w:styleId="ListLabel11" w:customStyle="1">
    <w:name w:val="ListLabel 11"/>
    <w:qFormat/>
    <w:rPr>
      <w:rFonts w:cs="Wingdings"/>
    </w:rPr>
  </w:style>
  <w:style w:type="character" w:styleId="ListLabel12" w:customStyle="1">
    <w:name w:val="ListLabel 12"/>
    <w:qFormat/>
    <w:rPr>
      <w:rFonts w:cs="Symbol"/>
    </w:rPr>
  </w:style>
  <w:style w:type="character" w:styleId="ListLabel13" w:customStyle="1">
    <w:name w:val="ListLabel 13"/>
    <w:qFormat/>
    <w:rPr>
      <w:rFonts w:cs="Courier New"/>
    </w:rPr>
  </w:style>
  <w:style w:type="character" w:styleId="ListLabel14" w:customStyle="1">
    <w:name w:val="ListLabel 14"/>
    <w:qFormat/>
    <w:rPr>
      <w:rFonts w:cs="Wingdings"/>
    </w:rPr>
  </w:style>
  <w:style w:type="character" w:styleId="ListLabel15" w:customStyle="1">
    <w:name w:val="ListLabel 15"/>
    <w:qFormat/>
    <w:rPr>
      <w:rFonts w:cs="Symbol"/>
    </w:rPr>
  </w:style>
  <w:style w:type="character" w:styleId="ListLabel16" w:customStyle="1">
    <w:name w:val="ListLabel 16"/>
    <w:qFormat/>
    <w:rPr>
      <w:rFonts w:cs="Courier New"/>
    </w:rPr>
  </w:style>
  <w:style w:type="character" w:styleId="ListLabel17" w:customStyle="1">
    <w:name w:val="ListLabel 17"/>
    <w:qFormat/>
    <w:rPr>
      <w:rFonts w:cs="Wingdings"/>
    </w:rPr>
  </w:style>
  <w:style w:type="character" w:styleId="ListLabel18" w:customStyle="1">
    <w:name w:val="ListLabel 18"/>
    <w:qFormat/>
    <w:rPr>
      <w:rFonts w:cs="Arial"/>
      <w:b/>
      <w:bCs/>
      <w:i w:val="false"/>
      <w:iCs w:val="false"/>
      <w:sz w:val="24"/>
      <w:szCs w:val="24"/>
    </w:rPr>
  </w:style>
  <w:style w:type="character" w:styleId="ListLabel19" w:customStyle="1">
    <w:name w:val="ListLabel 19"/>
    <w:qFormat/>
    <w:rPr>
      <w:rFonts w:cs="Arial"/>
      <w:b/>
      <w:bCs/>
      <w:i w:val="false"/>
      <w:iCs w:val="false"/>
      <w:sz w:val="24"/>
      <w:szCs w:val="24"/>
    </w:rPr>
  </w:style>
  <w:style w:type="character" w:styleId="ListLabel20" w:customStyle="1">
    <w:name w:val="ListLabel 20"/>
    <w:qFormat/>
    <w:rPr>
      <w:rFonts w:cs="Arial"/>
      <w:b/>
      <w:bCs/>
      <w:i w:val="false"/>
      <w:iCs w:val="false"/>
      <w:sz w:val="24"/>
      <w:szCs w:val="24"/>
    </w:rPr>
  </w:style>
  <w:style w:type="character" w:styleId="ListLabel243" w:customStyle="1">
    <w:name w:val="ListLabel 243"/>
    <w:qFormat/>
    <w:rPr>
      <w:b/>
      <w:i w:val="false"/>
    </w:rPr>
  </w:style>
  <w:style w:type="character" w:styleId="ListLabel244" w:customStyle="1">
    <w:name w:val="ListLabel 244"/>
    <w:qFormat/>
    <w:rPr>
      <w:b w:val="false"/>
      <w:i w:val="false"/>
      <w:sz w:val="16"/>
    </w:rPr>
  </w:style>
  <w:style w:type="character" w:styleId="ListLabel245" w:customStyle="1">
    <w:name w:val="ListLabel 245"/>
    <w:qFormat/>
    <w:rPr>
      <w:b w:val="false"/>
      <w:i w:val="false"/>
    </w:rPr>
  </w:style>
  <w:style w:type="character" w:styleId="Zarkazkladnhotextu2Char" w:customStyle="1">
    <w:name w:val="Zarážka základného textu 2 Char"/>
    <w:basedOn w:val="DefaultParagraphFont"/>
    <w:link w:val="Zarkazkladnhotextu2"/>
    <w:uiPriority w:val="99"/>
    <w:semiHidden/>
    <w:qFormat/>
    <w:rsid w:val="00dc55c1"/>
    <w:rPr>
      <w:rFonts w:ascii="Arial Narrow" w:hAnsi="Arial Narrow" w:cs="Arial Narrow"/>
      <w:color w:val="00000A"/>
      <w:szCs w:val="20"/>
      <w:lang w:eastAsia="cs-CZ"/>
    </w:rPr>
  </w:style>
  <w:style w:type="character" w:styleId="ListLabel246">
    <w:name w:val="ListLabel 246"/>
    <w:qFormat/>
    <w:rPr>
      <w:rFonts w:cs="Arial"/>
      <w:b/>
      <w:bCs/>
      <w:i w:val="false"/>
      <w:iCs w:val="false"/>
      <w:sz w:val="24"/>
      <w:szCs w:val="24"/>
    </w:rPr>
  </w:style>
  <w:style w:type="paragraph" w:styleId="Nadpis" w:customStyle="1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</w:pPr>
    <w:rPr>
      <w:rFonts w:cs="Arial"/>
      <w:i/>
      <w:iCs/>
      <w:sz w:val="24"/>
      <w:szCs w:val="24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cs="Arial" w:eastAsia="Times New Roman"/>
      <w:color w:val="000000"/>
      <w:sz w:val="24"/>
      <w:szCs w:val="24"/>
      <w:lang w:eastAsia="cs-CZ" w:val="sk-SK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cs="Arial" w:eastAsia="Times New Roman"/>
      <w:b/>
      <w:bCs/>
      <w:color w:val="00000A"/>
      <w:sz w:val="24"/>
      <w:szCs w:val="24"/>
      <w:lang w:eastAsia="cs-CZ" w:val="sk-SK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cs="Arial" w:eastAsia="Times New Roman"/>
      <w:color w:val="00000A"/>
      <w:sz w:val="16"/>
      <w:szCs w:val="16"/>
      <w:lang w:eastAsia="cs-CZ" w:val="sk-SK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cs="Arial" w:eastAsia="Times New Roman"/>
      <w:color w:val="00000A"/>
      <w:sz w:val="24"/>
      <w:szCs w:val="24"/>
      <w:lang w:eastAsia="cs-CZ" w:val="sk-SK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cs="Arial Narrow" w:eastAsia="Times New Roman"/>
      <w:color w:val="00000A"/>
      <w:sz w:val="20"/>
      <w:szCs w:val="22"/>
      <w:lang w:eastAsia="cs-CZ" w:val="sk-SK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Hlavika">
    <w:name w:val="Header"/>
    <w:basedOn w:val="Normal"/>
    <w:link w:val="HlavikaChar"/>
    <w:uiPriority w:val="99"/>
    <w:rsid w:val="00c770ad"/>
    <w:pPr>
      <w:tabs>
        <w:tab w:val="center" w:pos="4536" w:leader="none"/>
        <w:tab w:val="right" w:pos="9072" w:leader="none"/>
      </w:tabs>
    </w:pPr>
    <w:rPr>
      <w:sz w:val="24"/>
      <w:szCs w:val="24"/>
    </w:rPr>
  </w:style>
  <w:style w:type="paragraph" w:styleId="Obsahrmca" w:customStyle="1">
    <w:name w:val="Obsah rámca"/>
    <w:basedOn w:val="Normal"/>
    <w:qFormat/>
    <w:pPr/>
    <w:rPr/>
  </w:style>
  <w:style w:type="paragraph" w:styleId="Obsahtabuky" w:customStyle="1">
    <w:name w:val="Obsah tabuľky"/>
    <w:basedOn w:val="Normal"/>
    <w:qFormat/>
    <w:pPr/>
    <w:rPr/>
  </w:style>
  <w:style w:type="paragraph" w:styleId="Nadpistabuky" w:customStyle="1">
    <w:name w:val="Nadpis tabuľky"/>
    <w:basedOn w:val="Obsahtabuky"/>
    <w:qFormat/>
    <w:pPr/>
    <w:rPr/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dc55c1"/>
    <w:pPr>
      <w:spacing w:lineRule="auto" w:line="480"/>
      <w:ind w:left="283" w:hanging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LibreOffice/5.3.3.2$Windows_X86_64 LibreOffice_project/3d9a8b4b4e538a85e0782bd6c2d430bafe583448</Application>
  <Pages>10</Pages>
  <Words>1172</Words>
  <Characters>7073</Characters>
  <CharactersWithSpaces>8376</CharactersWithSpaces>
  <Paragraphs>314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2018-03-23T07:32:00Z</dcterms:created>
  <dc:creator>Vrbova</dc:creator>
  <dc:description/>
  <dc:language>sk-SK</dc:language>
  <cp:lastModifiedBy>ENVIROPARK POMORAVIE</cp:lastModifiedBy>
  <cp:lastPrinted>2018-03-09T14:34:00Z</cp:lastPrinted>
  <dcterms:modified xsi:type="dcterms:W3CDTF">2018-03-23T07:32:00Z</dcterms:modified>
  <cp:revision>2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