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bottomFromText="200" w:vertAnchor="text" w:horzAnchor="margin" w:tblpXSpec="right" w:tblpY="-66"/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CD1CF1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page1"/>
            <w:bookmarkEnd w:id="0"/>
            <w:r>
              <w:rPr>
                <w:rFonts w:ascii="Arial" w:hAnsi="Arial" w:cs="Arial"/>
                <w:sz w:val="17"/>
                <w:szCs w:val="17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7"/>
                <w:szCs w:val="17"/>
              </w:rPr>
              <w:t>Úč</w:t>
            </w:r>
            <w:proofErr w:type="spellEnd"/>
            <w:r>
              <w:rPr>
                <w:rFonts w:ascii="Arial" w:hAnsi="Arial" w:cs="Arial"/>
                <w:sz w:val="17"/>
                <w:szCs w:val="17"/>
              </w:rPr>
              <w:t xml:space="preserve">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4"/>
          <w:szCs w:val="24"/>
        </w:rPr>
      </w:pPr>
    </w:p>
    <w:p w:rsidR="00BF7C3E" w:rsidRDefault="00CD1CF1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POZNÁMKY k účtovnej závierke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mikr</w:t>
      </w:r>
      <w:r w:rsidR="00CA12CC">
        <w:rPr>
          <w:rFonts w:ascii="Arial" w:hAnsi="Arial" w:cs="Arial"/>
          <w:b/>
          <w:bCs/>
          <w:sz w:val="24"/>
          <w:szCs w:val="24"/>
        </w:rPr>
        <w:t>oúčtovnej</w:t>
      </w:r>
      <w:proofErr w:type="spellEnd"/>
      <w:r w:rsidR="00CA12CC">
        <w:rPr>
          <w:rFonts w:ascii="Arial" w:hAnsi="Arial" w:cs="Arial"/>
          <w:b/>
          <w:bCs/>
          <w:sz w:val="24"/>
          <w:szCs w:val="24"/>
        </w:rPr>
        <w:t xml:space="preserve"> jednotky</w:t>
      </w:r>
    </w:p>
    <w:p w:rsidR="00CD1CF1" w:rsidRDefault="00BF7C3E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zostavenej </w:t>
      </w:r>
      <w:r w:rsidR="00CA12CC">
        <w:rPr>
          <w:rFonts w:ascii="Arial" w:hAnsi="Arial" w:cs="Arial"/>
          <w:b/>
          <w:bCs/>
          <w:sz w:val="24"/>
          <w:szCs w:val="24"/>
        </w:rPr>
        <w:t>k</w:t>
      </w:r>
      <w:r>
        <w:rPr>
          <w:rFonts w:ascii="Arial" w:hAnsi="Arial" w:cs="Arial"/>
          <w:b/>
          <w:bCs/>
          <w:sz w:val="24"/>
          <w:szCs w:val="24"/>
        </w:rPr>
        <w:t>u dňu</w:t>
      </w:r>
      <w:r w:rsidR="00CA12CC">
        <w:rPr>
          <w:rFonts w:ascii="Arial" w:hAnsi="Arial" w:cs="Arial"/>
          <w:b/>
          <w:bCs/>
          <w:sz w:val="24"/>
          <w:szCs w:val="24"/>
        </w:rPr>
        <w:t xml:space="preserve"> 31.12.2017</w:t>
      </w:r>
    </w:p>
    <w:p w:rsidR="00CD1CF1" w:rsidRDefault="00CD1CF1" w:rsidP="008075E6">
      <w:pPr>
        <w:widowControl w:val="0"/>
        <w:autoSpaceDE w:val="0"/>
        <w:autoSpaceDN w:val="0"/>
        <w:adjustRightInd w:val="0"/>
        <w:spacing w:after="0" w:line="240" w:lineRule="auto"/>
        <w:ind w:left="1420"/>
        <w:jc w:val="center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Článok 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jc w:val="center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45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Všeobecné údaje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(1) Názov a sídlo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Obchodné meno (názov) účtovnej jednotky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OAZIS-ADOS s.r.o.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60" w:right="83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Sídlo účtovnej jednotky Ulica a číslo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6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Kameničná - časť Balvany</w:t>
      </w:r>
      <w:r w:rsidR="008075E6">
        <w:rPr>
          <w:rFonts w:ascii="Arial" w:hAnsi="Arial" w:cs="Arial"/>
          <w:sz w:val="21"/>
          <w:szCs w:val="21"/>
        </w:rPr>
        <w:t xml:space="preserve"> č.642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PSČ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  <w:b/>
          <w:bCs/>
          <w:sz w:val="21"/>
          <w:szCs w:val="21"/>
        </w:rPr>
        <w:t>Názov obce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8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94601            Kameničná – časť Balvany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2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  <w:b/>
          <w:bCs/>
          <w:sz w:val="21"/>
          <w:szCs w:val="21"/>
        </w:rPr>
        <w:t>DIČ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36820849</w:t>
      </w:r>
      <w:r>
        <w:rPr>
          <w:rFonts w:ascii="Times New Roman" w:hAnsi="Times New Roman" w:cs="Times New Roman"/>
          <w:sz w:val="24"/>
          <w:szCs w:val="24"/>
        </w:rPr>
        <w:tab/>
        <w:t>2022442235</w:t>
      </w:r>
    </w:p>
    <w:p w:rsidR="008075E6" w:rsidRDefault="008075E6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 11.07.2007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21.08.2007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činnosti: Prevádzkovanie zdravotníckeho zariadenia prostredníctvom ADOS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Pálmay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Tibor – konateľ</w:t>
      </w:r>
    </w:p>
    <w:p w:rsidR="00CD1CF1" w:rsidRDefault="00CD1CF1" w:rsidP="00CD1CF1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Štruktúra spoločníkov: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Pálmay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Tibor,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Pálmayová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Juliana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30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(2) Údaje o konsolidovanom celku </w:t>
      </w:r>
    </w:p>
    <w:p w:rsidR="00CD1CF1" w:rsidRDefault="00CD1CF1" w:rsidP="00CD1CF1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b/>
          <w:bCs/>
        </w:rPr>
      </w:pPr>
    </w:p>
    <w:p w:rsidR="00CD1CF1" w:rsidRDefault="00CD1CF1" w:rsidP="00CD1CF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>Spoločnosť nemá dcérske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: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(3) Priemerný prepočítaný počet zamestnancov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700"/>
        <w:gridCol w:w="1580"/>
        <w:gridCol w:w="30"/>
      </w:tblGrid>
      <w:tr w:rsidR="00CD1CF1" w:rsidTr="00CD1CF1">
        <w:trPr>
          <w:trHeight w:val="240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right="3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Bežné účtovné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Bezprostredne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17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30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1700" w:type="dxa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predchádzajúc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94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right="35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obdobie</w:t>
            </w:r>
          </w:p>
        </w:tc>
        <w:tc>
          <w:tcPr>
            <w:tcW w:w="158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e obdobie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08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9"/>
                <w:szCs w:val="9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3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Stav zamestnancov ku dňu zostavenia závierky, z toho: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5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počet vedúcich zamestnancov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3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1"/>
                <w:szCs w:val="21"/>
              </w:rPr>
            </w:pP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CD1CF1" w:rsidRDefault="00CD1CF1" w:rsidP="00CD1CF1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1CF1">
          <w:pgSz w:w="11900" w:h="16834"/>
          <w:pgMar w:top="586" w:right="600" w:bottom="304" w:left="560" w:header="708" w:footer="708" w:gutter="0"/>
          <w:cols w:space="708"/>
        </w:sect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8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320"/>
        <w:gridCol w:w="1820"/>
      </w:tblGrid>
      <w:tr w:rsidR="00CD1CF1" w:rsidTr="00CD1CF1">
        <w:trPr>
          <w:trHeight w:val="195"/>
        </w:trPr>
        <w:tc>
          <w:tcPr>
            <w:tcW w:w="43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D1CF1" w:rsidTr="00CD1CF1">
        <w:trPr>
          <w:trHeight w:val="214"/>
        </w:trPr>
        <w:tc>
          <w:tcPr>
            <w:tcW w:w="43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6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89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1CF1" w:rsidRDefault="00CD1CF1" w:rsidP="00CD1CF1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D1CF1">
          <w:type w:val="continuous"/>
          <w:pgSz w:w="11900" w:h="16834"/>
          <w:pgMar w:top="586" w:right="1100" w:bottom="304" w:left="4660" w:header="708" w:footer="708" w:gutter="0"/>
          <w:cols w:space="708"/>
        </w:sectPr>
      </w:pPr>
    </w:p>
    <w:tbl>
      <w:tblPr>
        <w:tblW w:w="0" w:type="auto"/>
        <w:tblInd w:w="48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CD1CF1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page2"/>
            <w:bookmarkEnd w:id="1"/>
            <w:r>
              <w:rPr>
                <w:rFonts w:ascii="Arial" w:hAnsi="Arial" w:cs="Arial"/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rFonts w:ascii="Arial" w:hAnsi="Arial" w:cs="Arial"/>
                <w:sz w:val="17"/>
                <w:szCs w:val="17"/>
              </w:rPr>
              <w:t>Úč</w:t>
            </w:r>
            <w:proofErr w:type="spellEnd"/>
            <w:r>
              <w:rPr>
                <w:rFonts w:ascii="Arial" w:hAnsi="Arial" w:cs="Arial"/>
                <w:sz w:val="17"/>
                <w:szCs w:val="17"/>
              </w:rPr>
              <w:t xml:space="preserve">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u w:val="single"/>
        </w:rPr>
        <w:t>Článok II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368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Informácie o prijatých postupoch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(1) Predpoklad nepretržitého pokračovania v činnosti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Účtovná závierka bola zostavená za predpokladu nepretržitého trvania spoločnosti.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(2) Spôsob oceňovania jednotlivých zložiek majetku a záväzkov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Dlhodobý majetok a zásoby sa oceňujú obstarávacou cenou</w:t>
      </w: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Pohľadávky a záväzky sa oceňujú menovitou hodnotou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5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(3) Spôsob zostavenia odpisového plánu pre dlhodobý majetok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17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Tvorba odpisového plánu pre jednotlivé druhy dlhodobého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678"/>
        <w:gridCol w:w="1902"/>
        <w:gridCol w:w="1140"/>
        <w:gridCol w:w="2486"/>
      </w:tblGrid>
      <w:tr w:rsidR="00CD1CF1" w:rsidTr="00CD1CF1">
        <w:trPr>
          <w:trHeight w:val="251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0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Doba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6"/>
                <w:sz w:val="21"/>
                <w:szCs w:val="21"/>
              </w:rPr>
              <w:t>Ročná</w:t>
            </w:r>
          </w:p>
        </w:tc>
        <w:tc>
          <w:tcPr>
            <w:tcW w:w="24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CD1CF1" w:rsidTr="00CD1CF1">
        <w:trPr>
          <w:trHeight w:val="259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Druh dlhodobého majetku</w:t>
            </w:r>
          </w:p>
        </w:tc>
        <w:tc>
          <w:tcPr>
            <w:tcW w:w="190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odpisova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7"/>
                <w:sz w:val="21"/>
                <w:szCs w:val="21"/>
              </w:rPr>
              <w:t>odpisová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Metóda odpisovania</w:t>
            </w:r>
          </w:p>
        </w:tc>
      </w:tr>
      <w:tr w:rsidR="00CD1CF1" w:rsidTr="00CD1CF1">
        <w:trPr>
          <w:trHeight w:val="251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sadzba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CD1CF1" w:rsidTr="00CD1CF1">
        <w:trPr>
          <w:trHeight w:val="2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0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2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Samostatné hnuteľné veci- </w:t>
            </w:r>
            <w:proofErr w:type="spellStart"/>
            <w:r>
              <w:rPr>
                <w:rFonts w:ascii="Arial" w:hAnsi="Arial" w:cs="Arial"/>
                <w:sz w:val="21"/>
                <w:szCs w:val="21"/>
              </w:rPr>
              <w:t>odp</w:t>
            </w:r>
            <w:proofErr w:type="spellEnd"/>
            <w:r>
              <w:rPr>
                <w:rFonts w:ascii="Arial" w:hAnsi="Arial" w:cs="Arial"/>
                <w:sz w:val="21"/>
                <w:szCs w:val="21"/>
              </w:rPr>
              <w:t>. Skupina 2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1/6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rovnomerná</w:t>
            </w:r>
          </w:p>
        </w:tc>
      </w:tr>
      <w:tr w:rsidR="00CD1CF1" w:rsidTr="00CD1CF1">
        <w:trPr>
          <w:trHeight w:val="23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Samostatné hnuteľné veci- </w:t>
            </w:r>
            <w:proofErr w:type="spellStart"/>
            <w:r>
              <w:rPr>
                <w:rFonts w:ascii="Arial" w:hAnsi="Arial" w:cs="Arial"/>
                <w:sz w:val="21"/>
                <w:szCs w:val="21"/>
              </w:rPr>
              <w:t>odp</w:t>
            </w:r>
            <w:proofErr w:type="spellEnd"/>
            <w:r>
              <w:rPr>
                <w:rFonts w:ascii="Arial" w:hAnsi="Arial" w:cs="Arial"/>
                <w:sz w:val="21"/>
                <w:szCs w:val="21"/>
              </w:rPr>
              <w:t>. Skupina 1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4 roky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1/4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rovnomerná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 xml:space="preserve"> (4) Významné zmeny účtovných zásad a účtovných metód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 xml:space="preserve">Zmeny účtovných zásad a účtovných </w:t>
      </w:r>
      <w:proofErr w:type="spellStart"/>
      <w:r>
        <w:rPr>
          <w:rFonts w:ascii="Arial" w:hAnsi="Arial" w:cs="Arial"/>
          <w:sz w:val="21"/>
          <w:szCs w:val="21"/>
        </w:rPr>
        <w:t>metod</w:t>
      </w:r>
      <w:proofErr w:type="spellEnd"/>
      <w:r>
        <w:rPr>
          <w:rFonts w:ascii="Arial" w:hAnsi="Arial" w:cs="Arial"/>
          <w:sz w:val="21"/>
          <w:szCs w:val="21"/>
        </w:rPr>
        <w:t xml:space="preserve">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(5) Informácie o poskytnutých dotáciách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(6) Opravy významných chýb minulých účtovných období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u w:val="single"/>
        </w:rPr>
        <w:t>Článok III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198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Informácie, ktoré vysvetľujú a dopĺňajú súvahu a výkaz ziskov a strát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2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položkách nákladov alebo výnosov 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Náklady spolu: 50724,89 €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Výnosy spolu: 53564,53 €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a výnosy, ktoré majú výnimočný rozsah alebo výskyt sa v bežnom účtovnom období u 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záväzkoch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a) Informácie o celkovej sume záväzkoch so zostatkovou dobou splatnosti dlhšou ako päť rokov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938"/>
        <w:gridCol w:w="1134"/>
      </w:tblGrid>
      <w:tr w:rsidR="00CD1CF1" w:rsidTr="00CD1CF1">
        <w:trPr>
          <w:trHeight w:val="234"/>
        </w:trPr>
        <w:tc>
          <w:tcPr>
            <w:tcW w:w="7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left="40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right="2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Suma</w:t>
            </w:r>
          </w:p>
        </w:tc>
      </w:tr>
      <w:tr w:rsidR="00CD1CF1" w:rsidTr="00CD1CF1">
        <w:trPr>
          <w:trHeight w:val="20"/>
        </w:trPr>
        <w:tc>
          <w:tcPr>
            <w:tcW w:w="79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210"/>
        </w:trPr>
        <w:tc>
          <w:tcPr>
            <w:tcW w:w="79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Celková suma záväzkov so zostatkovou  dobou splatnosti dlhšou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196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 xml:space="preserve">b) Informácie o celkovej sume zabezpečených záväzkov, opis a spôsoby zabezpečenia </w: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20"/>
        <w:gridCol w:w="3780"/>
        <w:gridCol w:w="2800"/>
      </w:tblGrid>
      <w:tr w:rsidR="00CD1CF1" w:rsidTr="0071732A">
        <w:trPr>
          <w:trHeight w:val="195"/>
        </w:trPr>
        <w:tc>
          <w:tcPr>
            <w:tcW w:w="312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rFonts w:ascii="Arial" w:hAnsi="Arial" w:cs="Arial"/>
                <w:sz w:val="17"/>
                <w:szCs w:val="17"/>
              </w:rPr>
              <w:t>Úč</w:t>
            </w:r>
            <w:proofErr w:type="spellEnd"/>
            <w:r>
              <w:rPr>
                <w:rFonts w:ascii="Arial" w:hAnsi="Arial" w:cs="Arial"/>
                <w:sz w:val="17"/>
                <w:szCs w:val="17"/>
              </w:rPr>
              <w:t xml:space="preserve"> MÚJ 3 - 01</w:t>
            </w:r>
          </w:p>
        </w:tc>
        <w:tc>
          <w:tcPr>
            <w:tcW w:w="378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7"/>
                <w:szCs w:val="17"/>
              </w:rPr>
              <w:t>IČO 36820849</w:t>
            </w:r>
          </w:p>
        </w:tc>
        <w:tc>
          <w:tcPr>
            <w:tcW w:w="2800" w:type="dxa"/>
            <w:vAlign w:val="bottom"/>
            <w:hideMark/>
          </w:tcPr>
          <w:p w:rsidR="00CD1CF1" w:rsidRDefault="00CD1CF1" w:rsidP="007173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w w:val="99"/>
                <w:sz w:val="17"/>
                <w:szCs w:val="17"/>
              </w:rPr>
              <w:t>DIČ 2022442235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1"/>
          <w:szCs w:val="21"/>
          <w:u w:val="single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  <w:u w:val="single"/>
        </w:rPr>
        <w:t>záväzkov</w:t>
      </w:r>
    </w:p>
    <w:tbl>
      <w:tblPr>
        <w:tblW w:w="11295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57"/>
        <w:gridCol w:w="1611"/>
        <w:gridCol w:w="2227"/>
      </w:tblGrid>
      <w:tr w:rsidR="00CD1CF1" w:rsidTr="00CD1CF1">
        <w:trPr>
          <w:trHeight w:val="238"/>
        </w:trPr>
        <w:tc>
          <w:tcPr>
            <w:tcW w:w="746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7216" behindDoc="1" locked="0" layoutInCell="0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21590" cy="1153795"/>
                  <wp:effectExtent l="19050" t="0" r="0" b="0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" cy="1153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0" behindDoc="1" locked="0" layoutInCell="0" allowOverlap="1">
                  <wp:simplePos x="0" y="0"/>
                  <wp:positionH relativeFrom="column">
                    <wp:posOffset>6802755</wp:posOffset>
                  </wp:positionH>
                  <wp:positionV relativeFrom="paragraph">
                    <wp:posOffset>0</wp:posOffset>
                  </wp:positionV>
                  <wp:extent cx="21590" cy="1153795"/>
                  <wp:effectExtent l="19050" t="0" r="0" b="0"/>
                  <wp:wrapNone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" cy="1153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b/>
                <w:bCs/>
                <w:sz w:val="21"/>
                <w:szCs w:val="21"/>
              </w:rPr>
              <w:t>Záväzky</w:t>
            </w:r>
          </w:p>
        </w:tc>
        <w:tc>
          <w:tcPr>
            <w:tcW w:w="1612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3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  <w:sz w:val="21"/>
                <w:szCs w:val="21"/>
              </w:rPr>
              <w:t>Hodnota za bežné účtovné</w:t>
            </w: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30"/>
        </w:trPr>
        <w:tc>
          <w:tcPr>
            <w:tcW w:w="7460" w:type="dxa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2" w:type="dxa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obdobie</w:t>
            </w: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trHeight w:val="128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1612" w:type="dxa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CD1CF1" w:rsidRDefault="00CD1CF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8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gridAfter w:val="1"/>
          <w:wAfter w:w="2228" w:type="dxa"/>
          <w:trHeight w:val="228"/>
        </w:trPr>
        <w:tc>
          <w:tcPr>
            <w:tcW w:w="7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Záväzky, na ktoré boli zabezpečené záložné práva</w:t>
            </w:r>
          </w:p>
        </w:tc>
        <w:tc>
          <w:tcPr>
            <w:tcW w:w="16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3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Záväzky, na ktoré boli zabezpečené obmedzené práva s nimi nakladať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3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15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CD1CF1" w:rsidTr="00CD1CF1">
        <w:trPr>
          <w:gridAfter w:val="1"/>
          <w:wAfter w:w="2228" w:type="dxa"/>
          <w:trHeight w:val="20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CD1CF1" w:rsidTr="00CD1CF1">
        <w:trPr>
          <w:gridAfter w:val="1"/>
          <w:wAfter w:w="2228" w:type="dxa"/>
          <w:trHeight w:val="222"/>
        </w:trPr>
        <w:tc>
          <w:tcPr>
            <w:tcW w:w="7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7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Celková suma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07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376"/>
        <w:gridCol w:w="3780"/>
        <w:gridCol w:w="2766"/>
      </w:tblGrid>
      <w:tr w:rsidR="00CD1CF1" w:rsidTr="00CD1CF1">
        <w:trPr>
          <w:trHeight w:val="195"/>
        </w:trPr>
        <w:tc>
          <w:tcPr>
            <w:tcW w:w="337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6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(3) Informácie o vlastných akciách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37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 xml:space="preserve"> tieto účtovné prípady sa v bežnom účtovnom období u 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18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9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1077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00"/>
        <w:gridCol w:w="200"/>
        <w:gridCol w:w="1760"/>
        <w:gridCol w:w="180"/>
        <w:gridCol w:w="700"/>
        <w:gridCol w:w="920"/>
        <w:gridCol w:w="1780"/>
        <w:gridCol w:w="30"/>
      </w:tblGrid>
      <w:tr w:rsidR="00CD1CF1" w:rsidTr="00CD1CF1">
        <w:trPr>
          <w:trHeight w:val="456"/>
        </w:trPr>
        <w:tc>
          <w:tcPr>
            <w:tcW w:w="52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(4) Informácie o orgánoch účtovnej jednotky</w:t>
            </w:r>
          </w:p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b/>
                <w:bCs/>
              </w:rPr>
            </w:pPr>
          </w:p>
          <w:p w:rsidR="00CD1CF1" w:rsidRDefault="00CD1CF1" w:rsidP="008075E6">
            <w:pPr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Cs/>
              </w:rPr>
              <w:t>Pôžičky, záruky a iné zabezpečenie neboli poskytnuté pre členov orgánov účtovnej jednotky</w:t>
            </w:r>
          </w:p>
        </w:tc>
        <w:tc>
          <w:tcPr>
            <w:tcW w:w="2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CD1CF1" w:rsidRDefault="00CD1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CD1CF1" w:rsidRDefault="00CD1CF1" w:rsidP="00CD1CF1">
      <w:pPr>
        <w:widowControl w:val="0"/>
        <w:autoSpaceDE w:val="0"/>
        <w:autoSpaceDN w:val="0"/>
        <w:adjustRightInd w:val="0"/>
        <w:spacing w:after="0" w:line="320" w:lineRule="exact"/>
        <w:rPr>
          <w:rFonts w:ascii="Arial" w:hAnsi="Arial" w:cs="Arial"/>
          <w:b/>
          <w:bCs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3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(5) Informácie o povinnostiach účtovnej jednotky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74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 xml:space="preserve">finančné povinnosti, ktoré sa nevykazujú v súvahe, ale sú významné na posúdenie finančnej situácie účtovnej jednotky a významné podmienené záväzky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v bežnom účtovnom období u účtovnej jednotky nevyskytli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30" w:lineRule="auto"/>
        <w:ind w:right="4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Cs/>
        </w:rPr>
        <w:t>účtovná jednotka nemá významné povinnosti  vyplývajúce  z dôchodkových programov pre zamestnancov</w:t>
      </w: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Arial" w:hAnsi="Arial" w:cs="Arial"/>
          <w:sz w:val="21"/>
          <w:szCs w:val="21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37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CD1CF1" w:rsidRDefault="00CD1CF1" w:rsidP="00CD1CF1">
      <w:pPr>
        <w:widowControl w:val="0"/>
        <w:autoSpaceDE w:val="0"/>
        <w:autoSpaceDN w:val="0"/>
        <w:adjustRightInd w:val="0"/>
        <w:spacing w:after="0" w:line="263" w:lineRule="exact"/>
        <w:rPr>
          <w:rFonts w:ascii="Times New Roman" w:hAnsi="Times New Roman" w:cs="Times New Roman"/>
          <w:sz w:val="24"/>
          <w:szCs w:val="24"/>
        </w:rPr>
      </w:pPr>
    </w:p>
    <w:p w:rsidR="00C8646F" w:rsidRDefault="00C8646F"/>
    <w:sectPr w:rsidR="00C8646F" w:rsidSect="00C864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46154E"/>
    <w:multiLevelType w:val="hybridMultilevel"/>
    <w:tmpl w:val="BCEE8436"/>
    <w:lvl w:ilvl="0" w:tplc="9F6A497E">
      <w:start w:val="2"/>
      <w:numFmt w:val="bullet"/>
      <w:lvlText w:val="-"/>
      <w:lvlJc w:val="left"/>
      <w:pPr>
        <w:ind w:left="366" w:hanging="360"/>
      </w:pPr>
      <w:rPr>
        <w:rFonts w:ascii="Arial" w:eastAsiaTheme="minorEastAsia" w:hAnsi="Arial" w:cs="Times New Roman" w:hint="default"/>
        <w:b/>
        <w:sz w:val="22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1D7EE5"/>
    <w:multiLevelType w:val="hybridMultilevel"/>
    <w:tmpl w:val="7B10828C"/>
    <w:lvl w:ilvl="0" w:tplc="B96AB54A">
      <w:start w:val="1"/>
      <w:numFmt w:val="decimal"/>
      <w:lvlText w:val="(%1)"/>
      <w:lvlJc w:val="left"/>
      <w:pPr>
        <w:ind w:left="4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D1CF1"/>
    <w:rsid w:val="00413F78"/>
    <w:rsid w:val="008075E6"/>
    <w:rsid w:val="00BF7C3E"/>
    <w:rsid w:val="00C81D29"/>
    <w:rsid w:val="00C8646F"/>
    <w:rsid w:val="00CA12CC"/>
    <w:rsid w:val="00CD1CF1"/>
    <w:rsid w:val="00D33C4C"/>
    <w:rsid w:val="00E707B5"/>
    <w:rsid w:val="00EA57B0"/>
    <w:rsid w:val="00F24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CF1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9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vavrincova</dc:creator>
  <cp:lastModifiedBy>vavrincova</cp:lastModifiedBy>
  <cp:revision>7</cp:revision>
  <cp:lastPrinted>2018-03-26T12:57:00Z</cp:lastPrinted>
  <dcterms:created xsi:type="dcterms:W3CDTF">2018-03-26T09:26:00Z</dcterms:created>
  <dcterms:modified xsi:type="dcterms:W3CDTF">2018-03-26T13:11:00Z</dcterms:modified>
</cp:coreProperties>
</file>