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ayout w:type="fixed"/>
        <w:tblCellMar>
          <w:left w:w="0" w:type="dxa"/>
          <w:right w:w="0" w:type="dxa"/>
        </w:tblCellMar>
        <w:tblLook w:val="00A0" w:firstRow="1" w:lastRow="0" w:firstColumn="1" w:lastColumn="0" w:noHBand="0" w:noVBand="0"/>
      </w:tblPr>
      <w:tblGrid>
        <w:gridCol w:w="6474"/>
        <w:gridCol w:w="2490"/>
      </w:tblGrid>
      <w:tr w:rsidR="008C5E3E" w:rsidRPr="00D26E73" w:rsidTr="00E81DCC">
        <w:trPr>
          <w:trHeight w:val="57"/>
          <w:jc w:val="center"/>
        </w:trPr>
        <w:tc>
          <w:tcPr>
            <w:tcW w:w="6474" w:type="dxa"/>
            <w:tcBorders>
              <w:top w:val="nil"/>
              <w:left w:val="nil"/>
              <w:bottom w:val="nil"/>
            </w:tcBorders>
            <w:noWrap/>
          </w:tcPr>
          <w:p w:rsidR="008C5E3E" w:rsidRPr="00D26E73" w:rsidRDefault="008C5E3E" w:rsidP="0001334F">
            <w:pPr>
              <w:spacing w:after="200" w:line="276" w:lineRule="auto"/>
              <w:rPr>
                <w:rFonts w:cs="Arial"/>
                <w:sz w:val="21"/>
                <w:szCs w:val="21"/>
                <w:lang w:eastAsia="sk-SK"/>
              </w:rPr>
            </w:pPr>
          </w:p>
        </w:tc>
        <w:tc>
          <w:tcPr>
            <w:tcW w:w="2490" w:type="dxa"/>
            <w:noWrap/>
          </w:tcPr>
          <w:p w:rsidR="008C5E3E" w:rsidRPr="00D26E73" w:rsidRDefault="008C5E3E" w:rsidP="008C5E3E">
            <w:pPr>
              <w:jc w:val="center"/>
              <w:rPr>
                <w:rFonts w:cs="Arial"/>
                <w:sz w:val="21"/>
                <w:szCs w:val="21"/>
                <w:lang w:eastAsia="sk-SK"/>
              </w:rPr>
            </w:pPr>
          </w:p>
        </w:tc>
      </w:tr>
    </w:tbl>
    <w:p w:rsidR="00EB1A7C" w:rsidRPr="00E85332" w:rsidRDefault="00EA7252" w:rsidP="0064307F">
      <w:pPr>
        <w:pStyle w:val="Odsekzoznamu"/>
        <w:numPr>
          <w:ilvl w:val="0"/>
          <w:numId w:val="10"/>
        </w:numPr>
        <w:jc w:val="center"/>
        <w:rPr>
          <w:b/>
          <w:sz w:val="24"/>
        </w:rPr>
      </w:pPr>
      <w:r w:rsidRPr="00E85332">
        <w:rPr>
          <w:b/>
          <w:sz w:val="24"/>
        </w:rPr>
        <w:t xml:space="preserve">VŠEOBECNÉ </w:t>
      </w:r>
      <w:r w:rsidR="00EB1A7C" w:rsidRPr="00E85332">
        <w:rPr>
          <w:b/>
          <w:sz w:val="24"/>
        </w:rPr>
        <w:t>INFORMÁCIE O ÚČTOVNEJ JEDNOTKE</w:t>
      </w:r>
    </w:p>
    <w:p w:rsidR="002A4A5F" w:rsidRPr="00EB1A7C" w:rsidRDefault="002A4A5F" w:rsidP="002A4A5F">
      <w:pPr>
        <w:jc w:val="center"/>
        <w:rPr>
          <w:b/>
          <w:sz w:val="24"/>
        </w:rPr>
      </w:pPr>
    </w:p>
    <w:p w:rsidR="00DB202F" w:rsidRDefault="00DB202F" w:rsidP="00DB202F">
      <w:pPr>
        <w:pStyle w:val="Nadpiss1urovne"/>
      </w:pPr>
      <w:r w:rsidRPr="00641013">
        <w:t xml:space="preserve">Informácie </w:t>
      </w:r>
      <w:r>
        <w:t>o založení spoločnosti</w:t>
      </w:r>
    </w:p>
    <w:p w:rsidR="00DB202F" w:rsidRDefault="004E3159" w:rsidP="004E3159">
      <w:pPr>
        <w:pStyle w:val="Nadpiss1urovne"/>
        <w:numPr>
          <w:ilvl w:val="0"/>
          <w:numId w:val="0"/>
        </w:numPr>
        <w:ind w:left="360"/>
        <w:rPr>
          <w:b w:val="0"/>
        </w:rPr>
      </w:pPr>
      <w:r w:rsidRPr="004E3159">
        <w:rPr>
          <w:b w:val="0"/>
        </w:rPr>
        <w:t xml:space="preserve">Spoločnosť </w:t>
      </w:r>
      <w:bookmarkStart w:id="0" w:name="_GoBack"/>
      <w:r w:rsidR="004641DF">
        <w:rPr>
          <w:b w:val="0"/>
        </w:rPr>
        <w:t>BUDMERO</w:t>
      </w:r>
      <w:bookmarkEnd w:id="0"/>
      <w:r w:rsidR="004641DF">
        <w:rPr>
          <w:b w:val="0"/>
        </w:rPr>
        <w:t xml:space="preserve"> s.r.o.</w:t>
      </w:r>
      <w:r w:rsidRPr="004E3159">
        <w:rPr>
          <w:b w:val="0"/>
        </w:rPr>
        <w:t xml:space="preserve"> založená dňa </w:t>
      </w:r>
      <w:r w:rsidR="004641DF">
        <w:rPr>
          <w:b w:val="0"/>
        </w:rPr>
        <w:t>01.02.2011</w:t>
      </w:r>
      <w:r w:rsidRPr="004E3159">
        <w:rPr>
          <w:b w:val="0"/>
        </w:rPr>
        <w:t xml:space="preserve"> a do obchodného registra bola zapísaná </w:t>
      </w:r>
      <w:r w:rsidR="004641DF">
        <w:rPr>
          <w:b w:val="0"/>
        </w:rPr>
        <w:t>26.02.2011</w:t>
      </w:r>
      <w:r w:rsidRPr="004E3159">
        <w:rPr>
          <w:b w:val="0"/>
        </w:rPr>
        <w:t xml:space="preserve"> (Obchodný register Okresného súdu Bratislava I, oddiel Sro, vložka </w:t>
      </w:r>
      <w:r w:rsidR="004641DF">
        <w:rPr>
          <w:b w:val="0"/>
        </w:rPr>
        <w:t>71000/B</w:t>
      </w:r>
      <w:r w:rsidRPr="004E3159">
        <w:rPr>
          <w:b w:val="0"/>
        </w:rPr>
        <w:t>).</w:t>
      </w:r>
    </w:p>
    <w:p w:rsidR="004E3159" w:rsidRDefault="004E3159" w:rsidP="004E3159">
      <w:pPr>
        <w:pStyle w:val="Nadpiss1urovne"/>
        <w:numPr>
          <w:ilvl w:val="0"/>
          <w:numId w:val="0"/>
        </w:numPr>
        <w:ind w:left="360"/>
      </w:pPr>
    </w:p>
    <w:p w:rsidR="004641DF" w:rsidRPr="004641DF" w:rsidRDefault="00DB202F" w:rsidP="004641DF">
      <w:pPr>
        <w:pStyle w:val="Nadpiss1urovne"/>
        <w:rPr>
          <w:lang w:val="cs-CZ" w:eastAsia="cs-CZ"/>
        </w:rPr>
      </w:pPr>
      <w:bookmarkStart w:id="1" w:name="_Toc530739896"/>
      <w:r w:rsidRPr="001F19C7">
        <w:rPr>
          <w:lang w:val="cs-CZ" w:eastAsia="cs-CZ"/>
        </w:rPr>
        <w:t xml:space="preserve">Informácie </w:t>
      </w:r>
      <w:r>
        <w:rPr>
          <w:lang w:val="cs-CZ" w:eastAsia="cs-CZ"/>
        </w:rPr>
        <w:t>o hlavných činnostiach s</w:t>
      </w:r>
      <w:r w:rsidRPr="001F19C7">
        <w:rPr>
          <w:lang w:val="cs-CZ" w:eastAsia="cs-CZ"/>
        </w:rPr>
        <w:t xml:space="preserve">poločnosti </w:t>
      </w:r>
      <w:bookmarkEnd w:id="1"/>
      <w:r w:rsidR="004641DF" w:rsidRPr="004641DF">
        <w:t>BUDMERO s.r.o.</w:t>
      </w:r>
    </w:p>
    <w:p w:rsidR="004641DF" w:rsidRPr="004641DF" w:rsidRDefault="004641DF" w:rsidP="004641DF">
      <w:pPr>
        <w:pStyle w:val="Nadpiss1urovne"/>
        <w:numPr>
          <w:ilvl w:val="0"/>
          <w:numId w:val="0"/>
        </w:numPr>
        <w:ind w:left="360"/>
        <w:rPr>
          <w:b w:val="0"/>
        </w:rPr>
      </w:pPr>
      <w:r>
        <w:t xml:space="preserve">– </w:t>
      </w:r>
      <w:r w:rsidRPr="004641DF">
        <w:rPr>
          <w:b w:val="0"/>
        </w:rPr>
        <w:t xml:space="preserve">podnikanie v oblasti nakladania s iným ako nebezpečným odpadom, </w:t>
      </w:r>
    </w:p>
    <w:p w:rsidR="004641DF" w:rsidRPr="004641DF" w:rsidRDefault="004641DF" w:rsidP="004641DF">
      <w:pPr>
        <w:pStyle w:val="Nadpiss1urovne"/>
        <w:numPr>
          <w:ilvl w:val="0"/>
          <w:numId w:val="0"/>
        </w:numPr>
        <w:ind w:left="360"/>
        <w:rPr>
          <w:b w:val="0"/>
        </w:rPr>
      </w:pPr>
      <w:r w:rsidRPr="004641DF">
        <w:rPr>
          <w:b w:val="0"/>
        </w:rPr>
        <w:t xml:space="preserve">– tesárstvo, </w:t>
      </w:r>
    </w:p>
    <w:p w:rsidR="004E3159" w:rsidRPr="004641DF" w:rsidRDefault="004641DF" w:rsidP="004641DF">
      <w:pPr>
        <w:pStyle w:val="Nadpiss1urovne"/>
        <w:numPr>
          <w:ilvl w:val="0"/>
          <w:numId w:val="0"/>
        </w:numPr>
        <w:ind w:left="360"/>
        <w:rPr>
          <w:b w:val="0"/>
        </w:rPr>
      </w:pPr>
      <w:r w:rsidRPr="004641DF">
        <w:rPr>
          <w:b w:val="0"/>
        </w:rPr>
        <w:t>– prípravné práce k realizácii stavby, uskutočňovanie stavieb a ich zmien.</w:t>
      </w:r>
    </w:p>
    <w:p w:rsidR="004641DF" w:rsidRDefault="004641DF" w:rsidP="004641DF">
      <w:pPr>
        <w:pStyle w:val="Nadpiss1urovne"/>
        <w:numPr>
          <w:ilvl w:val="0"/>
          <w:numId w:val="0"/>
        </w:numPr>
        <w:ind w:left="360"/>
      </w:pPr>
    </w:p>
    <w:p w:rsidR="00517A7A" w:rsidRPr="00DB202F" w:rsidRDefault="00517A7A" w:rsidP="00CB66F1">
      <w:pPr>
        <w:pStyle w:val="Nadpiss1urovne"/>
      </w:pPr>
      <w:r w:rsidRPr="00DB202F">
        <w:t>Informácie o</w:t>
      </w:r>
      <w:r w:rsidR="003830E2">
        <w:t> priemernom prepočítanom počte</w:t>
      </w:r>
      <w:r w:rsidRPr="00DB202F">
        <w:t xml:space="preserv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65"/>
        <w:gridCol w:w="2692"/>
        <w:gridCol w:w="2884"/>
      </w:tblGrid>
      <w:tr w:rsidR="004E3159" w:rsidRPr="00D26E73" w:rsidTr="004E3159">
        <w:trPr>
          <w:jc w:val="center"/>
        </w:trPr>
        <w:tc>
          <w:tcPr>
            <w:tcW w:w="3665" w:type="dxa"/>
            <w:tcBorders>
              <w:top w:val="single" w:sz="12" w:space="0" w:color="auto"/>
              <w:bottom w:val="nil"/>
              <w:right w:val="single" w:sz="12" w:space="0" w:color="auto"/>
            </w:tcBorders>
            <w:vAlign w:val="center"/>
          </w:tcPr>
          <w:p w:rsidR="004E3159" w:rsidRPr="00D26E73" w:rsidRDefault="004E3159" w:rsidP="001B13C9">
            <w:pPr>
              <w:pStyle w:val="TopHeader"/>
              <w:rPr>
                <w:sz w:val="21"/>
                <w:szCs w:val="21"/>
              </w:rPr>
            </w:pPr>
            <w:r w:rsidRPr="00D26E73">
              <w:rPr>
                <w:sz w:val="21"/>
                <w:szCs w:val="21"/>
              </w:rPr>
              <w:t>Názov položky</w:t>
            </w:r>
          </w:p>
        </w:tc>
        <w:tc>
          <w:tcPr>
            <w:tcW w:w="2692" w:type="dxa"/>
            <w:tcBorders>
              <w:top w:val="single" w:sz="12" w:space="0" w:color="auto"/>
              <w:left w:val="single" w:sz="12" w:space="0" w:color="auto"/>
              <w:bottom w:val="nil"/>
              <w:right w:val="single" w:sz="12" w:space="0" w:color="auto"/>
            </w:tcBorders>
            <w:vAlign w:val="center"/>
          </w:tcPr>
          <w:p w:rsidR="004E3159" w:rsidRPr="00D26E73" w:rsidRDefault="004E3159" w:rsidP="001B13C9">
            <w:pPr>
              <w:pStyle w:val="TopHeader"/>
              <w:rPr>
                <w:sz w:val="21"/>
                <w:szCs w:val="21"/>
              </w:rPr>
            </w:pPr>
            <w:r w:rsidRPr="00D26E73">
              <w:rPr>
                <w:sz w:val="21"/>
                <w:szCs w:val="21"/>
              </w:rPr>
              <w:t>Bežné účtovné obdobie</w:t>
            </w:r>
          </w:p>
        </w:tc>
        <w:tc>
          <w:tcPr>
            <w:tcW w:w="2884" w:type="dxa"/>
            <w:tcBorders>
              <w:top w:val="single" w:sz="12" w:space="0" w:color="auto"/>
              <w:left w:val="single" w:sz="12" w:space="0" w:color="auto"/>
              <w:bottom w:val="nil"/>
            </w:tcBorders>
            <w:vAlign w:val="center"/>
          </w:tcPr>
          <w:p w:rsidR="004E3159" w:rsidRPr="00D26E73" w:rsidRDefault="004E3159" w:rsidP="001B13C9">
            <w:pPr>
              <w:pStyle w:val="TopHeader"/>
              <w:rPr>
                <w:sz w:val="21"/>
                <w:szCs w:val="21"/>
              </w:rPr>
            </w:pPr>
            <w:r w:rsidRPr="00D26E73">
              <w:rPr>
                <w:sz w:val="21"/>
                <w:szCs w:val="21"/>
              </w:rPr>
              <w:t>Bezprostredne predchádzajúce účtovné obdobie</w:t>
            </w:r>
          </w:p>
        </w:tc>
      </w:tr>
      <w:tr w:rsidR="004E3159" w:rsidRPr="00D26E73" w:rsidTr="004E3159">
        <w:trPr>
          <w:jc w:val="center"/>
        </w:trPr>
        <w:tc>
          <w:tcPr>
            <w:tcW w:w="3665" w:type="dxa"/>
            <w:tcBorders>
              <w:top w:val="single" w:sz="12" w:space="0" w:color="auto"/>
              <w:right w:val="single" w:sz="12" w:space="0" w:color="auto"/>
            </w:tcBorders>
            <w:vAlign w:val="center"/>
          </w:tcPr>
          <w:p w:rsidR="004E3159" w:rsidRPr="00D26E73" w:rsidRDefault="004E3159" w:rsidP="001B13C9">
            <w:pPr>
              <w:rPr>
                <w:rFonts w:cs="Arial"/>
                <w:sz w:val="21"/>
                <w:szCs w:val="21"/>
              </w:rPr>
            </w:pPr>
            <w:r w:rsidRPr="00D26E73">
              <w:rPr>
                <w:rFonts w:cs="Arial"/>
                <w:sz w:val="21"/>
                <w:szCs w:val="21"/>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4E3159" w:rsidRPr="00D26E73" w:rsidRDefault="009112F3" w:rsidP="001B13C9">
            <w:pPr>
              <w:pStyle w:val="Value"/>
              <w:rPr>
                <w:sz w:val="21"/>
                <w:szCs w:val="21"/>
              </w:rPr>
            </w:pPr>
            <w:r>
              <w:rPr>
                <w:sz w:val="21"/>
                <w:szCs w:val="21"/>
              </w:rPr>
              <w:t>3</w:t>
            </w:r>
          </w:p>
        </w:tc>
        <w:tc>
          <w:tcPr>
            <w:tcW w:w="2884" w:type="dxa"/>
            <w:tcBorders>
              <w:top w:val="single" w:sz="12" w:space="0" w:color="auto"/>
              <w:left w:val="single" w:sz="12" w:space="0" w:color="auto"/>
            </w:tcBorders>
            <w:vAlign w:val="center"/>
          </w:tcPr>
          <w:p w:rsidR="004E3159" w:rsidRPr="00D26E73" w:rsidRDefault="004641DF" w:rsidP="001B13C9">
            <w:pPr>
              <w:pStyle w:val="Value"/>
              <w:rPr>
                <w:sz w:val="21"/>
                <w:szCs w:val="21"/>
              </w:rPr>
            </w:pPr>
            <w:r>
              <w:rPr>
                <w:sz w:val="21"/>
                <w:szCs w:val="21"/>
              </w:rPr>
              <w:t>4</w:t>
            </w:r>
          </w:p>
        </w:tc>
      </w:tr>
      <w:tr w:rsidR="004E3159" w:rsidRPr="00D26E73" w:rsidTr="004E3159">
        <w:trPr>
          <w:trHeight w:val="285"/>
          <w:jc w:val="center"/>
        </w:trPr>
        <w:tc>
          <w:tcPr>
            <w:tcW w:w="3665" w:type="dxa"/>
            <w:tcBorders>
              <w:right w:val="single" w:sz="12" w:space="0" w:color="auto"/>
            </w:tcBorders>
            <w:vAlign w:val="center"/>
          </w:tcPr>
          <w:p w:rsidR="004E3159" w:rsidRPr="00D26E73" w:rsidRDefault="004E3159" w:rsidP="001B13C9">
            <w:pPr>
              <w:rPr>
                <w:rFonts w:cs="Arial"/>
                <w:sz w:val="21"/>
                <w:szCs w:val="21"/>
              </w:rPr>
            </w:pPr>
            <w:r w:rsidRPr="00D26E73">
              <w:rPr>
                <w:rFonts w:cs="Arial"/>
                <w:sz w:val="21"/>
                <w:szCs w:val="21"/>
              </w:rPr>
              <w:t>Stav zamestnancov ku dňu, ku ktorému sa zostavuje účtovná závierka, z toho:</w:t>
            </w:r>
          </w:p>
        </w:tc>
        <w:tc>
          <w:tcPr>
            <w:tcW w:w="2692" w:type="dxa"/>
            <w:tcBorders>
              <w:left w:val="single" w:sz="12" w:space="0" w:color="auto"/>
              <w:right w:val="single" w:sz="12" w:space="0" w:color="auto"/>
            </w:tcBorders>
            <w:vAlign w:val="center"/>
          </w:tcPr>
          <w:p w:rsidR="004E3159" w:rsidRPr="00D26E73" w:rsidRDefault="009112F3" w:rsidP="001B13C9">
            <w:pPr>
              <w:pStyle w:val="Value"/>
              <w:rPr>
                <w:sz w:val="21"/>
                <w:szCs w:val="21"/>
              </w:rPr>
            </w:pPr>
            <w:r>
              <w:rPr>
                <w:sz w:val="21"/>
                <w:szCs w:val="21"/>
              </w:rPr>
              <w:t>2</w:t>
            </w:r>
          </w:p>
        </w:tc>
        <w:tc>
          <w:tcPr>
            <w:tcW w:w="2884" w:type="dxa"/>
            <w:tcBorders>
              <w:left w:val="single" w:sz="12" w:space="0" w:color="auto"/>
            </w:tcBorders>
            <w:vAlign w:val="center"/>
          </w:tcPr>
          <w:p w:rsidR="004E3159" w:rsidRPr="00D26E73" w:rsidRDefault="009112F3" w:rsidP="001B13C9">
            <w:pPr>
              <w:pStyle w:val="Value"/>
              <w:rPr>
                <w:sz w:val="21"/>
                <w:szCs w:val="21"/>
              </w:rPr>
            </w:pPr>
            <w:r>
              <w:rPr>
                <w:sz w:val="21"/>
                <w:szCs w:val="21"/>
              </w:rPr>
              <w:t>3</w:t>
            </w:r>
          </w:p>
        </w:tc>
      </w:tr>
      <w:tr w:rsidR="004E3159" w:rsidRPr="00D26E73" w:rsidTr="004E3159">
        <w:trPr>
          <w:trHeight w:val="285"/>
          <w:jc w:val="center"/>
        </w:trPr>
        <w:tc>
          <w:tcPr>
            <w:tcW w:w="3665" w:type="dxa"/>
            <w:tcBorders>
              <w:bottom w:val="single" w:sz="12" w:space="0" w:color="auto"/>
              <w:right w:val="single" w:sz="12" w:space="0" w:color="auto"/>
            </w:tcBorders>
            <w:vAlign w:val="center"/>
          </w:tcPr>
          <w:p w:rsidR="004E3159" w:rsidRPr="00D26E73" w:rsidRDefault="004E3159" w:rsidP="001B13C9">
            <w:pPr>
              <w:rPr>
                <w:rFonts w:cs="Arial"/>
                <w:sz w:val="21"/>
                <w:szCs w:val="21"/>
                <w:highlight w:val="green"/>
              </w:rPr>
            </w:pPr>
            <w:r w:rsidRPr="00D26E73">
              <w:rPr>
                <w:rFonts w:cs="Arial"/>
                <w:sz w:val="21"/>
                <w:szCs w:val="21"/>
              </w:rPr>
              <w:t>počet vedúcich zamestnancov</w:t>
            </w:r>
          </w:p>
        </w:tc>
        <w:tc>
          <w:tcPr>
            <w:tcW w:w="2692" w:type="dxa"/>
            <w:tcBorders>
              <w:left w:val="single" w:sz="12" w:space="0" w:color="auto"/>
              <w:bottom w:val="single" w:sz="12" w:space="0" w:color="auto"/>
              <w:right w:val="single" w:sz="12" w:space="0" w:color="auto"/>
            </w:tcBorders>
            <w:vAlign w:val="center"/>
          </w:tcPr>
          <w:p w:rsidR="004E3159" w:rsidRPr="00024B40" w:rsidRDefault="004641DF" w:rsidP="001B13C9">
            <w:pPr>
              <w:pStyle w:val="Value"/>
              <w:rPr>
                <w:sz w:val="21"/>
                <w:szCs w:val="21"/>
              </w:rPr>
            </w:pPr>
            <w:r>
              <w:rPr>
                <w:sz w:val="21"/>
                <w:szCs w:val="21"/>
              </w:rPr>
              <w:t>0</w:t>
            </w:r>
          </w:p>
        </w:tc>
        <w:tc>
          <w:tcPr>
            <w:tcW w:w="2884" w:type="dxa"/>
            <w:tcBorders>
              <w:left w:val="single" w:sz="12" w:space="0" w:color="auto"/>
              <w:bottom w:val="single" w:sz="12" w:space="0" w:color="auto"/>
            </w:tcBorders>
            <w:vAlign w:val="center"/>
          </w:tcPr>
          <w:p w:rsidR="004E3159" w:rsidRPr="00024B40" w:rsidRDefault="004641DF" w:rsidP="001B13C9">
            <w:pPr>
              <w:pStyle w:val="Value"/>
              <w:rPr>
                <w:sz w:val="21"/>
                <w:szCs w:val="21"/>
              </w:rPr>
            </w:pPr>
            <w:r>
              <w:rPr>
                <w:sz w:val="21"/>
                <w:szCs w:val="21"/>
              </w:rPr>
              <w:t>0</w:t>
            </w:r>
          </w:p>
        </w:tc>
      </w:tr>
    </w:tbl>
    <w:p w:rsidR="00CB66F1" w:rsidRDefault="00CB66F1" w:rsidP="00AC78F2">
      <w:pPr>
        <w:jc w:val="both"/>
        <w:rPr>
          <w:sz w:val="21"/>
          <w:szCs w:val="21"/>
        </w:rPr>
      </w:pPr>
    </w:p>
    <w:p w:rsidR="00CB66F1" w:rsidRPr="00807ABC" w:rsidRDefault="00CB66F1" w:rsidP="00CB66F1">
      <w:pPr>
        <w:pStyle w:val="Nadpiss1urovne"/>
      </w:pPr>
      <w:r w:rsidRPr="00807ABC">
        <w:t>Informácie o právnom dôvode na zostavenie účtovnej závierky</w:t>
      </w:r>
    </w:p>
    <w:p w:rsidR="00CB66F1" w:rsidRDefault="004E3159" w:rsidP="00CB66F1">
      <w:pPr>
        <w:ind w:left="360"/>
        <w:rPr>
          <w:sz w:val="21"/>
          <w:szCs w:val="21"/>
        </w:rPr>
      </w:pPr>
      <w:r w:rsidRPr="004E3159">
        <w:rPr>
          <w:sz w:val="21"/>
          <w:szCs w:val="21"/>
        </w:rPr>
        <w:t xml:space="preserve">Účtovná závierka Spoločnosti </w:t>
      </w:r>
      <w:r w:rsidR="004641DF" w:rsidRPr="004641DF">
        <w:t>BUDMERO s.r.o.</w:t>
      </w:r>
      <w:r w:rsidR="004641DF" w:rsidRPr="004E3159">
        <w:t xml:space="preserve"> </w:t>
      </w:r>
      <w:r w:rsidRPr="004E3159">
        <w:rPr>
          <w:sz w:val="21"/>
          <w:szCs w:val="21"/>
        </w:rPr>
        <w:t>k 31. decembru 201</w:t>
      </w:r>
      <w:r w:rsidR="009112F3">
        <w:rPr>
          <w:sz w:val="21"/>
          <w:szCs w:val="21"/>
        </w:rPr>
        <w:t>7</w:t>
      </w:r>
      <w:r w:rsidRPr="004E3159">
        <w:rPr>
          <w:sz w:val="21"/>
          <w:szCs w:val="21"/>
        </w:rPr>
        <w:t xml:space="preserve"> je zostavená ako riadna účtovná závierka podľa § 17 ods. 6 zákona NR SR č. 431/2002 Z. z. o účtovníctve za účtovné obdobie od 1. januára 201</w:t>
      </w:r>
      <w:r w:rsidR="009112F3">
        <w:rPr>
          <w:sz w:val="21"/>
          <w:szCs w:val="21"/>
        </w:rPr>
        <w:t>7</w:t>
      </w:r>
      <w:r w:rsidRPr="004E3159">
        <w:rPr>
          <w:sz w:val="21"/>
          <w:szCs w:val="21"/>
        </w:rPr>
        <w:t xml:space="preserve"> do 31. decembra 201</w:t>
      </w:r>
      <w:r w:rsidR="009112F3">
        <w:rPr>
          <w:sz w:val="21"/>
          <w:szCs w:val="21"/>
        </w:rPr>
        <w:t>7</w:t>
      </w:r>
      <w:r w:rsidRPr="004E3159">
        <w:rPr>
          <w:sz w:val="21"/>
          <w:szCs w:val="21"/>
        </w:rPr>
        <w:t>.</w:t>
      </w:r>
    </w:p>
    <w:p w:rsidR="004E3159" w:rsidRDefault="004E3159" w:rsidP="00CB66F1">
      <w:pPr>
        <w:ind w:left="360"/>
        <w:rPr>
          <w:sz w:val="21"/>
          <w:szCs w:val="21"/>
        </w:rPr>
      </w:pPr>
    </w:p>
    <w:p w:rsidR="00CB66F1" w:rsidRDefault="00CB66F1" w:rsidP="00CB66F1">
      <w:pPr>
        <w:pStyle w:val="Nadpiss1urovne"/>
      </w:pPr>
      <w:r w:rsidRPr="00D8107D">
        <w:t>Informácie o dátume schválenia účtovnej závierky za predchádzajúce účtovné obdobie</w:t>
      </w:r>
    </w:p>
    <w:p w:rsidR="00082CD0" w:rsidRDefault="004E3159" w:rsidP="004E3159">
      <w:pPr>
        <w:ind w:left="360"/>
        <w:rPr>
          <w:bCs/>
          <w:kern w:val="28"/>
          <w:sz w:val="21"/>
          <w:szCs w:val="21"/>
        </w:rPr>
      </w:pPr>
      <w:r w:rsidRPr="004E3159">
        <w:rPr>
          <w:bCs/>
          <w:kern w:val="28"/>
          <w:sz w:val="21"/>
          <w:szCs w:val="21"/>
        </w:rPr>
        <w:t xml:space="preserve">Účtovná závierka Spoločnosti </w:t>
      </w:r>
      <w:r w:rsidR="004641DF" w:rsidRPr="004641DF">
        <w:t>BUDMERO s.r.o.</w:t>
      </w:r>
      <w:r w:rsidR="004641DF" w:rsidRPr="004E3159">
        <w:t xml:space="preserve"> </w:t>
      </w:r>
      <w:r w:rsidR="004641DF">
        <w:t xml:space="preserve"> </w:t>
      </w:r>
      <w:r w:rsidRPr="004E3159">
        <w:rPr>
          <w:bCs/>
          <w:kern w:val="28"/>
          <w:sz w:val="21"/>
          <w:szCs w:val="21"/>
        </w:rPr>
        <w:t>k 31. decembru 201</w:t>
      </w:r>
      <w:r w:rsidR="009112F3">
        <w:rPr>
          <w:bCs/>
          <w:kern w:val="28"/>
          <w:sz w:val="21"/>
          <w:szCs w:val="21"/>
        </w:rPr>
        <w:t>6</w:t>
      </w:r>
      <w:r w:rsidRPr="004E3159">
        <w:rPr>
          <w:bCs/>
          <w:kern w:val="28"/>
          <w:sz w:val="21"/>
          <w:szCs w:val="21"/>
        </w:rPr>
        <w:t xml:space="preserve"> za predchádzajúce účtovné obdobie, bola schválená valným zhromaždením Spoločnosti </w:t>
      </w:r>
      <w:r w:rsidR="009112F3">
        <w:rPr>
          <w:bCs/>
          <w:kern w:val="28"/>
          <w:sz w:val="21"/>
          <w:szCs w:val="21"/>
        </w:rPr>
        <w:t>31. marca</w:t>
      </w:r>
      <w:r w:rsidRPr="004E3159">
        <w:rPr>
          <w:bCs/>
          <w:kern w:val="28"/>
          <w:sz w:val="21"/>
          <w:szCs w:val="21"/>
        </w:rPr>
        <w:t xml:space="preserve"> 201</w:t>
      </w:r>
      <w:r w:rsidR="009112F3">
        <w:rPr>
          <w:bCs/>
          <w:kern w:val="28"/>
          <w:sz w:val="21"/>
          <w:szCs w:val="21"/>
        </w:rPr>
        <w:t>7</w:t>
      </w:r>
      <w:r w:rsidRPr="004E3159">
        <w:rPr>
          <w:bCs/>
          <w:kern w:val="28"/>
          <w:sz w:val="21"/>
          <w:szCs w:val="21"/>
        </w:rPr>
        <w:t>.</w:t>
      </w:r>
    </w:p>
    <w:p w:rsidR="004E3159" w:rsidRDefault="004E3159" w:rsidP="004E3159">
      <w:pPr>
        <w:ind w:left="360"/>
        <w:rPr>
          <w:sz w:val="21"/>
          <w:szCs w:val="21"/>
        </w:rPr>
      </w:pPr>
    </w:p>
    <w:p w:rsidR="00EB1A7C" w:rsidRDefault="00CB66F1" w:rsidP="00EB1A7C">
      <w:pPr>
        <w:pStyle w:val="Nadpiss1urovne"/>
      </w:pPr>
      <w:r w:rsidRPr="00B9772F">
        <w:rPr>
          <w:lang w:val="cs-CZ" w:eastAsia="cs-CZ"/>
        </w:rPr>
        <w:t>Informácie o </w:t>
      </w:r>
      <w:r w:rsidR="00EA7252">
        <w:rPr>
          <w:lang w:val="cs-CZ" w:eastAsia="cs-CZ"/>
        </w:rPr>
        <w:t>skupine účtovných jednotiek</w:t>
      </w:r>
    </w:p>
    <w:p w:rsidR="00EB1A7C" w:rsidRPr="00473AB7" w:rsidRDefault="00EB1A7C" w:rsidP="0051482E">
      <w:pPr>
        <w:pStyle w:val="Nzov"/>
        <w:keepNext w:val="0"/>
        <w:spacing w:before="0" w:beforeAutospacing="0" w:after="0"/>
        <w:ind w:firstLine="360"/>
        <w:jc w:val="left"/>
        <w:rPr>
          <w:b w:val="0"/>
          <w:sz w:val="21"/>
          <w:szCs w:val="21"/>
        </w:rPr>
      </w:pPr>
      <w:r w:rsidRPr="00473AB7">
        <w:rPr>
          <w:b w:val="0"/>
          <w:sz w:val="21"/>
          <w:szCs w:val="21"/>
        </w:rPr>
        <w:t>ÚJ nemá obsahovú náplň.</w:t>
      </w:r>
    </w:p>
    <w:p w:rsidR="002A4A5F" w:rsidRDefault="002A4A5F" w:rsidP="00EB1A7C">
      <w:pPr>
        <w:pStyle w:val="Nadpiss1urovne"/>
        <w:numPr>
          <w:ilvl w:val="0"/>
          <w:numId w:val="0"/>
        </w:numPr>
        <w:ind w:left="360" w:hanging="360"/>
      </w:pPr>
    </w:p>
    <w:p w:rsidR="003830E2" w:rsidRDefault="003830E2" w:rsidP="00EB1A7C">
      <w:pPr>
        <w:pStyle w:val="Nadpiss1urovne"/>
        <w:numPr>
          <w:ilvl w:val="0"/>
          <w:numId w:val="0"/>
        </w:numPr>
        <w:ind w:left="360" w:hanging="360"/>
      </w:pPr>
    </w:p>
    <w:p w:rsidR="003830E2" w:rsidRDefault="003830E2" w:rsidP="0064307F">
      <w:pPr>
        <w:pStyle w:val="Odsekzoznamu"/>
        <w:numPr>
          <w:ilvl w:val="0"/>
          <w:numId w:val="10"/>
        </w:numPr>
        <w:jc w:val="center"/>
        <w:rPr>
          <w:b/>
          <w:sz w:val="24"/>
        </w:rPr>
      </w:pPr>
      <w:r w:rsidRPr="00E85332">
        <w:rPr>
          <w:b/>
          <w:sz w:val="24"/>
        </w:rPr>
        <w:t>INFORMÁCIE O ORGÁNOCH SPOLOČNOSTI</w:t>
      </w:r>
    </w:p>
    <w:p w:rsidR="0015339A" w:rsidRPr="00E85332" w:rsidRDefault="0015339A" w:rsidP="0015339A">
      <w:pPr>
        <w:pStyle w:val="Odsekzoznamu"/>
        <w:ind w:left="1080"/>
        <w:rPr>
          <w:b/>
          <w:sz w:val="24"/>
        </w:rPr>
      </w:pPr>
    </w:p>
    <w:p w:rsidR="003830E2" w:rsidRDefault="0051482E" w:rsidP="0051482E">
      <w:pPr>
        <w:pStyle w:val="Nadpiss1urovne"/>
      </w:pPr>
      <w:r>
        <w:t>Informácie o </w:t>
      </w:r>
      <w:r w:rsidR="0015339A">
        <w:t>výške jednotlivých druhov záruk alebo iných zabezpečení poskytnutých pre členov štatutárneho orgánu,</w:t>
      </w:r>
      <w:r w:rsidR="0015339A" w:rsidRPr="0015339A">
        <w:t xml:space="preserve"> </w:t>
      </w:r>
      <w:r w:rsidR="0015339A">
        <w:t>dozorného orgánu a iného orgánu účtovnej jednotky, a to v členení za jednotlivé orgány,</w:t>
      </w:r>
    </w:p>
    <w:p w:rsidR="002A4A5F" w:rsidRDefault="0051482E" w:rsidP="0051482E">
      <w:pPr>
        <w:ind w:firstLine="360"/>
        <w:rPr>
          <w:sz w:val="21"/>
          <w:szCs w:val="21"/>
        </w:rPr>
      </w:pPr>
      <w:r w:rsidRPr="0051482E">
        <w:rPr>
          <w:sz w:val="21"/>
          <w:szCs w:val="21"/>
        </w:rPr>
        <w:t>ÚJ nemá obsahovú náplň.</w:t>
      </w:r>
    </w:p>
    <w:p w:rsidR="0015339A" w:rsidRDefault="0015339A" w:rsidP="0051482E">
      <w:pPr>
        <w:ind w:firstLine="360"/>
        <w:rPr>
          <w:sz w:val="21"/>
          <w:szCs w:val="21"/>
        </w:rPr>
      </w:pPr>
    </w:p>
    <w:p w:rsidR="0015339A" w:rsidRDefault="0015339A" w:rsidP="0015339A">
      <w:pPr>
        <w:pStyle w:val="Nadpiss1urovne"/>
      </w:pPr>
      <w:r>
        <w:t>Informácie o pôžičkách poskytnutých členom štatutárneho orgánu, dozorného orgánu a iného orgánu účtovnej jednotky</w:t>
      </w:r>
    </w:p>
    <w:p w:rsidR="0051482E" w:rsidRDefault="0015339A" w:rsidP="0015339A">
      <w:pPr>
        <w:ind w:firstLine="360"/>
        <w:rPr>
          <w:sz w:val="21"/>
          <w:szCs w:val="21"/>
        </w:rPr>
      </w:pPr>
      <w:r w:rsidRPr="0015339A">
        <w:rPr>
          <w:sz w:val="21"/>
          <w:szCs w:val="21"/>
        </w:rPr>
        <w:t>ÚJ nemá obsahovú náplň.</w:t>
      </w:r>
    </w:p>
    <w:p w:rsidR="0015339A" w:rsidRDefault="0015339A" w:rsidP="0015339A">
      <w:pPr>
        <w:ind w:firstLine="360"/>
        <w:rPr>
          <w:sz w:val="21"/>
          <w:szCs w:val="21"/>
        </w:rPr>
      </w:pPr>
    </w:p>
    <w:p w:rsidR="0015339A" w:rsidRDefault="0015339A" w:rsidP="0015339A">
      <w:pPr>
        <w:pStyle w:val="Nadpiss1urovne"/>
      </w:pPr>
      <w:r>
        <w:t>Informácie o hlavných podmienkach, na základe ktorých boli osobám uvedeným v písmene a) záruky alebo iné zabezpečenie a pôžičky poskytnuté; pri pôžičkách sa uvádzajú úrokové sadzby,</w:t>
      </w:r>
    </w:p>
    <w:p w:rsidR="0015339A" w:rsidRDefault="0015339A" w:rsidP="0015339A">
      <w:pPr>
        <w:ind w:firstLine="360"/>
        <w:rPr>
          <w:sz w:val="21"/>
          <w:szCs w:val="21"/>
        </w:rPr>
      </w:pPr>
      <w:r w:rsidRPr="0015339A">
        <w:rPr>
          <w:sz w:val="21"/>
          <w:szCs w:val="21"/>
        </w:rPr>
        <w:t>ÚJ nemá obsahovú náplň.</w:t>
      </w:r>
    </w:p>
    <w:p w:rsidR="0015339A" w:rsidRDefault="0015339A" w:rsidP="0015339A">
      <w:pPr>
        <w:ind w:firstLine="360"/>
        <w:rPr>
          <w:sz w:val="21"/>
          <w:szCs w:val="21"/>
        </w:rPr>
      </w:pPr>
    </w:p>
    <w:p w:rsidR="0015339A" w:rsidRDefault="0015339A" w:rsidP="0015339A">
      <w:pPr>
        <w:pStyle w:val="Nadpiss1urovne"/>
      </w:pPr>
      <w:r>
        <w:t>Informácie o celkovej sume použitých finančných prostriedkov alebo iného plnenia na súkromné účely členmi štatutárneho orgánu, dozorného orgánu a iného orgánu účtovnej jednotky, ktoré je potrebné vyúčtovať.</w:t>
      </w:r>
    </w:p>
    <w:p w:rsidR="0015339A" w:rsidRDefault="0015339A" w:rsidP="0015339A">
      <w:pPr>
        <w:pStyle w:val="Nadpiss1urovne"/>
        <w:numPr>
          <w:ilvl w:val="0"/>
          <w:numId w:val="0"/>
        </w:numPr>
        <w:ind w:left="720" w:hanging="360"/>
        <w:rPr>
          <w:b w:val="0"/>
        </w:rPr>
      </w:pPr>
      <w:r w:rsidRPr="0015339A">
        <w:rPr>
          <w:b w:val="0"/>
        </w:rPr>
        <w:t>ÚJ nemá obsahovú náplň.</w:t>
      </w:r>
    </w:p>
    <w:p w:rsidR="0015339A" w:rsidRDefault="0015339A" w:rsidP="0015339A">
      <w:pPr>
        <w:pStyle w:val="Nadpiss1urovne"/>
        <w:numPr>
          <w:ilvl w:val="0"/>
          <w:numId w:val="0"/>
        </w:numPr>
        <w:ind w:left="720" w:hanging="360"/>
        <w:rPr>
          <w:b w:val="0"/>
        </w:rPr>
      </w:pPr>
    </w:p>
    <w:p w:rsidR="00AF2B36" w:rsidRDefault="00AF2B36" w:rsidP="0064307F">
      <w:pPr>
        <w:pStyle w:val="Odsekzoznamu"/>
        <w:numPr>
          <w:ilvl w:val="0"/>
          <w:numId w:val="10"/>
        </w:numPr>
        <w:jc w:val="center"/>
        <w:rPr>
          <w:b/>
          <w:caps/>
          <w:sz w:val="24"/>
        </w:rPr>
      </w:pPr>
      <w:r w:rsidRPr="00E85332">
        <w:rPr>
          <w:b/>
          <w:caps/>
          <w:sz w:val="24"/>
        </w:rPr>
        <w:t xml:space="preserve"> Informácie o</w:t>
      </w:r>
      <w:r w:rsidR="00E85332">
        <w:rPr>
          <w:b/>
          <w:caps/>
          <w:sz w:val="24"/>
        </w:rPr>
        <w:t> PRIJATÝCH POSTUPOCH</w:t>
      </w:r>
    </w:p>
    <w:p w:rsidR="0015339A" w:rsidRPr="00E85332" w:rsidRDefault="0015339A" w:rsidP="0015339A">
      <w:pPr>
        <w:pStyle w:val="Odsekzoznamu"/>
        <w:ind w:left="1080"/>
        <w:rPr>
          <w:b/>
          <w:caps/>
          <w:sz w:val="24"/>
        </w:rPr>
      </w:pPr>
    </w:p>
    <w:p w:rsidR="00CB66F1" w:rsidRPr="000D2186" w:rsidRDefault="00CB66F1" w:rsidP="00CB66F1">
      <w:pPr>
        <w:pStyle w:val="Nadpiss1urovne"/>
      </w:pPr>
      <w:r w:rsidRPr="000D2186">
        <w:t>Informácie k</w:t>
      </w:r>
      <w:r w:rsidR="00AF2B36">
        <w:t> </w:t>
      </w:r>
      <w:r w:rsidRPr="000D2186">
        <w:t xml:space="preserve">časti </w:t>
      </w:r>
      <w:r w:rsidR="00EB1A7C">
        <w:t>E.</w:t>
      </w:r>
      <w:r w:rsidRPr="000D2186">
        <w:t xml:space="preserve"> prílohy č. 3 </w:t>
      </w:r>
      <w:r>
        <w:t>o</w:t>
      </w:r>
      <w:r w:rsidR="00AF2B36">
        <w:t> </w:t>
      </w:r>
      <w:r>
        <w:t>účtovných zásadách a</w:t>
      </w:r>
      <w:r w:rsidR="00AF2B36">
        <w:t> </w:t>
      </w:r>
      <w:r>
        <w:t>účtovných metódach</w:t>
      </w:r>
    </w:p>
    <w:p w:rsidR="00CB66F1" w:rsidRPr="000D2186" w:rsidRDefault="00CB66F1" w:rsidP="00CB66F1">
      <w:pPr>
        <w:rPr>
          <w:sz w:val="21"/>
          <w:szCs w:val="21"/>
        </w:rPr>
      </w:pPr>
    </w:p>
    <w:p w:rsidR="00CB66F1" w:rsidRPr="00D01229" w:rsidRDefault="00CB66F1" w:rsidP="0064307F">
      <w:pPr>
        <w:numPr>
          <w:ilvl w:val="0"/>
          <w:numId w:val="3"/>
        </w:numPr>
        <w:jc w:val="both"/>
        <w:rPr>
          <w:i/>
          <w:sz w:val="21"/>
          <w:szCs w:val="21"/>
        </w:rPr>
      </w:pPr>
      <w:r w:rsidRPr="00D01229">
        <w:rPr>
          <w:i/>
          <w:sz w:val="21"/>
          <w:szCs w:val="21"/>
        </w:rPr>
        <w:t>Východiská pre zostavenie účtovnej závierky</w:t>
      </w:r>
    </w:p>
    <w:p w:rsidR="00CB66F1" w:rsidRPr="000D2186" w:rsidRDefault="00CB66F1" w:rsidP="00D01229">
      <w:pPr>
        <w:ind w:left="360"/>
        <w:jc w:val="both"/>
        <w:rPr>
          <w:sz w:val="21"/>
          <w:szCs w:val="21"/>
        </w:rPr>
      </w:pPr>
      <w:r w:rsidRPr="000D2186">
        <w:rPr>
          <w:sz w:val="21"/>
          <w:szCs w:val="21"/>
        </w:rPr>
        <w:t xml:space="preserve">Účtovná závierka bola zostavená </w:t>
      </w:r>
      <w:r w:rsidR="003830E2">
        <w:rPr>
          <w:sz w:val="21"/>
          <w:szCs w:val="21"/>
        </w:rPr>
        <w:t xml:space="preserve">ako </w:t>
      </w:r>
      <w:r w:rsidR="00DB65E1">
        <w:rPr>
          <w:sz w:val="21"/>
          <w:szCs w:val="21"/>
        </w:rPr>
        <w:t>riadna</w:t>
      </w:r>
      <w:r w:rsidR="003830E2">
        <w:rPr>
          <w:sz w:val="21"/>
          <w:szCs w:val="21"/>
        </w:rPr>
        <w:t xml:space="preserve"> účtovná závierka </w:t>
      </w:r>
      <w:r w:rsidRPr="000D2186">
        <w:rPr>
          <w:sz w:val="21"/>
          <w:szCs w:val="21"/>
        </w:rPr>
        <w:t>Spoločnosti</w:t>
      </w:r>
      <w:r w:rsidR="00882E94">
        <w:rPr>
          <w:sz w:val="21"/>
          <w:szCs w:val="21"/>
        </w:rPr>
        <w:t xml:space="preserve"> </w:t>
      </w:r>
      <w:r w:rsidR="004641DF" w:rsidRPr="004641DF">
        <w:t>BUDMERO s.r.o.</w:t>
      </w:r>
      <w:r w:rsidR="004641DF" w:rsidRPr="004E3159">
        <w:t xml:space="preserve"> </w:t>
      </w:r>
      <w:r w:rsidR="004641DF">
        <w:t xml:space="preserve">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Účtovné metódy a</w:t>
      </w:r>
      <w:r w:rsidR="00AF2B36">
        <w:rPr>
          <w:sz w:val="21"/>
          <w:szCs w:val="21"/>
        </w:rPr>
        <w:t> </w:t>
      </w:r>
      <w:r w:rsidRPr="000D2186">
        <w:rPr>
          <w:sz w:val="21"/>
          <w:szCs w:val="21"/>
        </w:rPr>
        <w:t>všeobecné účtovné zásady boli účtovnou jednotkou konzistentne aplikované, okrem:</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poistenia majetku určeného na prevádzkovú činnosť a</w:t>
      </w:r>
      <w:r w:rsidR="00AF2B36">
        <w:rPr>
          <w:sz w:val="21"/>
          <w:szCs w:val="21"/>
        </w:rPr>
        <w:t> </w:t>
      </w:r>
      <w:r w:rsidRPr="000D2186">
        <w:rPr>
          <w:sz w:val="21"/>
          <w:szCs w:val="21"/>
        </w:rPr>
        <w:t>iného poistného súvisiaceho s</w:t>
      </w:r>
      <w:r w:rsidR="00AF2B36">
        <w:rPr>
          <w:sz w:val="21"/>
          <w:szCs w:val="21"/>
        </w:rPr>
        <w:t> </w:t>
      </w:r>
      <w:r w:rsidRPr="000D2186">
        <w:rPr>
          <w:sz w:val="21"/>
          <w:szCs w:val="21"/>
        </w:rPr>
        <w:t>prevádzkovou činnosťou. Takéto poistenie sa od 1. januára 2011 účtuje na účet 548 – Ostatné náklady na hospodársku činnosť;</w:t>
      </w:r>
    </w:p>
    <w:p w:rsidR="00CB66F1" w:rsidRPr="000D2186" w:rsidRDefault="00CB66F1" w:rsidP="00D01229">
      <w:pPr>
        <w:ind w:left="360"/>
        <w:jc w:val="both"/>
        <w:rPr>
          <w:sz w:val="21"/>
          <w:szCs w:val="21"/>
        </w:rPr>
      </w:pPr>
      <w:r w:rsidRPr="000D2186">
        <w:rPr>
          <w:sz w:val="21"/>
          <w:szCs w:val="21"/>
        </w:rPr>
        <w:t>•</w:t>
      </w:r>
      <w:r w:rsidRPr="000D2186">
        <w:rPr>
          <w:sz w:val="21"/>
          <w:szCs w:val="21"/>
        </w:rPr>
        <w:tab/>
        <w:t>spôsobu účtovania zákazkovej výroby;</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zákazkovej výstavby nehnuteľnosti určenej na predaj (priebežný transfer);</w:t>
      </w:r>
    </w:p>
    <w:p w:rsidR="00CB66F1" w:rsidRPr="000D2186" w:rsidRDefault="00CB66F1" w:rsidP="00D01229">
      <w:pPr>
        <w:ind w:left="360"/>
        <w:jc w:val="both"/>
        <w:rPr>
          <w:sz w:val="21"/>
          <w:szCs w:val="21"/>
        </w:rPr>
      </w:pPr>
      <w:r w:rsidRPr="000D2186">
        <w:rPr>
          <w:sz w:val="21"/>
          <w:szCs w:val="21"/>
        </w:rPr>
        <w:t>•</w:t>
      </w:r>
      <w:r w:rsidRPr="000D2186">
        <w:rPr>
          <w:sz w:val="21"/>
          <w:szCs w:val="21"/>
        </w:rPr>
        <w:tab/>
        <w:t xml:space="preserve">účtovania zákazkovej výstavby nehnuteľnosti určenej na predaj </w:t>
      </w:r>
      <w:r w:rsidR="00AF2B36">
        <w:rPr>
          <w:sz w:val="21"/>
          <w:szCs w:val="21"/>
        </w:rPr>
        <w:t>–</w:t>
      </w:r>
      <w:r w:rsidRPr="000D2186">
        <w:rPr>
          <w:sz w:val="21"/>
          <w:szCs w:val="21"/>
        </w:rPr>
        <w:t xml:space="preserve"> ostatnej (nie priebežný transfer);</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obstarania nehnuteľnosti na účelom ďalšieho predaja;</w:t>
      </w:r>
    </w:p>
    <w:p w:rsidR="00CB66F1" w:rsidRPr="000D2186" w:rsidRDefault="00CB66F1" w:rsidP="00D01229">
      <w:pPr>
        <w:ind w:left="360"/>
        <w:jc w:val="both"/>
        <w:rPr>
          <w:sz w:val="21"/>
          <w:szCs w:val="21"/>
        </w:rPr>
      </w:pPr>
      <w:r w:rsidRPr="000D2186">
        <w:rPr>
          <w:sz w:val="21"/>
          <w:szCs w:val="21"/>
        </w:rPr>
        <w:t>•</w:t>
      </w:r>
      <w:r w:rsidRPr="000D2186">
        <w:rPr>
          <w:sz w:val="21"/>
          <w:szCs w:val="21"/>
        </w:rPr>
        <w:tab/>
        <w:t>účtovania koncesie u</w:t>
      </w:r>
      <w:r w:rsidR="00AF2B36">
        <w:rPr>
          <w:sz w:val="21"/>
          <w:szCs w:val="21"/>
        </w:rPr>
        <w:t> </w:t>
      </w:r>
      <w:r w:rsidRPr="000D2186">
        <w:rPr>
          <w:sz w:val="21"/>
          <w:szCs w:val="21"/>
        </w:rPr>
        <w:t>koncesionára.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Uvedené zmeny nemajú vplyv na výsledok hospodárenia vykázaný v</w:t>
      </w:r>
      <w:r w:rsidR="00AF2B36">
        <w:rPr>
          <w:sz w:val="21"/>
          <w:szCs w:val="21"/>
        </w:rPr>
        <w:t> </w:t>
      </w:r>
      <w:r w:rsidRPr="000D2186">
        <w:rPr>
          <w:sz w:val="21"/>
          <w:szCs w:val="21"/>
        </w:rPr>
        <w:t>predchádzajúcich účtovných obdobiach, keďže sa aplikujú prospektívne na účtovné prípady, ktoré vznikli po 1. januári 2011.</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V</w:t>
      </w:r>
      <w:r w:rsidR="00AF2B36">
        <w:rPr>
          <w:sz w:val="21"/>
          <w:szCs w:val="21"/>
        </w:rPr>
        <w:t> </w:t>
      </w:r>
      <w:r w:rsidRPr="000D2186">
        <w:rPr>
          <w:sz w:val="21"/>
          <w:szCs w:val="21"/>
        </w:rPr>
        <w:t>súvislosti so zmenou účtovania zákazkovej výroby, zákazkovej výstavby nehnuteľnosti a</w:t>
      </w:r>
      <w:r w:rsidR="00AF2B36">
        <w:rPr>
          <w:sz w:val="21"/>
          <w:szCs w:val="21"/>
        </w:rPr>
        <w:t> </w:t>
      </w:r>
      <w:r w:rsidRPr="000D2186">
        <w:rPr>
          <w:sz w:val="21"/>
          <w:szCs w:val="21"/>
        </w:rPr>
        <w:t>obstarania nehnuteľnosti na účel ďalšieho predaja boli do súvahy a</w:t>
      </w:r>
      <w:r w:rsidR="00AF2B36">
        <w:rPr>
          <w:sz w:val="21"/>
          <w:szCs w:val="21"/>
        </w:rPr>
        <w:t> </w:t>
      </w:r>
      <w:r w:rsidRPr="000D2186">
        <w:rPr>
          <w:sz w:val="21"/>
          <w:szCs w:val="21"/>
        </w:rPr>
        <w:t>výkazu ziskov a</w:t>
      </w:r>
      <w:r w:rsidR="00AF2B36">
        <w:rPr>
          <w:sz w:val="21"/>
          <w:szCs w:val="21"/>
        </w:rPr>
        <w:t> </w:t>
      </w:r>
      <w:r w:rsidRPr="000D2186">
        <w:rPr>
          <w:sz w:val="21"/>
          <w:szCs w:val="21"/>
        </w:rPr>
        <w:t xml:space="preserve">strát doplnené nové účty. </w:t>
      </w:r>
    </w:p>
    <w:p w:rsidR="00CB66F1" w:rsidRPr="000D2186" w:rsidRDefault="00CB66F1" w:rsidP="00D01229">
      <w:pPr>
        <w:jc w:val="both"/>
        <w:rPr>
          <w:sz w:val="21"/>
          <w:szCs w:val="21"/>
        </w:rPr>
      </w:pPr>
    </w:p>
    <w:p w:rsidR="00CB66F1" w:rsidRPr="00D01229" w:rsidRDefault="00CB66F1" w:rsidP="0064307F">
      <w:pPr>
        <w:numPr>
          <w:ilvl w:val="0"/>
          <w:numId w:val="4"/>
        </w:numPr>
        <w:jc w:val="both"/>
        <w:rPr>
          <w:i/>
          <w:sz w:val="21"/>
          <w:szCs w:val="21"/>
        </w:rPr>
      </w:pPr>
      <w:r w:rsidRPr="00D01229">
        <w:rPr>
          <w:i/>
          <w:sz w:val="21"/>
          <w:szCs w:val="21"/>
        </w:rPr>
        <w:t>Dlhodobý nehmotný majetok a</w:t>
      </w:r>
      <w:r w:rsidR="00AF2B36" w:rsidRPr="00D01229">
        <w:rPr>
          <w:i/>
          <w:sz w:val="21"/>
          <w:szCs w:val="21"/>
        </w:rPr>
        <w:t> </w:t>
      </w:r>
      <w:r w:rsidRPr="00D01229">
        <w:rPr>
          <w:i/>
          <w:sz w:val="21"/>
          <w:szCs w:val="21"/>
        </w:rPr>
        <w:t>dlhodobý hmotný majetok</w:t>
      </w:r>
    </w:p>
    <w:p w:rsidR="00CB66F1" w:rsidRPr="000D2186" w:rsidRDefault="00CB66F1" w:rsidP="00D01229">
      <w:pPr>
        <w:ind w:left="360"/>
        <w:jc w:val="both"/>
        <w:rPr>
          <w:sz w:val="21"/>
          <w:szCs w:val="21"/>
        </w:rPr>
      </w:pPr>
      <w:r w:rsidRPr="000D2186">
        <w:rPr>
          <w:sz w:val="21"/>
          <w:szCs w:val="21"/>
        </w:rPr>
        <w:t>Dlhodobý majetok nakupovaný sa oceňuje obstarávacou cenou, ktorá zahŕňa cenu obstarania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montáž, poistné a</w:t>
      </w:r>
      <w:r w:rsidR="00AF2B36">
        <w:rPr>
          <w:sz w:val="21"/>
          <w:szCs w:val="21"/>
        </w:rPr>
        <w:t> </w:t>
      </w:r>
      <w:r w:rsidRPr="000D2186">
        <w:rPr>
          <w:sz w:val="21"/>
          <w:szCs w:val="21"/>
        </w:rPr>
        <w:t xml:space="preserve">pod.).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Súčasťou obstarávacej ceny dlhodobého hmotného majetku od 1. januára 2003 nie sú úroky z</w:t>
      </w:r>
      <w:r w:rsidR="00AF2B36">
        <w:rPr>
          <w:sz w:val="21"/>
          <w:szCs w:val="21"/>
        </w:rPr>
        <w:t> </w:t>
      </w:r>
      <w:r w:rsidRPr="000D2186">
        <w:rPr>
          <w:sz w:val="21"/>
          <w:szCs w:val="21"/>
        </w:rPr>
        <w:t>cudzích zdrojov ani realizované kurzové rozdiely, ktoré vznikli do momentu uvedenia dlhodobého majetku do používania.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Súčasťou obstarávacej ceny dlhodobého nehmotného majetku nie sú od 1. júla 2010 úroky z</w:t>
      </w:r>
      <w:r w:rsidR="00AF2B36">
        <w:rPr>
          <w:sz w:val="21"/>
          <w:szCs w:val="21"/>
        </w:rPr>
        <w:t> </w:t>
      </w:r>
      <w:r w:rsidRPr="000D2186">
        <w:rPr>
          <w:sz w:val="21"/>
          <w:szCs w:val="21"/>
        </w:rPr>
        <w:t>cudzích zdrojov, ktoré vznikli do momentu zaradenia dlhodobého nehmotného majetku do používania.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Dlhodobý majetok vytvorený vlastnou činnosťou sa oceňuje vlastnými nákladmi. Vlastnými nákladmi sú všetky priame náklady vynaložené na výrobu alebo inú činnosť a</w:t>
      </w:r>
      <w:r w:rsidR="00AF2B36">
        <w:rPr>
          <w:sz w:val="21"/>
          <w:szCs w:val="21"/>
        </w:rPr>
        <w:t> </w:t>
      </w:r>
      <w:r w:rsidRPr="000D2186">
        <w:rPr>
          <w:sz w:val="21"/>
          <w:szCs w:val="21"/>
        </w:rPr>
        <w:t xml:space="preserve">nepriame náklady, ktoré sa vzťahujú na výrobu alebo inú činnosť.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Náklady na výskum sa neaktivujú, účtujú sa do nákladov účtovného obdobia, v</w:t>
      </w:r>
      <w:r w:rsidR="00AF2B36">
        <w:rPr>
          <w:sz w:val="21"/>
          <w:szCs w:val="21"/>
        </w:rPr>
        <w:t> </w:t>
      </w:r>
      <w:r w:rsidRPr="000D2186">
        <w:rPr>
          <w:sz w:val="21"/>
          <w:szCs w:val="21"/>
        </w:rPr>
        <w:t>ktorom vznikli. Náklady na vývoj sa účtujú do obdobia, v</w:t>
      </w:r>
      <w:r w:rsidR="00AF2B36">
        <w:rPr>
          <w:sz w:val="21"/>
          <w:szCs w:val="21"/>
        </w:rPr>
        <w:t> </w:t>
      </w:r>
      <w:r w:rsidRPr="000D2186">
        <w:rPr>
          <w:sz w:val="21"/>
          <w:szCs w:val="21"/>
        </w:rPr>
        <w:t>ktorom vznikli, ale tie náklady na vývoj, ktoré sa vzťahujú na jasne definovaný výrobok alebo proces, pri ktorých je možné preukázať technickú realizovateľnosť a</w:t>
      </w:r>
      <w:r w:rsidR="00AF2B36">
        <w:rPr>
          <w:sz w:val="21"/>
          <w:szCs w:val="21"/>
        </w:rPr>
        <w:t> </w:t>
      </w:r>
      <w:r w:rsidRPr="000D2186">
        <w:rPr>
          <w:sz w:val="21"/>
          <w:szCs w:val="21"/>
        </w:rPr>
        <w:t>možnosť predaja a</w:t>
      </w:r>
      <w:r w:rsidR="00AF2B36">
        <w:rPr>
          <w:sz w:val="21"/>
          <w:szCs w:val="21"/>
        </w:rPr>
        <w:t> </w:t>
      </w:r>
      <w:r w:rsidRPr="000D2186">
        <w:rPr>
          <w:sz w:val="21"/>
          <w:szCs w:val="21"/>
        </w:rPr>
        <w:t>spoločnosť má dostatočné zdroje na dokončenie projektu, jeho predaj alebo na vnútorné využitie jeho výsledkov, sa aktivujú, a</w:t>
      </w:r>
      <w:r w:rsidR="00AF2B36">
        <w:rPr>
          <w:sz w:val="21"/>
          <w:szCs w:val="21"/>
        </w:rPr>
        <w:t> </w:t>
      </w:r>
      <w:r w:rsidRPr="000D2186">
        <w:rPr>
          <w:sz w:val="21"/>
          <w:szCs w:val="21"/>
        </w:rPr>
        <w:t>to vo výške, ktorá je pravdepodobná, že sa získa späť z</w:t>
      </w:r>
      <w:r w:rsidR="00AF2B36">
        <w:rPr>
          <w:sz w:val="21"/>
          <w:szCs w:val="21"/>
        </w:rPr>
        <w:t> </w:t>
      </w:r>
      <w:r w:rsidRPr="000D2186">
        <w:rPr>
          <w:sz w:val="21"/>
          <w:szCs w:val="21"/>
        </w:rPr>
        <w:t>budúcich ekonomických úžitkov.</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Aktivované náklady na vývoj sa odpisujú počas maximálne 5 rokov, a</w:t>
      </w:r>
      <w:r w:rsidR="00AF2B36">
        <w:rPr>
          <w:sz w:val="21"/>
          <w:szCs w:val="21"/>
        </w:rPr>
        <w:t> </w:t>
      </w:r>
      <w:r w:rsidRPr="000D2186">
        <w:rPr>
          <w:sz w:val="21"/>
          <w:szCs w:val="21"/>
        </w:rPr>
        <w:t>to v</w:t>
      </w:r>
      <w:r w:rsidR="00AF2B36">
        <w:rPr>
          <w:sz w:val="21"/>
          <w:szCs w:val="21"/>
        </w:rPr>
        <w:t> </w:t>
      </w:r>
      <w:r w:rsidRPr="000D2186">
        <w:rPr>
          <w:sz w:val="21"/>
          <w:szCs w:val="21"/>
        </w:rPr>
        <w:t>tých účtovných obdobiach, v</w:t>
      </w:r>
      <w:r w:rsidR="00AF2B36">
        <w:rPr>
          <w:sz w:val="21"/>
          <w:szCs w:val="21"/>
        </w:rPr>
        <w:t> </w:t>
      </w:r>
      <w:r w:rsidRPr="000D2186">
        <w:rPr>
          <w:sz w:val="21"/>
          <w:szCs w:val="21"/>
        </w:rPr>
        <w:t>ktorých sa očakáva predaj produktu alebo využívanie procesu. Ak sa zníži ich hodnota, odpisujú sa na sumu, ktorá je pravdepodobná, že sa získa späť z</w:t>
      </w:r>
      <w:r w:rsidR="00AF2B36">
        <w:rPr>
          <w:sz w:val="21"/>
          <w:szCs w:val="21"/>
        </w:rPr>
        <w:t> </w:t>
      </w:r>
      <w:r w:rsidRPr="000D2186">
        <w:rPr>
          <w:sz w:val="21"/>
          <w:szCs w:val="21"/>
        </w:rPr>
        <w:t>budúcich ekonomických úžitkov.</w:t>
      </w:r>
    </w:p>
    <w:p w:rsidR="00CB66F1" w:rsidRPr="000D2186" w:rsidRDefault="00CB66F1" w:rsidP="00D01229">
      <w:pPr>
        <w:ind w:left="45"/>
        <w:jc w:val="both"/>
        <w:rPr>
          <w:sz w:val="21"/>
          <w:szCs w:val="21"/>
        </w:rPr>
      </w:pPr>
    </w:p>
    <w:p w:rsidR="00CB66F1" w:rsidRPr="000D2186" w:rsidRDefault="00CB66F1" w:rsidP="00D01229">
      <w:pPr>
        <w:ind w:left="360"/>
        <w:jc w:val="both"/>
        <w:rPr>
          <w:sz w:val="21"/>
          <w:szCs w:val="21"/>
        </w:rPr>
      </w:pPr>
      <w:r w:rsidRPr="000D2186">
        <w:rPr>
          <w:sz w:val="21"/>
          <w:szCs w:val="21"/>
        </w:rPr>
        <w:t>Odpisy dlhodobého nehmotného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k</w:t>
      </w:r>
      <w:r w:rsidR="00AC7F88">
        <w:rPr>
          <w:sz w:val="21"/>
          <w:szCs w:val="21"/>
        </w:rPr>
        <w:t xml:space="preserve"> uvedený</w:t>
      </w:r>
      <w:r w:rsidRPr="000D2186">
        <w:rPr>
          <w:sz w:val="21"/>
          <w:szCs w:val="21"/>
        </w:rPr>
        <w:t xml:space="preserve"> do používania. Drobný dlhodobý nehmotný majetok, ktorého obstarávacia cena (resp. vlastné náklady) je 2 400 EUR a</w:t>
      </w:r>
      <w:r w:rsidR="00AF2B36">
        <w:rPr>
          <w:sz w:val="21"/>
          <w:szCs w:val="21"/>
        </w:rPr>
        <w:t> </w:t>
      </w:r>
      <w:r w:rsidRPr="000D2186">
        <w:rPr>
          <w:sz w:val="21"/>
          <w:szCs w:val="21"/>
        </w:rPr>
        <w:t>nižšia, sa odpisuje jednorazovo pri uvedení do používania.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rsidR="001450BD" w:rsidRPr="000D2186" w:rsidRDefault="001450BD" w:rsidP="00D01229">
      <w:pPr>
        <w:jc w:val="both"/>
        <w:rPr>
          <w:sz w:val="21"/>
          <w:szCs w:val="21"/>
        </w:rPr>
      </w:pPr>
    </w:p>
    <w:tbl>
      <w:tblPr>
        <w:tblW w:w="0" w:type="auto"/>
        <w:tblInd w:w="456" w:type="dxa"/>
        <w:tblCellMar>
          <w:left w:w="30" w:type="dxa"/>
          <w:right w:w="30" w:type="dxa"/>
        </w:tblCellMar>
        <w:tblLook w:val="0000" w:firstRow="0" w:lastRow="0" w:firstColumn="0" w:lastColumn="0" w:noHBand="0" w:noVBand="0"/>
      </w:tblPr>
      <w:tblGrid>
        <w:gridCol w:w="2889"/>
        <w:gridCol w:w="415"/>
        <w:gridCol w:w="1541"/>
        <w:gridCol w:w="222"/>
        <w:gridCol w:w="1812"/>
        <w:gridCol w:w="222"/>
        <w:gridCol w:w="1688"/>
      </w:tblGrid>
      <w:tr w:rsidR="00CB66F1" w:rsidTr="00CB66F1">
        <w:trPr>
          <w:trHeight w:val="250"/>
        </w:trPr>
        <w:tc>
          <w:tcPr>
            <w:tcW w:w="3318" w:type="dxa"/>
            <w:gridSpan w:val="2"/>
          </w:tcPr>
          <w:p w:rsidR="00CB66F1" w:rsidRDefault="00CB66F1" w:rsidP="00D01229">
            <w:pPr>
              <w:pStyle w:val="Tabulka"/>
              <w:ind w:left="360"/>
              <w:jc w:val="both"/>
            </w:pPr>
            <w:r>
              <w:lastRenderedPageBreak/>
              <w:br w:type="page"/>
            </w:r>
          </w:p>
        </w:tc>
        <w:tc>
          <w:tcPr>
            <w:tcW w:w="1544" w:type="dxa"/>
          </w:tcPr>
          <w:p w:rsidR="00CB66F1" w:rsidRDefault="00CB66F1" w:rsidP="003710A3">
            <w:pPr>
              <w:pStyle w:val="Tabulka"/>
              <w:ind w:left="31"/>
              <w:jc w:val="center"/>
            </w:pPr>
            <w:r>
              <w:t>Predpokladaná</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Metóda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Ročná odpisová</w:t>
            </w:r>
          </w:p>
        </w:tc>
      </w:tr>
      <w:tr w:rsidR="00CB66F1" w:rsidTr="00CB66F1">
        <w:trPr>
          <w:trHeight w:val="250"/>
        </w:trPr>
        <w:tc>
          <w:tcPr>
            <w:tcW w:w="2901" w:type="dxa"/>
            <w:tcBorders>
              <w:bottom w:val="single" w:sz="4" w:space="0" w:color="auto"/>
            </w:tcBorders>
          </w:tcPr>
          <w:p w:rsidR="00CB66F1" w:rsidRDefault="00CB66F1" w:rsidP="00D01229">
            <w:pPr>
              <w:pStyle w:val="Tabulka"/>
              <w:ind w:left="360"/>
              <w:jc w:val="both"/>
            </w:pPr>
          </w:p>
        </w:tc>
        <w:tc>
          <w:tcPr>
            <w:tcW w:w="417" w:type="dxa"/>
            <w:tcBorders>
              <w:bottom w:val="single" w:sz="4" w:space="0" w:color="auto"/>
            </w:tcBorders>
          </w:tcPr>
          <w:p w:rsidR="00CB66F1" w:rsidRDefault="00CB66F1" w:rsidP="00D01229">
            <w:pPr>
              <w:pStyle w:val="Tabulka"/>
              <w:ind w:left="360"/>
              <w:jc w:val="both"/>
            </w:pPr>
          </w:p>
        </w:tc>
        <w:tc>
          <w:tcPr>
            <w:tcW w:w="1544" w:type="dxa"/>
            <w:tcBorders>
              <w:bottom w:val="single" w:sz="4" w:space="0" w:color="auto"/>
            </w:tcBorders>
          </w:tcPr>
          <w:p w:rsidR="00CB66F1" w:rsidRDefault="00CB66F1" w:rsidP="003710A3">
            <w:pPr>
              <w:pStyle w:val="Tabulka"/>
              <w:ind w:left="31"/>
              <w:jc w:val="center"/>
            </w:pPr>
            <w:r>
              <w:t>doba používania</w:t>
            </w:r>
            <w:r>
              <w:br/>
              <w:t>v rokoch</w:t>
            </w:r>
          </w:p>
        </w:tc>
        <w:tc>
          <w:tcPr>
            <w:tcW w:w="222" w:type="dxa"/>
            <w:tcBorders>
              <w:bottom w:val="single" w:sz="4" w:space="0" w:color="auto"/>
            </w:tcBorders>
          </w:tcPr>
          <w:p w:rsidR="00CB66F1" w:rsidRDefault="00CB66F1" w:rsidP="003710A3">
            <w:pPr>
              <w:pStyle w:val="Tabulka"/>
              <w:ind w:left="31"/>
              <w:jc w:val="center"/>
            </w:pPr>
          </w:p>
        </w:tc>
        <w:tc>
          <w:tcPr>
            <w:tcW w:w="1817" w:type="dxa"/>
            <w:tcBorders>
              <w:bottom w:val="single" w:sz="4" w:space="0" w:color="auto"/>
            </w:tcBorders>
          </w:tcPr>
          <w:p w:rsidR="00CB66F1" w:rsidRDefault="00CB66F1" w:rsidP="003710A3">
            <w:pPr>
              <w:pStyle w:val="Tabulka"/>
              <w:ind w:left="31"/>
              <w:jc w:val="center"/>
            </w:pPr>
            <w:r>
              <w:t>odpisovania</w:t>
            </w:r>
          </w:p>
        </w:tc>
        <w:tc>
          <w:tcPr>
            <w:tcW w:w="222" w:type="dxa"/>
            <w:tcBorders>
              <w:bottom w:val="single" w:sz="4" w:space="0" w:color="auto"/>
            </w:tcBorders>
          </w:tcPr>
          <w:p w:rsidR="00CB66F1" w:rsidRDefault="00CB66F1" w:rsidP="003710A3">
            <w:pPr>
              <w:pStyle w:val="Tabulka"/>
              <w:ind w:left="31"/>
              <w:jc w:val="center"/>
            </w:pPr>
          </w:p>
        </w:tc>
        <w:tc>
          <w:tcPr>
            <w:tcW w:w="1695" w:type="dxa"/>
            <w:tcBorders>
              <w:bottom w:val="single" w:sz="4" w:space="0" w:color="auto"/>
            </w:tcBorders>
          </w:tcPr>
          <w:p w:rsidR="00CB66F1" w:rsidRDefault="00CB66F1" w:rsidP="003710A3">
            <w:pPr>
              <w:pStyle w:val="Tabulka"/>
              <w:ind w:left="31"/>
              <w:jc w:val="center"/>
            </w:pPr>
            <w:r>
              <w:t>sadzba v %</w:t>
            </w:r>
          </w:p>
        </w:tc>
      </w:tr>
      <w:tr w:rsidR="00CB66F1" w:rsidTr="00CB66F1">
        <w:trPr>
          <w:trHeight w:val="250"/>
        </w:trPr>
        <w:tc>
          <w:tcPr>
            <w:tcW w:w="3318" w:type="dxa"/>
            <w:gridSpan w:val="2"/>
          </w:tcPr>
          <w:p w:rsidR="00CB66F1" w:rsidRDefault="00CB66F1" w:rsidP="00D01229">
            <w:pPr>
              <w:pStyle w:val="Tabulka"/>
              <w:ind w:left="360"/>
              <w:jc w:val="both"/>
            </w:pPr>
            <w:r>
              <w:t>Aktivované náklady na vývoj</w:t>
            </w:r>
          </w:p>
        </w:tc>
        <w:tc>
          <w:tcPr>
            <w:tcW w:w="1544" w:type="dxa"/>
          </w:tcPr>
          <w:p w:rsidR="00CB66F1" w:rsidRDefault="00CB66F1" w:rsidP="003710A3">
            <w:pPr>
              <w:pStyle w:val="Tabulka"/>
              <w:ind w:left="31"/>
              <w:jc w:val="center"/>
            </w:pPr>
            <w:r>
              <w:t>5</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20</w:t>
            </w:r>
          </w:p>
        </w:tc>
      </w:tr>
      <w:tr w:rsidR="00CB66F1" w:rsidTr="00CB66F1">
        <w:trPr>
          <w:trHeight w:val="250"/>
        </w:trPr>
        <w:tc>
          <w:tcPr>
            <w:tcW w:w="3318" w:type="dxa"/>
            <w:gridSpan w:val="2"/>
          </w:tcPr>
          <w:p w:rsidR="00CB66F1" w:rsidRDefault="00CB66F1" w:rsidP="00D01229">
            <w:pPr>
              <w:pStyle w:val="Tabulka"/>
              <w:ind w:left="360"/>
              <w:jc w:val="both"/>
            </w:pPr>
            <w:r>
              <w:t>Softvér</w:t>
            </w:r>
          </w:p>
        </w:tc>
        <w:tc>
          <w:tcPr>
            <w:tcW w:w="1544" w:type="dxa"/>
          </w:tcPr>
          <w:p w:rsidR="00CB66F1" w:rsidRDefault="00CB66F1" w:rsidP="003710A3">
            <w:pPr>
              <w:pStyle w:val="Tabulka"/>
              <w:ind w:left="31"/>
              <w:jc w:val="center"/>
            </w:pPr>
            <w:r>
              <w:t>4</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25</w:t>
            </w:r>
          </w:p>
        </w:tc>
      </w:tr>
      <w:tr w:rsidR="00CB66F1" w:rsidTr="00CB66F1">
        <w:tblPrEx>
          <w:tblCellMar>
            <w:left w:w="108" w:type="dxa"/>
            <w:right w:w="108" w:type="dxa"/>
          </w:tblCellMar>
        </w:tblPrEx>
        <w:trPr>
          <w:trHeight w:val="245"/>
        </w:trPr>
        <w:tc>
          <w:tcPr>
            <w:tcW w:w="3318" w:type="dxa"/>
            <w:gridSpan w:val="2"/>
          </w:tcPr>
          <w:p w:rsidR="00CB66F1" w:rsidRDefault="00CB66F1" w:rsidP="00D01229">
            <w:pPr>
              <w:pStyle w:val="Tabulka"/>
              <w:ind w:left="360"/>
              <w:jc w:val="both"/>
            </w:pPr>
            <w:r>
              <w:t>Oceniteľné práva (licencia)</w:t>
            </w:r>
          </w:p>
        </w:tc>
        <w:tc>
          <w:tcPr>
            <w:tcW w:w="1544" w:type="dxa"/>
          </w:tcPr>
          <w:p w:rsidR="00CB66F1" w:rsidRDefault="00CB66F1" w:rsidP="003710A3">
            <w:pPr>
              <w:pStyle w:val="Tabulka"/>
              <w:ind w:left="31"/>
              <w:jc w:val="center"/>
            </w:pPr>
            <w:r>
              <w:t>8</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lineárna</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12,5</w:t>
            </w:r>
          </w:p>
        </w:tc>
      </w:tr>
      <w:tr w:rsidR="00CB66F1" w:rsidTr="00CB66F1">
        <w:tblPrEx>
          <w:tblCellMar>
            <w:left w:w="108" w:type="dxa"/>
            <w:right w:w="108" w:type="dxa"/>
          </w:tblCellMar>
        </w:tblPrEx>
        <w:trPr>
          <w:trHeight w:val="245"/>
        </w:trPr>
        <w:tc>
          <w:tcPr>
            <w:tcW w:w="3318" w:type="dxa"/>
            <w:gridSpan w:val="2"/>
          </w:tcPr>
          <w:p w:rsidR="00CB66F1" w:rsidRDefault="00CB66F1" w:rsidP="00D01229">
            <w:pPr>
              <w:pStyle w:val="Tabulka"/>
              <w:ind w:left="360"/>
              <w:jc w:val="both"/>
            </w:pPr>
            <w:r>
              <w:t>Drobný dlhodobý nehmotný majetok</w:t>
            </w:r>
          </w:p>
        </w:tc>
        <w:tc>
          <w:tcPr>
            <w:tcW w:w="1544" w:type="dxa"/>
          </w:tcPr>
          <w:p w:rsidR="00CB66F1" w:rsidRDefault="00CB66F1" w:rsidP="003710A3">
            <w:pPr>
              <w:pStyle w:val="Tabulka"/>
              <w:ind w:left="31"/>
              <w:jc w:val="center"/>
            </w:pPr>
            <w:r>
              <w:t>rôzna</w:t>
            </w:r>
          </w:p>
        </w:tc>
        <w:tc>
          <w:tcPr>
            <w:tcW w:w="222" w:type="dxa"/>
          </w:tcPr>
          <w:p w:rsidR="00CB66F1" w:rsidRDefault="00CB66F1" w:rsidP="003710A3">
            <w:pPr>
              <w:pStyle w:val="Tabulka"/>
              <w:ind w:left="31"/>
              <w:jc w:val="center"/>
            </w:pPr>
          </w:p>
        </w:tc>
        <w:tc>
          <w:tcPr>
            <w:tcW w:w="1817" w:type="dxa"/>
          </w:tcPr>
          <w:p w:rsidR="00CB66F1" w:rsidRDefault="00CB66F1" w:rsidP="003710A3">
            <w:pPr>
              <w:pStyle w:val="Tabulka"/>
              <w:ind w:left="31"/>
              <w:jc w:val="center"/>
            </w:pPr>
            <w:r>
              <w:t>jednorazový odpis</w:t>
            </w:r>
          </w:p>
        </w:tc>
        <w:tc>
          <w:tcPr>
            <w:tcW w:w="222" w:type="dxa"/>
          </w:tcPr>
          <w:p w:rsidR="00CB66F1" w:rsidRDefault="00CB66F1" w:rsidP="003710A3">
            <w:pPr>
              <w:pStyle w:val="Tabulka"/>
              <w:ind w:left="31"/>
              <w:jc w:val="center"/>
            </w:pPr>
          </w:p>
        </w:tc>
        <w:tc>
          <w:tcPr>
            <w:tcW w:w="1695" w:type="dxa"/>
          </w:tcPr>
          <w:p w:rsidR="00CB66F1" w:rsidRDefault="00CB66F1" w:rsidP="003710A3">
            <w:pPr>
              <w:pStyle w:val="Tabulka"/>
              <w:ind w:left="31"/>
              <w:jc w:val="center"/>
            </w:pPr>
            <w:r>
              <w:t>100</w:t>
            </w:r>
          </w:p>
        </w:tc>
      </w:tr>
    </w:tbl>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Odpisy dlhodobého hmotného majetku sú stanovené vychádzajúc z</w:t>
      </w:r>
      <w:r w:rsidR="00AF2B36">
        <w:rPr>
          <w:sz w:val="21"/>
          <w:szCs w:val="21"/>
        </w:rPr>
        <w:t> </w:t>
      </w:r>
      <w:r w:rsidRPr="000D2186">
        <w:rPr>
          <w:sz w:val="21"/>
          <w:szCs w:val="21"/>
        </w:rPr>
        <w:t>predpokladanej doby jeho používania a</w:t>
      </w:r>
      <w:r w:rsidR="00AF2B36">
        <w:rPr>
          <w:sz w:val="21"/>
          <w:szCs w:val="21"/>
        </w:rPr>
        <w:t> </w:t>
      </w:r>
      <w:r w:rsidRPr="000D2186">
        <w:rPr>
          <w:sz w:val="21"/>
          <w:szCs w:val="21"/>
        </w:rPr>
        <w:t>predpokladaného priebehu jeho opotrebenia. Odpisov</w:t>
      </w:r>
      <w:r w:rsidR="00AC7F88">
        <w:rPr>
          <w:sz w:val="21"/>
          <w:szCs w:val="21"/>
        </w:rPr>
        <w:t>ať sa začína prvým dňom mesiaca, v ktorom je dlhodobý</w:t>
      </w:r>
      <w:r w:rsidRPr="000D2186">
        <w:rPr>
          <w:sz w:val="21"/>
          <w:szCs w:val="21"/>
        </w:rPr>
        <w:t xml:space="preserve"> majet</w:t>
      </w:r>
      <w:r w:rsidR="00AC7F88">
        <w:rPr>
          <w:sz w:val="21"/>
          <w:szCs w:val="21"/>
        </w:rPr>
        <w:t>o</w:t>
      </w:r>
      <w:r w:rsidRPr="000D2186">
        <w:rPr>
          <w:sz w:val="21"/>
          <w:szCs w:val="21"/>
        </w:rPr>
        <w:t xml:space="preserve">k </w:t>
      </w:r>
      <w:r w:rsidR="00AC7F88">
        <w:rPr>
          <w:sz w:val="21"/>
          <w:szCs w:val="21"/>
        </w:rPr>
        <w:t xml:space="preserve">uvedený </w:t>
      </w:r>
      <w:r w:rsidRPr="000D2186">
        <w:rPr>
          <w:sz w:val="21"/>
          <w:szCs w:val="21"/>
        </w:rPr>
        <w:t>do používania. Drobný dlhodobý hmotný majetok, ktorého obstarávacia cena (resp. vlastné náklady) je 1 700 EUR a</w:t>
      </w:r>
      <w:r w:rsidR="00AF2B36">
        <w:rPr>
          <w:sz w:val="21"/>
          <w:szCs w:val="21"/>
        </w:rPr>
        <w:t> </w:t>
      </w:r>
      <w:r w:rsidRPr="000D2186">
        <w:rPr>
          <w:sz w:val="21"/>
          <w:szCs w:val="21"/>
        </w:rPr>
        <w:t>nižšia, sa odpisuje jednorazovo pri uvedení do používania. Pozemky sa neodpisujú. Predpokladaná doba používania, metóda odpisovania a</w:t>
      </w:r>
      <w:r w:rsidR="00AF2B36">
        <w:rPr>
          <w:sz w:val="21"/>
          <w:szCs w:val="21"/>
        </w:rPr>
        <w:t> </w:t>
      </w:r>
      <w:r w:rsidRPr="000D2186">
        <w:rPr>
          <w:sz w:val="21"/>
          <w:szCs w:val="21"/>
        </w:rPr>
        <w:t>odpisová sadzba sú uvedené v</w:t>
      </w:r>
      <w:r w:rsidR="00AF2B36">
        <w:rPr>
          <w:sz w:val="21"/>
          <w:szCs w:val="21"/>
        </w:rPr>
        <w:t> </w:t>
      </w:r>
      <w:r w:rsidRPr="000D2186">
        <w:rPr>
          <w:sz w:val="21"/>
          <w:szCs w:val="21"/>
        </w:rPr>
        <w:t>nasledujúcej tabuľke:</w:t>
      </w:r>
    </w:p>
    <w:p w:rsidR="002C7302" w:rsidRPr="000D2186" w:rsidRDefault="002C7302" w:rsidP="00D01229">
      <w:pPr>
        <w:jc w:val="both"/>
        <w:rPr>
          <w:sz w:val="21"/>
          <w:szCs w:val="21"/>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B66F1" w:rsidTr="00CB66F1">
        <w:trPr>
          <w:trHeight w:val="250"/>
        </w:trPr>
        <w:tc>
          <w:tcPr>
            <w:tcW w:w="3118" w:type="dxa"/>
            <w:gridSpan w:val="2"/>
          </w:tcPr>
          <w:p w:rsidR="00CB66F1" w:rsidRDefault="00CB66F1" w:rsidP="00D01229">
            <w:pPr>
              <w:pStyle w:val="Tabulka"/>
              <w:ind w:left="360"/>
              <w:jc w:val="both"/>
            </w:pPr>
          </w:p>
        </w:tc>
        <w:tc>
          <w:tcPr>
            <w:tcW w:w="1985" w:type="dxa"/>
          </w:tcPr>
          <w:p w:rsidR="00CB66F1" w:rsidRDefault="00CB66F1" w:rsidP="003710A3">
            <w:pPr>
              <w:pStyle w:val="Tabulka"/>
              <w:ind w:left="56"/>
              <w:jc w:val="center"/>
            </w:pPr>
            <w:r>
              <w:t>Predpokladaná</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Metóda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Ročná odpisová</w:t>
            </w:r>
          </w:p>
        </w:tc>
      </w:tr>
      <w:tr w:rsidR="00CB66F1" w:rsidTr="00CB66F1">
        <w:trPr>
          <w:trHeight w:val="250"/>
        </w:trPr>
        <w:tc>
          <w:tcPr>
            <w:tcW w:w="2976" w:type="dxa"/>
            <w:tcBorders>
              <w:bottom w:val="single" w:sz="4" w:space="0" w:color="auto"/>
            </w:tcBorders>
          </w:tcPr>
          <w:p w:rsidR="00CB66F1" w:rsidRDefault="00CB66F1" w:rsidP="00D01229">
            <w:pPr>
              <w:pStyle w:val="Tabulka"/>
              <w:ind w:left="360"/>
              <w:jc w:val="both"/>
            </w:pPr>
          </w:p>
        </w:tc>
        <w:tc>
          <w:tcPr>
            <w:tcW w:w="142" w:type="dxa"/>
            <w:tcBorders>
              <w:bottom w:val="single" w:sz="4" w:space="0" w:color="auto"/>
            </w:tcBorders>
          </w:tcPr>
          <w:p w:rsidR="00CB66F1" w:rsidRDefault="00CB66F1" w:rsidP="00D01229">
            <w:pPr>
              <w:pStyle w:val="Tabulka"/>
              <w:ind w:left="360"/>
              <w:jc w:val="both"/>
            </w:pPr>
          </w:p>
        </w:tc>
        <w:tc>
          <w:tcPr>
            <w:tcW w:w="1985" w:type="dxa"/>
            <w:tcBorders>
              <w:bottom w:val="single" w:sz="4" w:space="0" w:color="auto"/>
            </w:tcBorders>
          </w:tcPr>
          <w:p w:rsidR="00CB66F1" w:rsidRDefault="00CB66F1" w:rsidP="003710A3">
            <w:pPr>
              <w:pStyle w:val="Tabulka"/>
              <w:ind w:left="56"/>
              <w:jc w:val="center"/>
            </w:pPr>
            <w:r>
              <w:t>doba používania v</w:t>
            </w:r>
            <w:r w:rsidR="00AF2B36">
              <w:t> </w:t>
            </w:r>
            <w:r>
              <w:t>rokoch</w:t>
            </w:r>
          </w:p>
        </w:tc>
        <w:tc>
          <w:tcPr>
            <w:tcW w:w="141" w:type="dxa"/>
            <w:tcBorders>
              <w:bottom w:val="single" w:sz="4" w:space="0" w:color="auto"/>
            </w:tcBorders>
          </w:tcPr>
          <w:p w:rsidR="00CB66F1" w:rsidRDefault="00CB66F1" w:rsidP="003710A3">
            <w:pPr>
              <w:pStyle w:val="Tabulka"/>
              <w:ind w:left="56"/>
              <w:jc w:val="center"/>
            </w:pPr>
          </w:p>
        </w:tc>
        <w:tc>
          <w:tcPr>
            <w:tcW w:w="1701" w:type="dxa"/>
            <w:tcBorders>
              <w:bottom w:val="single" w:sz="4" w:space="0" w:color="auto"/>
            </w:tcBorders>
          </w:tcPr>
          <w:p w:rsidR="00CB66F1" w:rsidRDefault="00CB66F1" w:rsidP="003710A3">
            <w:pPr>
              <w:pStyle w:val="Tabulka"/>
              <w:ind w:left="56"/>
              <w:jc w:val="center"/>
            </w:pPr>
            <w:r>
              <w:t>odpisovania</w:t>
            </w:r>
          </w:p>
        </w:tc>
        <w:tc>
          <w:tcPr>
            <w:tcW w:w="142" w:type="dxa"/>
            <w:tcBorders>
              <w:bottom w:val="single" w:sz="4" w:space="0" w:color="auto"/>
            </w:tcBorders>
          </w:tcPr>
          <w:p w:rsidR="00CB66F1" w:rsidRDefault="00CB66F1" w:rsidP="003710A3">
            <w:pPr>
              <w:pStyle w:val="Tabulka"/>
              <w:ind w:left="56"/>
              <w:jc w:val="center"/>
            </w:pPr>
          </w:p>
        </w:tc>
        <w:tc>
          <w:tcPr>
            <w:tcW w:w="1701" w:type="dxa"/>
            <w:tcBorders>
              <w:bottom w:val="single" w:sz="4" w:space="0" w:color="auto"/>
            </w:tcBorders>
          </w:tcPr>
          <w:p w:rsidR="00CB66F1" w:rsidRDefault="00CB66F1" w:rsidP="003710A3">
            <w:pPr>
              <w:pStyle w:val="Tabulka"/>
              <w:ind w:left="56"/>
              <w:jc w:val="center"/>
            </w:pPr>
            <w:r>
              <w:t>sadzba v %</w:t>
            </w:r>
          </w:p>
        </w:tc>
      </w:tr>
      <w:tr w:rsidR="00CB66F1" w:rsidTr="00CB66F1">
        <w:trPr>
          <w:trHeight w:val="250"/>
        </w:trPr>
        <w:tc>
          <w:tcPr>
            <w:tcW w:w="3118" w:type="dxa"/>
            <w:gridSpan w:val="2"/>
            <w:tcBorders>
              <w:top w:val="single" w:sz="4" w:space="0" w:color="auto"/>
            </w:tcBorders>
          </w:tcPr>
          <w:p w:rsidR="00CB66F1" w:rsidRDefault="00CB66F1" w:rsidP="00D01229">
            <w:pPr>
              <w:pStyle w:val="Tabulka"/>
              <w:ind w:left="360"/>
              <w:jc w:val="both"/>
            </w:pPr>
            <w:r>
              <w:t>Stavby</w:t>
            </w:r>
          </w:p>
        </w:tc>
        <w:tc>
          <w:tcPr>
            <w:tcW w:w="1985" w:type="dxa"/>
            <w:tcBorders>
              <w:top w:val="single" w:sz="4" w:space="0" w:color="auto"/>
            </w:tcBorders>
          </w:tcPr>
          <w:p w:rsidR="00CB66F1" w:rsidRDefault="00F954F0" w:rsidP="003710A3">
            <w:pPr>
              <w:pStyle w:val="Tabulka"/>
              <w:ind w:left="56"/>
              <w:jc w:val="center"/>
            </w:pPr>
            <w:r>
              <w:t>20</w:t>
            </w:r>
          </w:p>
        </w:tc>
        <w:tc>
          <w:tcPr>
            <w:tcW w:w="141" w:type="dxa"/>
            <w:tcBorders>
              <w:top w:val="single" w:sz="4" w:space="0" w:color="auto"/>
            </w:tcBorders>
          </w:tcPr>
          <w:p w:rsidR="00CB66F1" w:rsidRDefault="00CB66F1" w:rsidP="003710A3">
            <w:pPr>
              <w:pStyle w:val="Tabulka"/>
              <w:ind w:left="56"/>
              <w:jc w:val="center"/>
            </w:pPr>
          </w:p>
        </w:tc>
        <w:tc>
          <w:tcPr>
            <w:tcW w:w="1701" w:type="dxa"/>
            <w:tcBorders>
              <w:top w:val="single" w:sz="4" w:space="0" w:color="auto"/>
            </w:tcBorders>
          </w:tcPr>
          <w:p w:rsidR="00CB66F1" w:rsidRDefault="00CB66F1" w:rsidP="003710A3">
            <w:pPr>
              <w:pStyle w:val="Tabulka"/>
              <w:ind w:left="56"/>
              <w:jc w:val="center"/>
            </w:pPr>
            <w:r>
              <w:t>lineárna</w:t>
            </w:r>
          </w:p>
        </w:tc>
        <w:tc>
          <w:tcPr>
            <w:tcW w:w="142" w:type="dxa"/>
            <w:tcBorders>
              <w:top w:val="single" w:sz="4" w:space="0" w:color="auto"/>
            </w:tcBorders>
          </w:tcPr>
          <w:p w:rsidR="00CB66F1" w:rsidRDefault="00CB66F1" w:rsidP="003710A3">
            <w:pPr>
              <w:pStyle w:val="Tabulka"/>
              <w:ind w:left="56"/>
              <w:jc w:val="center"/>
            </w:pPr>
          </w:p>
        </w:tc>
        <w:tc>
          <w:tcPr>
            <w:tcW w:w="1701" w:type="dxa"/>
            <w:tcBorders>
              <w:top w:val="single" w:sz="4" w:space="0" w:color="auto"/>
            </w:tcBorders>
          </w:tcPr>
          <w:p w:rsidR="00CB66F1" w:rsidRDefault="00F954F0" w:rsidP="003710A3">
            <w:pPr>
              <w:pStyle w:val="Tabulka"/>
              <w:ind w:left="56"/>
              <w:jc w:val="center"/>
            </w:pPr>
            <w:r>
              <w:t>5</w:t>
            </w:r>
          </w:p>
        </w:tc>
      </w:tr>
      <w:tr w:rsidR="00CB66F1" w:rsidTr="00CB66F1">
        <w:trPr>
          <w:trHeight w:val="250"/>
        </w:trPr>
        <w:tc>
          <w:tcPr>
            <w:tcW w:w="3118" w:type="dxa"/>
            <w:gridSpan w:val="2"/>
          </w:tcPr>
          <w:p w:rsidR="00CB66F1" w:rsidRDefault="00CB66F1" w:rsidP="00D01229">
            <w:pPr>
              <w:pStyle w:val="Tabulka"/>
              <w:ind w:left="360"/>
              <w:jc w:val="both"/>
            </w:pPr>
            <w:r>
              <w:t>Stroje, prístroje a</w:t>
            </w:r>
            <w:r w:rsidR="00AF2B36">
              <w:t> </w:t>
            </w:r>
            <w:r>
              <w:t>zariadenia</w:t>
            </w:r>
          </w:p>
        </w:tc>
        <w:tc>
          <w:tcPr>
            <w:tcW w:w="1985" w:type="dxa"/>
          </w:tcPr>
          <w:p w:rsidR="00CB66F1" w:rsidRDefault="00CB66F1" w:rsidP="003710A3">
            <w:pPr>
              <w:pStyle w:val="Tabulka"/>
              <w:ind w:left="56"/>
              <w:jc w:val="center"/>
            </w:pPr>
            <w:r>
              <w:t>8 až 12</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lineárna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8,3 až 12,5</w:t>
            </w:r>
          </w:p>
        </w:tc>
      </w:tr>
      <w:tr w:rsidR="00CB66F1" w:rsidTr="00CB66F1">
        <w:trPr>
          <w:trHeight w:val="250"/>
        </w:trPr>
        <w:tc>
          <w:tcPr>
            <w:tcW w:w="3118" w:type="dxa"/>
            <w:gridSpan w:val="2"/>
          </w:tcPr>
          <w:p w:rsidR="00CB66F1" w:rsidRDefault="00CB66F1" w:rsidP="00D01229">
            <w:pPr>
              <w:pStyle w:val="Tabulka"/>
              <w:ind w:left="360"/>
              <w:jc w:val="both"/>
            </w:pPr>
            <w:r>
              <w:t>Dopravné prostriedky</w:t>
            </w:r>
          </w:p>
        </w:tc>
        <w:tc>
          <w:tcPr>
            <w:tcW w:w="1985" w:type="dxa"/>
          </w:tcPr>
          <w:p w:rsidR="00CB66F1" w:rsidRDefault="00CB66F1" w:rsidP="003710A3">
            <w:pPr>
              <w:pStyle w:val="Tabulka"/>
              <w:ind w:left="56"/>
              <w:jc w:val="center"/>
            </w:pPr>
            <w:r>
              <w:t>4 až 6</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lineárna</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16 až 30</w:t>
            </w:r>
          </w:p>
        </w:tc>
      </w:tr>
      <w:tr w:rsidR="00CB66F1" w:rsidTr="00CB66F1">
        <w:trPr>
          <w:trHeight w:val="250"/>
        </w:trPr>
        <w:tc>
          <w:tcPr>
            <w:tcW w:w="3118" w:type="dxa"/>
            <w:gridSpan w:val="2"/>
          </w:tcPr>
          <w:p w:rsidR="00CB66F1" w:rsidRDefault="00CB66F1" w:rsidP="00D01229">
            <w:pPr>
              <w:pStyle w:val="Tabulka"/>
              <w:ind w:left="360"/>
              <w:jc w:val="both"/>
            </w:pPr>
            <w:r>
              <w:t>Drobný dlhodobý hmotný majetok</w:t>
            </w:r>
          </w:p>
        </w:tc>
        <w:tc>
          <w:tcPr>
            <w:tcW w:w="1985" w:type="dxa"/>
          </w:tcPr>
          <w:p w:rsidR="00CB66F1" w:rsidRDefault="00CB66F1" w:rsidP="003710A3">
            <w:pPr>
              <w:pStyle w:val="Tabulka"/>
              <w:ind w:left="56"/>
              <w:jc w:val="center"/>
            </w:pPr>
            <w:r>
              <w:t>rôzna</w:t>
            </w:r>
          </w:p>
        </w:tc>
        <w:tc>
          <w:tcPr>
            <w:tcW w:w="141"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jednorazový odpis</w:t>
            </w:r>
          </w:p>
        </w:tc>
        <w:tc>
          <w:tcPr>
            <w:tcW w:w="142" w:type="dxa"/>
          </w:tcPr>
          <w:p w:rsidR="00CB66F1" w:rsidRDefault="00CB66F1" w:rsidP="003710A3">
            <w:pPr>
              <w:pStyle w:val="Tabulka"/>
              <w:ind w:left="56"/>
              <w:jc w:val="center"/>
            </w:pPr>
          </w:p>
        </w:tc>
        <w:tc>
          <w:tcPr>
            <w:tcW w:w="1701" w:type="dxa"/>
          </w:tcPr>
          <w:p w:rsidR="00CB66F1" w:rsidRDefault="00CB66F1" w:rsidP="003710A3">
            <w:pPr>
              <w:pStyle w:val="Tabulka"/>
              <w:ind w:left="56"/>
              <w:jc w:val="center"/>
            </w:pPr>
            <w:r>
              <w:t>100</w:t>
            </w:r>
          </w:p>
        </w:tc>
      </w:tr>
    </w:tbl>
    <w:p w:rsidR="00CB66F1" w:rsidRPr="000D2186" w:rsidRDefault="00CB66F1" w:rsidP="00D01229">
      <w:pPr>
        <w:jc w:val="both"/>
        <w:rPr>
          <w:sz w:val="21"/>
          <w:szCs w:val="21"/>
        </w:rPr>
      </w:pPr>
    </w:p>
    <w:p w:rsidR="00CB66F1" w:rsidRPr="00D01229" w:rsidRDefault="00CB66F1" w:rsidP="0064307F">
      <w:pPr>
        <w:numPr>
          <w:ilvl w:val="0"/>
          <w:numId w:val="5"/>
        </w:numPr>
        <w:jc w:val="both"/>
        <w:rPr>
          <w:i/>
          <w:sz w:val="21"/>
          <w:szCs w:val="21"/>
        </w:rPr>
      </w:pPr>
      <w:r w:rsidRPr="00D01229">
        <w:rPr>
          <w:i/>
          <w:sz w:val="21"/>
          <w:szCs w:val="21"/>
        </w:rPr>
        <w:t>Cenné papiere a</w:t>
      </w:r>
      <w:r w:rsidR="00AF2B36" w:rsidRPr="00D01229">
        <w:rPr>
          <w:i/>
          <w:sz w:val="21"/>
          <w:szCs w:val="21"/>
        </w:rPr>
        <w:t> </w:t>
      </w:r>
      <w:r w:rsidRPr="00D01229">
        <w:rPr>
          <w:i/>
          <w:sz w:val="21"/>
          <w:szCs w:val="21"/>
        </w:rPr>
        <w:t>podiely</w:t>
      </w:r>
    </w:p>
    <w:p w:rsidR="00CB66F1" w:rsidRPr="000D2186" w:rsidRDefault="00CB66F1" w:rsidP="00D01229">
      <w:pPr>
        <w:ind w:left="360"/>
        <w:jc w:val="both"/>
        <w:rPr>
          <w:sz w:val="21"/>
          <w:szCs w:val="21"/>
        </w:rPr>
      </w:pPr>
      <w:r w:rsidRPr="000D2186">
        <w:rPr>
          <w:sz w:val="21"/>
          <w:szCs w:val="21"/>
        </w:rPr>
        <w:t>Cenné papiere a</w:t>
      </w:r>
      <w:r w:rsidR="00AF2B36">
        <w:rPr>
          <w:sz w:val="21"/>
          <w:szCs w:val="21"/>
        </w:rPr>
        <w:t> </w:t>
      </w:r>
      <w:r w:rsidRPr="000D2186">
        <w:rPr>
          <w:sz w:val="21"/>
          <w:szCs w:val="21"/>
        </w:rPr>
        <w:t>podiely sa oceňujú obstarávacími cenami vrátane nákladov súvisiacich s</w:t>
      </w:r>
      <w:r w:rsidR="00AF2B36">
        <w:rPr>
          <w:sz w:val="21"/>
          <w:szCs w:val="21"/>
        </w:rPr>
        <w:t> </w:t>
      </w:r>
      <w:r w:rsidRPr="000D2186">
        <w:rPr>
          <w:sz w:val="21"/>
          <w:szCs w:val="21"/>
        </w:rPr>
        <w:t>obstaraním. Od obstarávacej ceny je odpočítané zníženie hodnoty cenných papierov a</w:t>
      </w:r>
      <w:r w:rsidR="00AF2B36">
        <w:rPr>
          <w:sz w:val="21"/>
          <w:szCs w:val="21"/>
        </w:rPr>
        <w:t> </w:t>
      </w:r>
      <w:r w:rsidRPr="000D2186">
        <w:rPr>
          <w:sz w:val="21"/>
          <w:szCs w:val="21"/>
        </w:rPr>
        <w:t xml:space="preserve">podielov. </w:t>
      </w:r>
    </w:p>
    <w:p w:rsidR="00CB66F1" w:rsidRPr="000D2186" w:rsidRDefault="00CB66F1" w:rsidP="00D01229">
      <w:pPr>
        <w:jc w:val="both"/>
        <w:rPr>
          <w:sz w:val="21"/>
          <w:szCs w:val="21"/>
        </w:rPr>
      </w:pPr>
    </w:p>
    <w:p w:rsidR="00CB66F1" w:rsidRPr="000D2186" w:rsidRDefault="00CB66F1" w:rsidP="0064307F">
      <w:pPr>
        <w:numPr>
          <w:ilvl w:val="0"/>
          <w:numId w:val="6"/>
        </w:numPr>
        <w:jc w:val="both"/>
        <w:rPr>
          <w:sz w:val="21"/>
          <w:szCs w:val="21"/>
        </w:rPr>
      </w:pPr>
      <w:r w:rsidRPr="000D2186">
        <w:rPr>
          <w:sz w:val="21"/>
          <w:szCs w:val="21"/>
        </w:rPr>
        <w:t xml:space="preserve">Zásoby </w:t>
      </w:r>
    </w:p>
    <w:p w:rsidR="00CB66F1" w:rsidRPr="000D2186" w:rsidRDefault="00CB66F1" w:rsidP="00D01229">
      <w:pPr>
        <w:ind w:left="360"/>
        <w:jc w:val="both"/>
        <w:rPr>
          <w:sz w:val="21"/>
          <w:szCs w:val="21"/>
        </w:rPr>
      </w:pPr>
      <w:r w:rsidRPr="000D2186">
        <w:rPr>
          <w:sz w:val="21"/>
          <w:szCs w:val="21"/>
        </w:rPr>
        <w:t>Zásoby sa oceňujú nižšou z</w:t>
      </w:r>
      <w:r w:rsidR="00AF2B36">
        <w:rPr>
          <w:sz w:val="21"/>
          <w:szCs w:val="21"/>
        </w:rPr>
        <w:t> </w:t>
      </w:r>
      <w:r w:rsidRPr="000D2186">
        <w:rPr>
          <w:sz w:val="21"/>
          <w:szCs w:val="21"/>
        </w:rPr>
        <w:t>nasledujúcich hodnôt: obstarávacou cenou (nakupované zásoby) alebo vlastnými nákladmi (zásoby vytvorené vlastnou činnosťou) alebo čistou realizačnou hodnotou.</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Obstarávacia cena zahŕňa cenu zásob a</w:t>
      </w:r>
      <w:r w:rsidR="00AF2B36">
        <w:rPr>
          <w:sz w:val="21"/>
          <w:szCs w:val="21"/>
        </w:rPr>
        <w:t> </w:t>
      </w:r>
      <w:r w:rsidRPr="000D2186">
        <w:rPr>
          <w:sz w:val="21"/>
          <w:szCs w:val="21"/>
        </w:rPr>
        <w:t>náklady súvisiace s</w:t>
      </w:r>
      <w:r w:rsidR="00AF2B36">
        <w:rPr>
          <w:sz w:val="21"/>
          <w:szCs w:val="21"/>
        </w:rPr>
        <w:t> </w:t>
      </w:r>
      <w:r w:rsidRPr="000D2186">
        <w:rPr>
          <w:sz w:val="21"/>
          <w:szCs w:val="21"/>
        </w:rPr>
        <w:t>obstaraním (clo, prepravu, poistné, provízie, skonto a</w:t>
      </w:r>
      <w:r w:rsidR="00AF2B36">
        <w:rPr>
          <w:sz w:val="21"/>
          <w:szCs w:val="21"/>
        </w:rPr>
        <w:t> </w:t>
      </w:r>
      <w:r w:rsidRPr="000D2186">
        <w:rPr>
          <w:sz w:val="21"/>
          <w:szCs w:val="21"/>
        </w:rPr>
        <w:t>pod.). Úroky z</w:t>
      </w:r>
      <w:r w:rsidR="00AF2B36">
        <w:rPr>
          <w:sz w:val="21"/>
          <w:szCs w:val="21"/>
        </w:rPr>
        <w:t> </w:t>
      </w:r>
      <w:r w:rsidRPr="000D2186">
        <w:rPr>
          <w:sz w:val="21"/>
          <w:szCs w:val="21"/>
        </w:rPr>
        <w:t>cudzích zdrojov nie sú súčasťou obstarávacej ceny. Nakupované zásoby sa oceňujú váženým aritmetickým priemerom z</w:t>
      </w:r>
      <w:r w:rsidR="00AF2B36">
        <w:rPr>
          <w:sz w:val="21"/>
          <w:szCs w:val="21"/>
        </w:rPr>
        <w:t> </w:t>
      </w:r>
      <w:r w:rsidRPr="000D2186">
        <w:rPr>
          <w:sz w:val="21"/>
          <w:szCs w:val="21"/>
        </w:rPr>
        <w:t>obstarávacích cien.</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Vlastné náklady zahŕňajú priame náklady (priamy materiál, priame mzdy a</w:t>
      </w:r>
      <w:r w:rsidR="00AF2B36">
        <w:rPr>
          <w:sz w:val="21"/>
          <w:szCs w:val="21"/>
        </w:rPr>
        <w:t> </w:t>
      </w:r>
      <w:r w:rsidRPr="000D2186">
        <w:rPr>
          <w:sz w:val="21"/>
          <w:szCs w:val="21"/>
        </w:rPr>
        <w:t>ostatné priame náklady) a</w:t>
      </w:r>
      <w:r w:rsidR="00AF2B36">
        <w:rPr>
          <w:sz w:val="21"/>
          <w:szCs w:val="21"/>
        </w:rPr>
        <w:t> </w:t>
      </w:r>
      <w:r w:rsidRPr="000D2186">
        <w:rPr>
          <w:sz w:val="21"/>
          <w:szCs w:val="21"/>
        </w:rPr>
        <w:t>časť nepriamych nákladov bezprostredne súvisiacich s</w:t>
      </w:r>
      <w:r w:rsidR="00AF2B36">
        <w:rPr>
          <w:sz w:val="21"/>
          <w:szCs w:val="21"/>
        </w:rPr>
        <w:t> </w:t>
      </w:r>
      <w:r w:rsidRPr="000D2186">
        <w:rPr>
          <w:sz w:val="21"/>
          <w:szCs w:val="21"/>
        </w:rPr>
        <w:t>vytvorením zásob vlastnou činnosťou (výrobná réžia). Výrobná réžia sa do vlastných nákladov zahŕňa v</w:t>
      </w:r>
      <w:r w:rsidR="00AF2B36">
        <w:rPr>
          <w:sz w:val="21"/>
          <w:szCs w:val="21"/>
        </w:rPr>
        <w:t> </w:t>
      </w:r>
      <w:r w:rsidRPr="000D2186">
        <w:rPr>
          <w:sz w:val="21"/>
          <w:szCs w:val="21"/>
        </w:rPr>
        <w:t>závislosti od stupňa rozpracovanosti týchto zásob. Správna réžia a</w:t>
      </w:r>
      <w:r w:rsidR="00AF2B36">
        <w:rPr>
          <w:sz w:val="21"/>
          <w:szCs w:val="21"/>
        </w:rPr>
        <w:t> </w:t>
      </w:r>
      <w:r w:rsidRPr="000D2186">
        <w:rPr>
          <w:sz w:val="21"/>
          <w:szCs w:val="21"/>
        </w:rPr>
        <w:t>odbytové náklady nie sú súčasťou vlastných nákladov. Súčasťou vlastných nákladov nie sú úroky z</w:t>
      </w:r>
      <w:r w:rsidR="00AF2B36">
        <w:rPr>
          <w:sz w:val="21"/>
          <w:szCs w:val="21"/>
        </w:rPr>
        <w:t> </w:t>
      </w:r>
      <w:r w:rsidRPr="000D2186">
        <w:rPr>
          <w:sz w:val="21"/>
          <w:szCs w:val="21"/>
        </w:rPr>
        <w:t>cudzích zdrojov.</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Čistá realizačná hodnota je predpokladaná predajná cena znížená o</w:t>
      </w:r>
      <w:r w:rsidR="00AF2B36">
        <w:rPr>
          <w:sz w:val="21"/>
          <w:szCs w:val="21"/>
        </w:rPr>
        <w:t> </w:t>
      </w:r>
      <w:r w:rsidRPr="000D2186">
        <w:rPr>
          <w:sz w:val="21"/>
          <w:szCs w:val="21"/>
        </w:rPr>
        <w:t>predpokladané náklady na ich dokončenie a</w:t>
      </w:r>
      <w:r w:rsidR="00AF2B36">
        <w:rPr>
          <w:sz w:val="21"/>
          <w:szCs w:val="21"/>
        </w:rPr>
        <w:t> </w:t>
      </w:r>
      <w:r w:rsidRPr="000D2186">
        <w:rPr>
          <w:sz w:val="21"/>
          <w:szCs w:val="21"/>
        </w:rPr>
        <w:t>o</w:t>
      </w:r>
      <w:r w:rsidR="00AF2B36">
        <w:rPr>
          <w:sz w:val="21"/>
          <w:szCs w:val="21"/>
        </w:rPr>
        <w:t> </w:t>
      </w:r>
      <w:r w:rsidRPr="000D2186">
        <w:rPr>
          <w:sz w:val="21"/>
          <w:szCs w:val="21"/>
        </w:rPr>
        <w:t>predpokladané náklady súvisiace s</w:t>
      </w:r>
      <w:r w:rsidR="00AF2B36">
        <w:rPr>
          <w:sz w:val="21"/>
          <w:szCs w:val="21"/>
        </w:rPr>
        <w:t> </w:t>
      </w:r>
      <w:r w:rsidRPr="000D2186">
        <w:rPr>
          <w:sz w:val="21"/>
          <w:szCs w:val="21"/>
        </w:rPr>
        <w:t xml:space="preserve">ich predajom.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Zníženie hodnoty zásob sa upravuje vytvorením opravnej položky.</w:t>
      </w:r>
    </w:p>
    <w:p w:rsidR="00CB66F1" w:rsidRPr="000D2186" w:rsidRDefault="00CB66F1" w:rsidP="00D01229">
      <w:pPr>
        <w:jc w:val="both"/>
        <w:rPr>
          <w:sz w:val="21"/>
          <w:szCs w:val="21"/>
        </w:rPr>
      </w:pPr>
    </w:p>
    <w:p w:rsidR="00CB66F1" w:rsidRPr="00D01229" w:rsidRDefault="00CB66F1" w:rsidP="0064307F">
      <w:pPr>
        <w:numPr>
          <w:ilvl w:val="0"/>
          <w:numId w:val="7"/>
        </w:numPr>
        <w:jc w:val="both"/>
        <w:rPr>
          <w:i/>
          <w:sz w:val="21"/>
          <w:szCs w:val="21"/>
        </w:rPr>
      </w:pPr>
      <w:r w:rsidRPr="00D01229">
        <w:rPr>
          <w:i/>
          <w:sz w:val="21"/>
          <w:szCs w:val="21"/>
        </w:rPr>
        <w:t>Zákazková výroba</w:t>
      </w:r>
    </w:p>
    <w:p w:rsidR="00CB66F1" w:rsidRPr="000D2186" w:rsidRDefault="00CB66F1" w:rsidP="00D01229">
      <w:pPr>
        <w:ind w:left="360"/>
        <w:jc w:val="both"/>
        <w:rPr>
          <w:sz w:val="21"/>
          <w:szCs w:val="21"/>
        </w:rPr>
      </w:pPr>
      <w:r w:rsidRPr="000D2186">
        <w:rPr>
          <w:sz w:val="21"/>
          <w:szCs w:val="21"/>
        </w:rPr>
        <w:t>Zákazková výroba sa vykazuje použitím metódy stupňa dokončenia zákazky (angl. percentage-of-completion-method).</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Zákazková výstavba nehnuteľnosti</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Zákazková výstavba nehnuteľnosti – priebežný transfer</w:t>
      </w:r>
    </w:p>
    <w:p w:rsidR="00CB66F1" w:rsidRPr="000D2186" w:rsidRDefault="00CB66F1" w:rsidP="00D01229">
      <w:pPr>
        <w:ind w:left="360"/>
        <w:jc w:val="both"/>
        <w:rPr>
          <w:sz w:val="21"/>
          <w:szCs w:val="21"/>
        </w:rPr>
      </w:pPr>
      <w:r w:rsidRPr="000D2186">
        <w:rPr>
          <w:sz w:val="21"/>
          <w:szCs w:val="21"/>
        </w:rPr>
        <w:t xml:space="preserve">Zákazková výstavba nehnuteľnosti určenej na predaj sa vykazuje podľa metódy stupňa dokončenia.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Zákazková výstavba nehnuteľnosti – ostatná (nie priebežný transfer)</w:t>
      </w:r>
    </w:p>
    <w:p w:rsidR="00CB66F1" w:rsidRPr="000D2186" w:rsidRDefault="00CB66F1" w:rsidP="00D01229">
      <w:pPr>
        <w:ind w:left="360"/>
        <w:jc w:val="both"/>
        <w:rPr>
          <w:sz w:val="21"/>
          <w:szCs w:val="21"/>
        </w:rPr>
      </w:pPr>
      <w:r w:rsidRPr="000D2186">
        <w:rPr>
          <w:sz w:val="21"/>
          <w:szCs w:val="21"/>
        </w:rPr>
        <w:lastRenderedPageBreak/>
        <w:t>Zákazková výstavba nehnuteľnosti určenej na predaj – ostatná (nie priebežný transfer) sa vykazuje metódou tzv. nulového zisku, t. j. zisk sa vykáže pri predaji nehnuteľnosti.</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Pohľadávky</w:t>
      </w:r>
    </w:p>
    <w:p w:rsidR="00CB66F1" w:rsidRPr="000D2186" w:rsidRDefault="00CB66F1" w:rsidP="00D01229">
      <w:pPr>
        <w:ind w:left="360"/>
        <w:jc w:val="both"/>
        <w:rPr>
          <w:sz w:val="21"/>
          <w:szCs w:val="21"/>
        </w:rPr>
      </w:pPr>
      <w:r w:rsidRPr="000D2186">
        <w:rPr>
          <w:sz w:val="21"/>
          <w:szCs w:val="21"/>
        </w:rPr>
        <w:t>Pohľadávky pri ich vzniku sa oceňujú ich menovitou hodnotou; postúpené pohľadávky a</w:t>
      </w:r>
      <w:r w:rsidR="00AF2B36">
        <w:rPr>
          <w:sz w:val="21"/>
          <w:szCs w:val="21"/>
        </w:rPr>
        <w:t> </w:t>
      </w:r>
      <w:r w:rsidRPr="000D2186">
        <w:rPr>
          <w:sz w:val="21"/>
          <w:szCs w:val="21"/>
        </w:rPr>
        <w:t>pohľadávky nadobudnuté vkladom do základného imania sa oceňujú obstarávacou cenou vrátane nákladov súvisiacich s</w:t>
      </w:r>
      <w:r w:rsidR="00AF2B36">
        <w:rPr>
          <w:sz w:val="21"/>
          <w:szCs w:val="21"/>
        </w:rPr>
        <w:t> </w:t>
      </w:r>
      <w:r w:rsidRPr="000D2186">
        <w:rPr>
          <w:sz w:val="21"/>
          <w:szCs w:val="21"/>
        </w:rPr>
        <w:t>obstaraním. Toto ocenenie sa znižuje o</w:t>
      </w:r>
      <w:r w:rsidR="00AF2B36">
        <w:rPr>
          <w:sz w:val="21"/>
          <w:szCs w:val="21"/>
        </w:rPr>
        <w:t> </w:t>
      </w:r>
      <w:r w:rsidRPr="000D2186">
        <w:rPr>
          <w:sz w:val="21"/>
          <w:szCs w:val="21"/>
        </w:rPr>
        <w:t>pochybné a</w:t>
      </w:r>
      <w:r w:rsidR="00AF2B36">
        <w:rPr>
          <w:sz w:val="21"/>
          <w:szCs w:val="21"/>
        </w:rPr>
        <w:t> </w:t>
      </w:r>
      <w:r w:rsidRPr="000D2186">
        <w:rPr>
          <w:sz w:val="21"/>
          <w:szCs w:val="21"/>
        </w:rPr>
        <w:t>nevymožiteľné pohľadávky.</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Peňažné prostriedky a</w:t>
      </w:r>
      <w:r w:rsidR="00AF2B36" w:rsidRPr="00D01229">
        <w:rPr>
          <w:i/>
          <w:sz w:val="21"/>
          <w:szCs w:val="21"/>
        </w:rPr>
        <w:t> </w:t>
      </w:r>
      <w:r w:rsidRPr="00D01229">
        <w:rPr>
          <w:i/>
          <w:sz w:val="21"/>
          <w:szCs w:val="21"/>
        </w:rPr>
        <w:t>ceniny</w:t>
      </w:r>
    </w:p>
    <w:p w:rsidR="00CB66F1" w:rsidRPr="000D2186" w:rsidRDefault="00CB66F1" w:rsidP="00D01229">
      <w:pPr>
        <w:ind w:left="360"/>
        <w:jc w:val="both"/>
        <w:rPr>
          <w:sz w:val="21"/>
          <w:szCs w:val="21"/>
        </w:rPr>
      </w:pPr>
      <w:r w:rsidRPr="000D2186">
        <w:rPr>
          <w:sz w:val="21"/>
          <w:szCs w:val="21"/>
        </w:rPr>
        <w:t>Peňažné prostriedky a</w:t>
      </w:r>
      <w:r w:rsidR="00AF2B36">
        <w:rPr>
          <w:sz w:val="21"/>
          <w:szCs w:val="21"/>
        </w:rPr>
        <w:t> </w:t>
      </w:r>
      <w:r w:rsidRPr="000D2186">
        <w:rPr>
          <w:sz w:val="21"/>
          <w:szCs w:val="21"/>
        </w:rPr>
        <w:t>ceniny sa oceňujú ich menovitou hodnotou. Zníženie ich hodnoty sa vyjadruje opravnou položkou.</w:t>
      </w:r>
    </w:p>
    <w:p w:rsidR="00CB66F1"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Náklady budúcich období a</w:t>
      </w:r>
      <w:r w:rsidR="00AF2B36" w:rsidRPr="00D01229">
        <w:rPr>
          <w:i/>
          <w:sz w:val="21"/>
          <w:szCs w:val="21"/>
        </w:rPr>
        <w:t> </w:t>
      </w:r>
      <w:r w:rsidRPr="00D01229">
        <w:rPr>
          <w:i/>
          <w:sz w:val="21"/>
          <w:szCs w:val="21"/>
        </w:rPr>
        <w:t>príjmy budúcich období</w:t>
      </w:r>
    </w:p>
    <w:p w:rsidR="00CB66F1" w:rsidRPr="000D2186" w:rsidRDefault="00CB66F1" w:rsidP="00D01229">
      <w:pPr>
        <w:ind w:left="360"/>
        <w:jc w:val="both"/>
        <w:rPr>
          <w:sz w:val="21"/>
          <w:szCs w:val="21"/>
        </w:rPr>
      </w:pPr>
      <w:r w:rsidRPr="000D2186">
        <w:rPr>
          <w:sz w:val="21"/>
          <w:szCs w:val="21"/>
        </w:rPr>
        <w:t>Náklady budúcich období a</w:t>
      </w:r>
      <w:r w:rsidR="00AF2B36">
        <w:rPr>
          <w:sz w:val="21"/>
          <w:szCs w:val="21"/>
        </w:rPr>
        <w:t> </w:t>
      </w:r>
      <w:r w:rsidRPr="000D2186">
        <w:rPr>
          <w:sz w:val="21"/>
          <w:szCs w:val="21"/>
        </w:rPr>
        <w:t>príjmy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Rezervy</w:t>
      </w:r>
    </w:p>
    <w:p w:rsidR="00CB66F1" w:rsidRPr="000D2186" w:rsidRDefault="00CB66F1" w:rsidP="00D01229">
      <w:pPr>
        <w:ind w:left="360"/>
        <w:jc w:val="both"/>
        <w:rPr>
          <w:sz w:val="21"/>
          <w:szCs w:val="21"/>
        </w:rPr>
      </w:pPr>
      <w:r w:rsidRPr="000D2186">
        <w:rPr>
          <w:sz w:val="21"/>
          <w:szCs w:val="21"/>
        </w:rPr>
        <w:t>Rezervy sú záväzky s</w:t>
      </w:r>
      <w:r w:rsidR="00AF2B36">
        <w:rPr>
          <w:sz w:val="21"/>
          <w:szCs w:val="21"/>
        </w:rPr>
        <w:t> </w:t>
      </w:r>
      <w:r w:rsidRPr="000D2186">
        <w:rPr>
          <w:sz w:val="21"/>
          <w:szCs w:val="21"/>
        </w:rPr>
        <w:t>neurčitým časovým vymedzením alebo výškou; tvoria sa na krytie známych rizík alebo strát z</w:t>
      </w:r>
      <w:r w:rsidR="00AF2B36">
        <w:rPr>
          <w:sz w:val="21"/>
          <w:szCs w:val="21"/>
        </w:rPr>
        <w:t> </w:t>
      </w:r>
      <w:r w:rsidRPr="000D2186">
        <w:rPr>
          <w:sz w:val="21"/>
          <w:szCs w:val="21"/>
        </w:rPr>
        <w:t>podnikania. Oceňujú sa v</w:t>
      </w:r>
      <w:r w:rsidR="00AF2B36">
        <w:rPr>
          <w:sz w:val="21"/>
          <w:szCs w:val="21"/>
        </w:rPr>
        <w:t> </w:t>
      </w:r>
      <w:r w:rsidRPr="000D2186">
        <w:rPr>
          <w:sz w:val="21"/>
          <w:szCs w:val="21"/>
        </w:rPr>
        <w:t>očakávanej výške záväzku.</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Záväzky</w:t>
      </w:r>
    </w:p>
    <w:p w:rsidR="00CB66F1" w:rsidRPr="000D2186" w:rsidRDefault="00CB66F1" w:rsidP="00D01229">
      <w:pPr>
        <w:ind w:left="360"/>
        <w:jc w:val="both"/>
        <w:rPr>
          <w:sz w:val="21"/>
          <w:szCs w:val="21"/>
        </w:rPr>
      </w:pPr>
      <w:r w:rsidRPr="000D2186">
        <w:rPr>
          <w:sz w:val="21"/>
          <w:szCs w:val="21"/>
        </w:rPr>
        <w:t>Záväzky pri ich vzniku sa oceňujú menovitou hodnotou. Záväzky pri ich prevzatí sa oceňujú obstarávacou cenou. Ak sa pri inventarizácii zistí, že suma záväzkov je iná ako ich výška v</w:t>
      </w:r>
      <w:r w:rsidR="00AF2B36">
        <w:rPr>
          <w:sz w:val="21"/>
          <w:szCs w:val="21"/>
        </w:rPr>
        <w:t> </w:t>
      </w:r>
      <w:r w:rsidRPr="000D2186">
        <w:rPr>
          <w:sz w:val="21"/>
          <w:szCs w:val="21"/>
        </w:rPr>
        <w:t>účtovníctve, uvedú sa záväzky v</w:t>
      </w:r>
      <w:r w:rsidR="00AF2B36">
        <w:rPr>
          <w:sz w:val="21"/>
          <w:szCs w:val="21"/>
        </w:rPr>
        <w:t> </w:t>
      </w:r>
      <w:r w:rsidRPr="000D2186">
        <w:rPr>
          <w:sz w:val="21"/>
          <w:szCs w:val="21"/>
        </w:rPr>
        <w:t>účtovníctve a</w:t>
      </w:r>
      <w:r w:rsidR="00AF2B36">
        <w:rPr>
          <w:sz w:val="21"/>
          <w:szCs w:val="21"/>
        </w:rPr>
        <w:t> </w:t>
      </w:r>
      <w:r w:rsidRPr="000D2186">
        <w:rPr>
          <w:sz w:val="21"/>
          <w:szCs w:val="21"/>
        </w:rPr>
        <w:t>v</w:t>
      </w:r>
      <w:r w:rsidR="00AF2B36">
        <w:rPr>
          <w:sz w:val="21"/>
          <w:szCs w:val="21"/>
        </w:rPr>
        <w:t> </w:t>
      </w:r>
      <w:r w:rsidRPr="000D2186">
        <w:rPr>
          <w:sz w:val="21"/>
          <w:szCs w:val="21"/>
        </w:rPr>
        <w:t>účtovnej závierke v</w:t>
      </w:r>
      <w:r w:rsidR="00AF2B36">
        <w:rPr>
          <w:sz w:val="21"/>
          <w:szCs w:val="21"/>
        </w:rPr>
        <w:t> </w:t>
      </w:r>
      <w:r w:rsidRPr="000D2186">
        <w:rPr>
          <w:sz w:val="21"/>
          <w:szCs w:val="21"/>
        </w:rPr>
        <w:t xml:space="preserve">tomto zistenom ocenení. </w:t>
      </w:r>
    </w:p>
    <w:p w:rsidR="00CB66F1" w:rsidRPr="000D2186" w:rsidRDefault="00CB66F1" w:rsidP="00D01229">
      <w:pPr>
        <w:jc w:val="both"/>
        <w:rPr>
          <w:sz w:val="21"/>
          <w:szCs w:val="21"/>
        </w:rPr>
      </w:pPr>
    </w:p>
    <w:p w:rsidR="00CB66F1" w:rsidRPr="00D01229" w:rsidRDefault="00CB66F1" w:rsidP="0064307F">
      <w:pPr>
        <w:numPr>
          <w:ilvl w:val="0"/>
          <w:numId w:val="8"/>
        </w:numPr>
        <w:jc w:val="both"/>
        <w:rPr>
          <w:i/>
          <w:sz w:val="21"/>
          <w:szCs w:val="21"/>
        </w:rPr>
      </w:pPr>
      <w:r w:rsidRPr="00D01229">
        <w:rPr>
          <w:i/>
          <w:sz w:val="21"/>
          <w:szCs w:val="21"/>
        </w:rPr>
        <w:t>Odložené dane</w:t>
      </w:r>
    </w:p>
    <w:p w:rsidR="00CB66F1" w:rsidRPr="000D2186" w:rsidRDefault="00CB66F1" w:rsidP="00D01229">
      <w:pPr>
        <w:ind w:left="360"/>
        <w:jc w:val="both"/>
        <w:rPr>
          <w:sz w:val="21"/>
          <w:szCs w:val="21"/>
        </w:rPr>
      </w:pPr>
      <w:r w:rsidRPr="000D2186">
        <w:rPr>
          <w:sz w:val="21"/>
          <w:szCs w:val="21"/>
        </w:rPr>
        <w:t>Odložené dane (odložená daňová pohľadávka a</w:t>
      </w:r>
      <w:r w:rsidR="00AF2B36">
        <w:rPr>
          <w:sz w:val="21"/>
          <w:szCs w:val="21"/>
        </w:rPr>
        <w:t> </w:t>
      </w:r>
      <w:r w:rsidRPr="000D2186">
        <w:rPr>
          <w:sz w:val="21"/>
          <w:szCs w:val="21"/>
        </w:rPr>
        <w:t xml:space="preserve">odložený daňový záväzok) sa vzťahujú na: </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dočasné rozdiely medzi účtovnou hodnotou majetku a</w:t>
      </w:r>
      <w:r w:rsidR="00AF2B36">
        <w:rPr>
          <w:sz w:val="21"/>
          <w:szCs w:val="21"/>
        </w:rPr>
        <w:t> </w:t>
      </w:r>
      <w:r w:rsidRPr="000D2186">
        <w:rPr>
          <w:sz w:val="21"/>
          <w:szCs w:val="21"/>
        </w:rPr>
        <w:t>účtovnou hodnotou záväzkov vykázanou v</w:t>
      </w:r>
      <w:r w:rsidR="00AF2B36">
        <w:rPr>
          <w:sz w:val="21"/>
          <w:szCs w:val="21"/>
        </w:rPr>
        <w:t> </w:t>
      </w:r>
      <w:r w:rsidRPr="000D2186">
        <w:rPr>
          <w:sz w:val="21"/>
          <w:szCs w:val="21"/>
        </w:rPr>
        <w:t>súvahe a</w:t>
      </w:r>
      <w:r w:rsidR="00AF2B36">
        <w:rPr>
          <w:sz w:val="21"/>
          <w:szCs w:val="21"/>
        </w:rPr>
        <w:t> </w:t>
      </w:r>
      <w:r w:rsidRPr="000D2186">
        <w:rPr>
          <w:sz w:val="21"/>
          <w:szCs w:val="21"/>
        </w:rPr>
        <w:t>ich daňovou základňou,</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možnosť umorovať daňovú stratu v</w:t>
      </w:r>
      <w:r w:rsidR="00AF2B36">
        <w:rPr>
          <w:sz w:val="21"/>
          <w:szCs w:val="21"/>
        </w:rPr>
        <w:t> </w:t>
      </w:r>
      <w:r w:rsidRPr="000D2186">
        <w:rPr>
          <w:sz w:val="21"/>
          <w:szCs w:val="21"/>
        </w:rPr>
        <w:t>budúcnosti, ktorou sa rozumie možnosť odpočítať daňovú stratu od základu dane v</w:t>
      </w:r>
      <w:r w:rsidR="00AF2B36">
        <w:rPr>
          <w:sz w:val="21"/>
          <w:szCs w:val="21"/>
        </w:rPr>
        <w:t> </w:t>
      </w:r>
      <w:r w:rsidRPr="000D2186">
        <w:rPr>
          <w:sz w:val="21"/>
          <w:szCs w:val="21"/>
        </w:rPr>
        <w:t>budúcnosti,</w:t>
      </w:r>
    </w:p>
    <w:p w:rsidR="00CB66F1" w:rsidRPr="000D2186" w:rsidRDefault="00CB66F1" w:rsidP="0064307F">
      <w:pPr>
        <w:numPr>
          <w:ilvl w:val="0"/>
          <w:numId w:val="2"/>
        </w:numPr>
        <w:tabs>
          <w:tab w:val="clear" w:pos="830"/>
          <w:tab w:val="num" w:pos="1100"/>
        </w:tabs>
        <w:ind w:left="1100" w:hanging="220"/>
        <w:jc w:val="both"/>
        <w:rPr>
          <w:sz w:val="21"/>
          <w:szCs w:val="21"/>
        </w:rPr>
      </w:pPr>
      <w:r w:rsidRPr="000D2186">
        <w:rPr>
          <w:sz w:val="21"/>
          <w:szCs w:val="21"/>
        </w:rPr>
        <w:t>možnosť previesť nevyužité daňové odpočty a</w:t>
      </w:r>
      <w:r w:rsidR="00AF2B36">
        <w:rPr>
          <w:sz w:val="21"/>
          <w:szCs w:val="21"/>
        </w:rPr>
        <w:t> </w:t>
      </w:r>
      <w:r w:rsidRPr="000D2186">
        <w:rPr>
          <w:sz w:val="21"/>
          <w:szCs w:val="21"/>
        </w:rPr>
        <w:t>iné daňové nároky do budúcich období.</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440"/>
        <w:jc w:val="both"/>
        <w:rPr>
          <w:i/>
          <w:sz w:val="21"/>
          <w:szCs w:val="21"/>
        </w:rPr>
      </w:pPr>
      <w:r w:rsidRPr="00D01229">
        <w:rPr>
          <w:i/>
          <w:sz w:val="21"/>
          <w:szCs w:val="21"/>
        </w:rPr>
        <w:t>Výdavky budúcich období a</w:t>
      </w:r>
      <w:r w:rsidR="00AF2B36" w:rsidRPr="00D01229">
        <w:rPr>
          <w:i/>
          <w:sz w:val="21"/>
          <w:szCs w:val="21"/>
        </w:rPr>
        <w:t> </w:t>
      </w:r>
      <w:r w:rsidRPr="00D01229">
        <w:rPr>
          <w:i/>
          <w:sz w:val="21"/>
          <w:szCs w:val="21"/>
        </w:rPr>
        <w:t>výnosy budúcich období</w:t>
      </w:r>
    </w:p>
    <w:p w:rsidR="00CB66F1" w:rsidRPr="000D2186" w:rsidRDefault="00CB66F1" w:rsidP="00D01229">
      <w:pPr>
        <w:ind w:left="360"/>
        <w:jc w:val="both"/>
        <w:rPr>
          <w:sz w:val="21"/>
          <w:szCs w:val="21"/>
        </w:rPr>
      </w:pPr>
      <w:r w:rsidRPr="000D2186">
        <w:rPr>
          <w:sz w:val="21"/>
          <w:szCs w:val="21"/>
        </w:rPr>
        <w:t>Výdavky budúcich období a</w:t>
      </w:r>
      <w:r w:rsidR="00AF2B36">
        <w:rPr>
          <w:sz w:val="21"/>
          <w:szCs w:val="21"/>
        </w:rPr>
        <w:t> </w:t>
      </w:r>
      <w:r w:rsidRPr="000D2186">
        <w:rPr>
          <w:sz w:val="21"/>
          <w:szCs w:val="21"/>
        </w:rPr>
        <w:t>výnosy budúcich období sa vykazujú vo výške, ktorá je potrebná na dodržanie zásady vecnej a</w:t>
      </w:r>
      <w:r w:rsidR="00AF2B36">
        <w:rPr>
          <w:sz w:val="21"/>
          <w:szCs w:val="21"/>
        </w:rPr>
        <w:t> </w:t>
      </w:r>
      <w:r w:rsidRPr="000D2186">
        <w:rPr>
          <w:sz w:val="21"/>
          <w:szCs w:val="21"/>
        </w:rPr>
        <w:t>časovej súvislosti s</w:t>
      </w:r>
      <w:r w:rsidR="00AF2B36">
        <w:rPr>
          <w:sz w:val="21"/>
          <w:szCs w:val="21"/>
        </w:rPr>
        <w:t> </w:t>
      </w:r>
      <w:r w:rsidRPr="000D2186">
        <w:rPr>
          <w:sz w:val="21"/>
          <w:szCs w:val="21"/>
        </w:rPr>
        <w:t>účtovným obdobím.</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Emisné kvóty</w:t>
      </w:r>
    </w:p>
    <w:p w:rsidR="00CB66F1" w:rsidRPr="000D2186" w:rsidRDefault="00CB66F1" w:rsidP="00D01229">
      <w:pPr>
        <w:ind w:left="360"/>
        <w:jc w:val="both"/>
        <w:rPr>
          <w:sz w:val="21"/>
          <w:szCs w:val="21"/>
        </w:rPr>
      </w:pPr>
      <w:r w:rsidRPr="000D2186">
        <w:rPr>
          <w:sz w:val="21"/>
          <w:szCs w:val="21"/>
        </w:rPr>
        <w:t>Bezodplatne pripísaný proporčný podiel emisných kvót v</w:t>
      </w:r>
      <w:r w:rsidR="00AF2B36">
        <w:rPr>
          <w:sz w:val="21"/>
          <w:szCs w:val="21"/>
        </w:rPr>
        <w:t> </w:t>
      </w:r>
      <w:r w:rsidRPr="000D2186">
        <w:rPr>
          <w:sz w:val="21"/>
          <w:szCs w:val="21"/>
        </w:rPr>
        <w:t>ocenení reprodukčnou obstarávacou cenou sa účtuje v</w:t>
      </w:r>
      <w:r w:rsidR="00AF2B36">
        <w:rPr>
          <w:sz w:val="21"/>
          <w:szCs w:val="21"/>
        </w:rPr>
        <w:t> </w:t>
      </w:r>
      <w:r w:rsidRPr="000D2186">
        <w:rPr>
          <w:sz w:val="21"/>
          <w:szCs w:val="21"/>
        </w:rPr>
        <w:t xml:space="preserve">prospech výnosov budúcich období.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Zúčtovanie výnosov budúcich období sa uskutočňuje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použitím bezodplatne pripísaných emisných kvót z</w:t>
      </w:r>
      <w:r w:rsidR="00AF2B36">
        <w:rPr>
          <w:sz w:val="21"/>
          <w:szCs w:val="21"/>
        </w:rPr>
        <w:t> </w:t>
      </w:r>
      <w:r w:rsidRPr="000D2186">
        <w:rPr>
          <w:sz w:val="21"/>
          <w:szCs w:val="21"/>
        </w:rPr>
        <w:t>dôvodu ich predaja alebo tvorby rezervy alebo splnenia povinnosti odovzdania emisných kvót.</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Dotácie zo štátneho rozpočtu</w:t>
      </w:r>
    </w:p>
    <w:p w:rsidR="00CB66F1" w:rsidRPr="000D2186" w:rsidRDefault="00D01229" w:rsidP="00D01229">
      <w:pPr>
        <w:ind w:left="330"/>
        <w:jc w:val="both"/>
        <w:rPr>
          <w:sz w:val="21"/>
          <w:szCs w:val="21"/>
        </w:rPr>
      </w:pPr>
      <w:r>
        <w:rPr>
          <w:sz w:val="21"/>
          <w:szCs w:val="21"/>
        </w:rPr>
        <w:t xml:space="preserve">O </w:t>
      </w:r>
      <w:r w:rsidR="00CB66F1" w:rsidRPr="000D2186">
        <w:rPr>
          <w:sz w:val="21"/>
          <w:szCs w:val="21"/>
        </w:rPr>
        <w:t>nároku na dotácie zo štátneho rozpočtu sa účtuje, ak je takmer isté, že na základe splnených podmienok na poskytnutie dotácie sa Spoločnosti daná dotácia poskytne.</w:t>
      </w:r>
    </w:p>
    <w:p w:rsidR="00CB66F1" w:rsidRPr="000D2186" w:rsidRDefault="00CB66F1" w:rsidP="00D01229">
      <w:pPr>
        <w:ind w:left="360"/>
        <w:jc w:val="both"/>
        <w:rPr>
          <w:sz w:val="21"/>
          <w:szCs w:val="21"/>
        </w:rPr>
      </w:pPr>
      <w:r w:rsidRPr="000D2186">
        <w:rPr>
          <w:sz w:val="21"/>
          <w:szCs w:val="21"/>
        </w:rPr>
        <w:t>Dotácie na hospodársku činnosť Spoločnosti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ako výnosy z</w:t>
      </w:r>
      <w:r w:rsidR="00AF2B36">
        <w:rPr>
          <w:sz w:val="21"/>
          <w:szCs w:val="21"/>
        </w:rPr>
        <w:t> </w:t>
      </w:r>
      <w:r w:rsidRPr="000D2186">
        <w:rPr>
          <w:sz w:val="21"/>
          <w:szCs w:val="21"/>
        </w:rPr>
        <w:t>hospodárskej činnosti v</w:t>
      </w:r>
      <w:r w:rsidR="00AF2B36">
        <w:rPr>
          <w:sz w:val="21"/>
          <w:szCs w:val="21"/>
        </w:rPr>
        <w:t> </w:t>
      </w:r>
      <w:r w:rsidRPr="000D2186">
        <w:rPr>
          <w:sz w:val="21"/>
          <w:szCs w:val="21"/>
        </w:rPr>
        <w:t>časovej a</w:t>
      </w:r>
      <w:r w:rsidR="00AF2B36">
        <w:rPr>
          <w:sz w:val="21"/>
          <w:szCs w:val="21"/>
        </w:rPr>
        <w:t> </w:t>
      </w:r>
      <w:r w:rsidRPr="000D2186">
        <w:rPr>
          <w:sz w:val="21"/>
          <w:szCs w:val="21"/>
        </w:rPr>
        <w:t>vecnej súvislosti s</w:t>
      </w:r>
      <w:r w:rsidR="00AF2B36">
        <w:rPr>
          <w:sz w:val="21"/>
          <w:szCs w:val="21"/>
        </w:rPr>
        <w:t> </w:t>
      </w:r>
      <w:r w:rsidRPr="000D2186">
        <w:rPr>
          <w:sz w:val="21"/>
          <w:szCs w:val="21"/>
        </w:rPr>
        <w:t>vynaložením nákladov na príslušný účel.</w:t>
      </w:r>
    </w:p>
    <w:p w:rsidR="00CB66F1" w:rsidRDefault="00CB66F1" w:rsidP="00D01229">
      <w:pPr>
        <w:ind w:left="360"/>
        <w:jc w:val="both"/>
        <w:rPr>
          <w:sz w:val="21"/>
          <w:szCs w:val="21"/>
        </w:rPr>
      </w:pPr>
      <w:r w:rsidRPr="000D2186">
        <w:rPr>
          <w:sz w:val="21"/>
          <w:szCs w:val="21"/>
        </w:rPr>
        <w:t>Dotácie na obstaranie dlhodobého hmotného majetku a</w:t>
      </w:r>
      <w:r w:rsidR="00AF2B36">
        <w:rPr>
          <w:sz w:val="21"/>
          <w:szCs w:val="21"/>
        </w:rPr>
        <w:t> </w:t>
      </w:r>
      <w:r w:rsidRPr="000D2186">
        <w:rPr>
          <w:sz w:val="21"/>
          <w:szCs w:val="21"/>
        </w:rPr>
        <w:t>dlhodobého nehmotného majetku sa najskôr vykazujú ako výnosy budúcich období a</w:t>
      </w:r>
      <w:r w:rsidR="00AF2B36">
        <w:rPr>
          <w:sz w:val="21"/>
          <w:szCs w:val="21"/>
        </w:rPr>
        <w:t> </w:t>
      </w:r>
      <w:r w:rsidRPr="000D2186">
        <w:rPr>
          <w:sz w:val="21"/>
          <w:szCs w:val="21"/>
        </w:rPr>
        <w:t>do výkazu ziskov a</w:t>
      </w:r>
      <w:r w:rsidR="00AF2B36">
        <w:rPr>
          <w:sz w:val="21"/>
          <w:szCs w:val="21"/>
        </w:rPr>
        <w:t> </w:t>
      </w:r>
      <w:r w:rsidRPr="000D2186">
        <w:rPr>
          <w:sz w:val="21"/>
          <w:szCs w:val="21"/>
        </w:rPr>
        <w:t>strát sa rozpúšťajú v</w:t>
      </w:r>
      <w:r w:rsidR="00AF2B36">
        <w:rPr>
          <w:sz w:val="21"/>
          <w:szCs w:val="21"/>
        </w:rPr>
        <w:t> </w:t>
      </w:r>
      <w:r w:rsidRPr="000D2186">
        <w:rPr>
          <w:sz w:val="21"/>
          <w:szCs w:val="21"/>
        </w:rPr>
        <w:t>časovej a</w:t>
      </w:r>
      <w:r w:rsidR="00AF2B36">
        <w:rPr>
          <w:sz w:val="21"/>
          <w:szCs w:val="21"/>
        </w:rPr>
        <w:t> </w:t>
      </w:r>
      <w:r w:rsidRPr="000D2186">
        <w:rPr>
          <w:sz w:val="21"/>
          <w:szCs w:val="21"/>
        </w:rPr>
        <w:t>vecnej súvislosti so zaúčtovaním odpisov z</w:t>
      </w:r>
      <w:r w:rsidR="00AF2B36">
        <w:rPr>
          <w:sz w:val="21"/>
          <w:szCs w:val="21"/>
        </w:rPr>
        <w:t> </w:t>
      </w:r>
      <w:r w:rsidRPr="000D2186">
        <w:rPr>
          <w:sz w:val="21"/>
          <w:szCs w:val="21"/>
        </w:rPr>
        <w:t xml:space="preserve">tohto dlhodobého majetku. </w:t>
      </w:r>
    </w:p>
    <w:p w:rsidR="00D01229" w:rsidRDefault="00D01229" w:rsidP="00D01229">
      <w:pPr>
        <w:ind w:left="360"/>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Prenájom (lízing)</w:t>
      </w:r>
    </w:p>
    <w:p w:rsidR="00CB66F1" w:rsidRPr="000D2186" w:rsidRDefault="00CB66F1" w:rsidP="00D01229">
      <w:pPr>
        <w:ind w:left="360"/>
        <w:jc w:val="both"/>
        <w:rPr>
          <w:sz w:val="21"/>
          <w:szCs w:val="21"/>
        </w:rPr>
      </w:pPr>
      <w:r w:rsidRPr="000D2186">
        <w:rPr>
          <w:sz w:val="21"/>
          <w:szCs w:val="21"/>
        </w:rPr>
        <w:t>Operatívny prenájom. Majetok prenajatý na základe operatívneho prenájmu vykazuje ako svoj majetok jeho vlastník, nie nájomca.</w:t>
      </w:r>
    </w:p>
    <w:p w:rsidR="00CB66F1" w:rsidRPr="000D2186" w:rsidRDefault="00CB66F1" w:rsidP="00D01229">
      <w:pPr>
        <w:jc w:val="both"/>
        <w:rPr>
          <w:sz w:val="21"/>
          <w:szCs w:val="21"/>
        </w:rPr>
      </w:pPr>
    </w:p>
    <w:p w:rsidR="00CB66F1" w:rsidRDefault="00CB66F1" w:rsidP="00D01229">
      <w:pPr>
        <w:ind w:left="360"/>
        <w:jc w:val="both"/>
        <w:rPr>
          <w:sz w:val="21"/>
          <w:szCs w:val="21"/>
        </w:rPr>
      </w:pPr>
      <w:r w:rsidRPr="000D2186">
        <w:rPr>
          <w:sz w:val="21"/>
          <w:szCs w:val="21"/>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48 a"/>
        </w:smartTagPr>
        <w:r w:rsidRPr="000D2186">
          <w:rPr>
            <w:sz w:val="21"/>
            <w:szCs w:val="21"/>
          </w:rPr>
          <w:t>2004 a</w:t>
        </w:r>
      </w:smartTag>
      <w:r w:rsidR="00AF2B36">
        <w:rPr>
          <w:sz w:val="21"/>
          <w:szCs w:val="21"/>
        </w:rPr>
        <w:t> </w:t>
      </w:r>
      <w:r w:rsidRPr="000D2186">
        <w:rPr>
          <w:sz w:val="21"/>
          <w:szCs w:val="21"/>
        </w:rPr>
        <w:t>neskôr vykazuje ako svoj majetok jeho nájomca, nie vlastník.</w:t>
      </w:r>
    </w:p>
    <w:p w:rsidR="00D01229" w:rsidRPr="000D2186" w:rsidRDefault="00D01229" w:rsidP="00D01229">
      <w:pPr>
        <w:ind w:left="360"/>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Deriváty</w:t>
      </w:r>
    </w:p>
    <w:p w:rsidR="00CB66F1" w:rsidRPr="000D2186" w:rsidRDefault="00CB66F1" w:rsidP="00D01229">
      <w:pPr>
        <w:ind w:left="360"/>
        <w:jc w:val="both"/>
        <w:rPr>
          <w:sz w:val="21"/>
          <w:szCs w:val="21"/>
        </w:rPr>
      </w:pPr>
      <w:r w:rsidRPr="000D2186">
        <w:rPr>
          <w:sz w:val="21"/>
          <w:szCs w:val="21"/>
        </w:rPr>
        <w:t>Deriváty sa oceňujú reálnou hodnotou.</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zabezpečovacích derivátov sa účtujú bez vplyvu na výsledok hospodárenia, priamo do vlastného imania.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derivátov určených na obchodovanie na tuzemskej burze, zahraničnej burze alebo na inom verejnom trhu sa účtujú s</w:t>
      </w:r>
      <w:r w:rsidR="00AF2B36">
        <w:rPr>
          <w:sz w:val="21"/>
          <w:szCs w:val="21"/>
        </w:rPr>
        <w:t> </w:t>
      </w:r>
      <w:r w:rsidRPr="000D2186">
        <w:rPr>
          <w:sz w:val="21"/>
          <w:szCs w:val="21"/>
        </w:rPr>
        <w:t>vplyvom na výsledok hospodárenia.</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Zmeny reálnych hodnôt derivátov určených na obchodovanie na neverejnom trhu sa účtujú bez vplyvu na výsledok hospodárenia, priamo do vlastného imania.</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Majetok a</w:t>
      </w:r>
      <w:r w:rsidR="00AF2B36" w:rsidRPr="00D01229">
        <w:rPr>
          <w:i/>
          <w:sz w:val="21"/>
          <w:szCs w:val="21"/>
        </w:rPr>
        <w:t> </w:t>
      </w:r>
      <w:r w:rsidRPr="00D01229">
        <w:rPr>
          <w:i/>
          <w:sz w:val="21"/>
          <w:szCs w:val="21"/>
        </w:rPr>
        <w:t>záväzky zabezpečené derivátmi</w:t>
      </w: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zabezpečené derivátmi sa oceňujú reálnou hodnotou. Zmeny reálnych hodnôt majetku a</w:t>
      </w:r>
      <w:r w:rsidR="00AF2B36">
        <w:rPr>
          <w:sz w:val="21"/>
          <w:szCs w:val="21"/>
        </w:rPr>
        <w:t> </w:t>
      </w:r>
      <w:r w:rsidRPr="000D2186">
        <w:rPr>
          <w:sz w:val="21"/>
          <w:szCs w:val="21"/>
        </w:rPr>
        <w:t xml:space="preserve">záväzkov zabezpečených derivátmi sa účtujú bez vplyvu na výsledok hospodárenia, priamo do vlastného imania. </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hanging="330"/>
        <w:jc w:val="both"/>
        <w:rPr>
          <w:i/>
          <w:sz w:val="21"/>
          <w:szCs w:val="21"/>
        </w:rPr>
      </w:pPr>
      <w:r w:rsidRPr="00D01229">
        <w:rPr>
          <w:i/>
          <w:sz w:val="21"/>
          <w:szCs w:val="21"/>
        </w:rPr>
        <w:t>Cudzia mena</w:t>
      </w: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sa ku dňu uskutočnenia účtovného prípadu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Majetok a</w:t>
      </w:r>
      <w:r w:rsidR="00AF2B36">
        <w:rPr>
          <w:sz w:val="21"/>
          <w:szCs w:val="21"/>
        </w:rPr>
        <w:t> </w:t>
      </w:r>
      <w:r w:rsidRPr="000D2186">
        <w:rPr>
          <w:sz w:val="21"/>
          <w:szCs w:val="21"/>
        </w:rPr>
        <w:t>záväzky vyjadrené v</w:t>
      </w:r>
      <w:r w:rsidR="00AF2B36">
        <w:rPr>
          <w:sz w:val="21"/>
          <w:szCs w:val="21"/>
        </w:rPr>
        <w:t> </w:t>
      </w:r>
      <w:r w:rsidRPr="000D2186">
        <w:rPr>
          <w:sz w:val="21"/>
          <w:szCs w:val="21"/>
        </w:rPr>
        <w:t>cudzej mene (okrem prijatých a</w:t>
      </w:r>
      <w:r w:rsidR="00AF2B36">
        <w:rPr>
          <w:sz w:val="21"/>
          <w:szCs w:val="21"/>
        </w:rPr>
        <w:t> </w:t>
      </w:r>
      <w:r w:rsidRPr="000D2186">
        <w:rPr>
          <w:sz w:val="21"/>
          <w:szCs w:val="21"/>
        </w:rPr>
        <w:t>poskytnutých preddavkov) sa ku dňu, ku ktorému sa zostavuje účtovná závierka,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deň, ku ktorému sa zostavuje účtovná závierka, a</w:t>
      </w:r>
      <w:r w:rsidR="00AF2B36">
        <w:rPr>
          <w:sz w:val="21"/>
          <w:szCs w:val="21"/>
        </w:rPr>
        <w:t> </w:t>
      </w:r>
      <w:r w:rsidRPr="000D2186">
        <w:rPr>
          <w:sz w:val="21"/>
          <w:szCs w:val="21"/>
        </w:rPr>
        <w:t>účtujú sa s</w:t>
      </w:r>
      <w:r w:rsidR="00AF2B36">
        <w:rPr>
          <w:sz w:val="21"/>
          <w:szCs w:val="21"/>
        </w:rPr>
        <w:t> </w:t>
      </w:r>
      <w:r w:rsidRPr="000D2186">
        <w:rPr>
          <w:sz w:val="21"/>
          <w:szCs w:val="21"/>
        </w:rPr>
        <w:t xml:space="preserve">vplyvom na výsledok hospodárenia.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prostredníctvom účtu vedeného v</w:t>
      </w:r>
      <w:r w:rsidR="00AF2B36">
        <w:rPr>
          <w:sz w:val="21"/>
          <w:szCs w:val="21"/>
        </w:rPr>
        <w:t> </w:t>
      </w:r>
      <w:r w:rsidRPr="000D2186">
        <w:rPr>
          <w:sz w:val="21"/>
          <w:szCs w:val="21"/>
        </w:rPr>
        <w:t>tejto cudzej mene sa prepočítavajú na menu euro referenčným výmenným kurzom určeným a</w:t>
      </w:r>
      <w:r w:rsidR="00AF2B36">
        <w:rPr>
          <w:sz w:val="21"/>
          <w:szCs w:val="21"/>
        </w:rPr>
        <w:t> </w:t>
      </w:r>
      <w:r w:rsidRPr="000D2186">
        <w:rPr>
          <w:sz w:val="21"/>
          <w:szCs w:val="21"/>
        </w:rPr>
        <w:t>vyhláseným Európskou centrálnou bankou alebo Národnou bankou Slovenska v</w:t>
      </w:r>
      <w:r w:rsidR="00AF2B36">
        <w:rPr>
          <w:sz w:val="21"/>
          <w:szCs w:val="21"/>
        </w:rPr>
        <w:t> </w:t>
      </w:r>
      <w:r w:rsidRPr="000D2186">
        <w:rPr>
          <w:sz w:val="21"/>
          <w:szCs w:val="21"/>
        </w:rPr>
        <w:t xml:space="preserve">deň predchádzajúci dňu uskutočnenia účtovného prípadu.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poskytnuté preddavky v</w:t>
      </w:r>
      <w:r w:rsidR="00AF2B36">
        <w:rPr>
          <w:sz w:val="21"/>
          <w:szCs w:val="21"/>
        </w:rPr>
        <w:t> </w:t>
      </w:r>
      <w:r w:rsidRPr="000D2186">
        <w:rPr>
          <w:sz w:val="21"/>
          <w:szCs w:val="21"/>
        </w:rPr>
        <w:t>cudzej mene na účet zriadený v</w:t>
      </w:r>
      <w:r w:rsidR="00AF2B36">
        <w:rPr>
          <w:sz w:val="21"/>
          <w:szCs w:val="21"/>
        </w:rPr>
        <w:t> </w:t>
      </w:r>
      <w:r w:rsidRPr="000D2186">
        <w:rPr>
          <w:sz w:val="21"/>
          <w:szCs w:val="21"/>
        </w:rPr>
        <w:t>eurách a</w:t>
      </w:r>
      <w:r w:rsidR="00AF2B36">
        <w:rPr>
          <w:sz w:val="21"/>
          <w:szCs w:val="21"/>
        </w:rPr>
        <w:t> </w:t>
      </w:r>
      <w:r w:rsidRPr="000D2186">
        <w:rPr>
          <w:sz w:val="21"/>
          <w:szCs w:val="21"/>
        </w:rPr>
        <w:t>z</w:t>
      </w:r>
      <w:r w:rsidR="00AF2B36">
        <w:rPr>
          <w:sz w:val="21"/>
          <w:szCs w:val="21"/>
        </w:rPr>
        <w:t> </w:t>
      </w:r>
      <w:r w:rsidRPr="000D2186">
        <w:rPr>
          <w:sz w:val="21"/>
          <w:szCs w:val="21"/>
        </w:rPr>
        <w:t>účtu zriadeného v</w:t>
      </w:r>
      <w:r w:rsidR="00AF2B36">
        <w:rPr>
          <w:sz w:val="21"/>
          <w:szCs w:val="21"/>
        </w:rPr>
        <w:t> </w:t>
      </w:r>
      <w:r w:rsidRPr="000D2186">
        <w:rPr>
          <w:sz w:val="21"/>
          <w:szCs w:val="21"/>
        </w:rPr>
        <w:t xml:space="preserve">eurách sa prepočítavajú na menu euro kurzom, za ktorý boli tieto hodnoty nakúpené alebo predané. </w:t>
      </w:r>
    </w:p>
    <w:p w:rsidR="00CB66F1" w:rsidRPr="000D2186" w:rsidRDefault="00CB66F1" w:rsidP="00D01229">
      <w:pPr>
        <w:jc w:val="both"/>
        <w:rPr>
          <w:sz w:val="21"/>
          <w:szCs w:val="21"/>
        </w:rPr>
      </w:pPr>
    </w:p>
    <w:p w:rsidR="00CB66F1" w:rsidRPr="000D2186" w:rsidRDefault="00CB66F1" w:rsidP="00D01229">
      <w:pPr>
        <w:ind w:left="360"/>
        <w:jc w:val="both"/>
        <w:rPr>
          <w:sz w:val="21"/>
          <w:szCs w:val="21"/>
        </w:rPr>
      </w:pPr>
      <w:r w:rsidRPr="000D2186">
        <w:rPr>
          <w:sz w:val="21"/>
          <w:szCs w:val="21"/>
        </w:rPr>
        <w:t>Prijaté a</w:t>
      </w:r>
      <w:r w:rsidR="00AF2B36">
        <w:rPr>
          <w:sz w:val="21"/>
          <w:szCs w:val="21"/>
        </w:rPr>
        <w:t> </w:t>
      </w:r>
      <w:r w:rsidRPr="000D2186">
        <w:rPr>
          <w:sz w:val="21"/>
          <w:szCs w:val="21"/>
        </w:rPr>
        <w:t xml:space="preserve">poskytnuté preddavky sa ku dňu, ku ktorému sa zostavuje účtovná závierka, na menu euro už neprepočítavajú. </w:t>
      </w:r>
    </w:p>
    <w:p w:rsidR="00CB66F1" w:rsidRPr="000D2186" w:rsidRDefault="00CB66F1" w:rsidP="00D01229">
      <w:pPr>
        <w:jc w:val="both"/>
        <w:rPr>
          <w:sz w:val="21"/>
          <w:szCs w:val="21"/>
        </w:rPr>
      </w:pPr>
    </w:p>
    <w:p w:rsidR="00CB66F1" w:rsidRPr="00D01229" w:rsidRDefault="00CB66F1" w:rsidP="0064307F">
      <w:pPr>
        <w:numPr>
          <w:ilvl w:val="0"/>
          <w:numId w:val="9"/>
        </w:numPr>
        <w:tabs>
          <w:tab w:val="clear" w:pos="1080"/>
          <w:tab w:val="num" w:pos="880"/>
        </w:tabs>
        <w:ind w:left="880"/>
        <w:jc w:val="both"/>
        <w:rPr>
          <w:i/>
          <w:sz w:val="21"/>
          <w:szCs w:val="21"/>
        </w:rPr>
      </w:pPr>
      <w:r w:rsidRPr="00D01229">
        <w:rPr>
          <w:i/>
          <w:sz w:val="21"/>
          <w:szCs w:val="21"/>
        </w:rPr>
        <w:t>Výnosy</w:t>
      </w:r>
    </w:p>
    <w:p w:rsidR="00CB66F1" w:rsidRDefault="00CB66F1" w:rsidP="00D01229">
      <w:pPr>
        <w:ind w:left="360"/>
        <w:jc w:val="both"/>
        <w:rPr>
          <w:sz w:val="21"/>
          <w:szCs w:val="21"/>
        </w:rPr>
      </w:pPr>
      <w:r w:rsidRPr="000D2186">
        <w:rPr>
          <w:sz w:val="21"/>
          <w:szCs w:val="21"/>
        </w:rPr>
        <w:t>Tržby za vlastné výkony a</w:t>
      </w:r>
      <w:r w:rsidR="00AF2B36">
        <w:rPr>
          <w:sz w:val="21"/>
          <w:szCs w:val="21"/>
        </w:rPr>
        <w:t> </w:t>
      </w:r>
      <w:r w:rsidRPr="000D2186">
        <w:rPr>
          <w:sz w:val="21"/>
          <w:szCs w:val="21"/>
        </w:rPr>
        <w:t>tovar neobsahujú daň z</w:t>
      </w:r>
      <w:r w:rsidR="00AF2B36">
        <w:rPr>
          <w:sz w:val="21"/>
          <w:szCs w:val="21"/>
        </w:rPr>
        <w:t> </w:t>
      </w:r>
      <w:r w:rsidRPr="000D2186">
        <w:rPr>
          <w:sz w:val="21"/>
          <w:szCs w:val="21"/>
        </w:rPr>
        <w:t>pridanej hodnoty. Sú tiež znížené o</w:t>
      </w:r>
      <w:r w:rsidR="00AF2B36">
        <w:rPr>
          <w:sz w:val="21"/>
          <w:szCs w:val="21"/>
        </w:rPr>
        <w:t> </w:t>
      </w:r>
      <w:r w:rsidRPr="000D2186">
        <w:rPr>
          <w:sz w:val="21"/>
          <w:szCs w:val="21"/>
        </w:rPr>
        <w:t>zľavy a</w:t>
      </w:r>
      <w:r w:rsidR="00AF2B36">
        <w:rPr>
          <w:sz w:val="21"/>
          <w:szCs w:val="21"/>
        </w:rPr>
        <w:t> </w:t>
      </w:r>
      <w:r w:rsidRPr="000D2186">
        <w:rPr>
          <w:sz w:val="21"/>
          <w:szCs w:val="21"/>
        </w:rPr>
        <w:t>zrážky (rabaty, bonusy, skontá, dobropisy a</w:t>
      </w:r>
      <w:r w:rsidR="00AF2B36">
        <w:rPr>
          <w:sz w:val="21"/>
          <w:szCs w:val="21"/>
        </w:rPr>
        <w:t> </w:t>
      </w:r>
      <w:r w:rsidRPr="000D2186">
        <w:rPr>
          <w:sz w:val="21"/>
          <w:szCs w:val="21"/>
        </w:rPr>
        <w:t>pod.), bez ohľadu na to, či zákazník mal vopred na zľavu nárok, alebo či ide o</w:t>
      </w:r>
      <w:r w:rsidR="00AF2B36">
        <w:rPr>
          <w:sz w:val="21"/>
          <w:szCs w:val="21"/>
        </w:rPr>
        <w:t> </w:t>
      </w:r>
      <w:r w:rsidRPr="000D2186">
        <w:rPr>
          <w:sz w:val="21"/>
          <w:szCs w:val="21"/>
        </w:rPr>
        <w:t>dodatočne uznanú zľavu.</w:t>
      </w:r>
    </w:p>
    <w:p w:rsidR="00CB66F1" w:rsidRDefault="00CB66F1" w:rsidP="006C2BCB">
      <w:pPr>
        <w:rPr>
          <w:sz w:val="21"/>
          <w:szCs w:val="21"/>
        </w:rPr>
      </w:pPr>
    </w:p>
    <w:p w:rsidR="00AC78F2" w:rsidRDefault="00AC78F2" w:rsidP="006C2BCB">
      <w:pPr>
        <w:rPr>
          <w:sz w:val="21"/>
          <w:szCs w:val="21"/>
        </w:rPr>
      </w:pPr>
    </w:p>
    <w:p w:rsidR="0015339A" w:rsidRDefault="0015339A" w:rsidP="006C2BCB">
      <w:pPr>
        <w:rPr>
          <w:sz w:val="21"/>
          <w:szCs w:val="21"/>
        </w:rPr>
      </w:pPr>
    </w:p>
    <w:p w:rsidR="00CB66F1" w:rsidRPr="00B1061F" w:rsidRDefault="002C7302" w:rsidP="0064307F">
      <w:pPr>
        <w:pStyle w:val="Odsekzoznamu"/>
        <w:numPr>
          <w:ilvl w:val="0"/>
          <w:numId w:val="10"/>
        </w:numPr>
        <w:jc w:val="center"/>
        <w:rPr>
          <w:b/>
          <w:caps/>
          <w:sz w:val="24"/>
        </w:rPr>
      </w:pPr>
      <w:r w:rsidRPr="00B1061F">
        <w:rPr>
          <w:b/>
          <w:caps/>
          <w:sz w:val="24"/>
        </w:rPr>
        <w:lastRenderedPageBreak/>
        <w:t>informácie, KTORÉ VYSVETĽUJÚ A DOPĹŇAJÚ SÚVAHU A VÝKAZ ZISKOV A</w:t>
      </w:r>
      <w:r w:rsidR="00B1061F">
        <w:rPr>
          <w:b/>
          <w:caps/>
          <w:sz w:val="24"/>
        </w:rPr>
        <w:t> </w:t>
      </w:r>
      <w:r w:rsidRPr="00B1061F">
        <w:rPr>
          <w:b/>
          <w:caps/>
          <w:sz w:val="24"/>
        </w:rPr>
        <w:t>STRÁT</w:t>
      </w:r>
    </w:p>
    <w:p w:rsidR="00B1061F" w:rsidRPr="00B1061F" w:rsidRDefault="00B1061F" w:rsidP="00B1061F">
      <w:pPr>
        <w:pStyle w:val="Odsekzoznamu"/>
        <w:ind w:left="1080"/>
        <w:rPr>
          <w:b/>
          <w:caps/>
          <w:sz w:val="24"/>
        </w:rPr>
      </w:pPr>
    </w:p>
    <w:p w:rsidR="00052F8B" w:rsidRPr="00D26E73" w:rsidRDefault="00052F8B" w:rsidP="00173144">
      <w:pPr>
        <w:pStyle w:val="Nadpiss1urovne"/>
      </w:pPr>
      <w:r w:rsidRPr="00D26E73">
        <w:t>Informácie o dlhodobom nehmotnom majetku</w:t>
      </w:r>
      <w:r w:rsidR="00B1061F">
        <w:t>, ktorým je goodwill alebo záporný goodwill</w:t>
      </w:r>
    </w:p>
    <w:p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rsidR="0095109B" w:rsidRPr="00D26E73" w:rsidRDefault="0095109B" w:rsidP="00C3790A">
      <w:pPr>
        <w:pStyle w:val="Nzov"/>
        <w:keepNext w:val="0"/>
        <w:spacing w:before="0" w:beforeAutospacing="0" w:after="0"/>
        <w:jc w:val="left"/>
        <w:rPr>
          <w:sz w:val="21"/>
          <w:szCs w:val="21"/>
        </w:rPr>
      </w:pPr>
    </w:p>
    <w:p w:rsidR="006C2BCB" w:rsidRDefault="00173144" w:rsidP="00173144">
      <w:pPr>
        <w:pStyle w:val="Nadpiss1urovne"/>
      </w:pPr>
      <w:r>
        <w:t>I</w:t>
      </w:r>
      <w:r w:rsidR="003D334A" w:rsidRPr="00D26E73">
        <w:t xml:space="preserve">nformácie </w:t>
      </w:r>
      <w:r w:rsidR="00B1061F">
        <w:t>o významných položkách derivátov, majetku a záväzkoch zabezpečených derivátmi</w:t>
      </w:r>
    </w:p>
    <w:p w:rsidR="00173144" w:rsidRDefault="00173144" w:rsidP="00173144">
      <w:pPr>
        <w:pStyle w:val="Nzov"/>
        <w:keepNext w:val="0"/>
        <w:spacing w:before="0" w:beforeAutospacing="0" w:after="0"/>
        <w:jc w:val="left"/>
        <w:rPr>
          <w:b w:val="0"/>
          <w:sz w:val="21"/>
          <w:szCs w:val="21"/>
        </w:rPr>
      </w:pPr>
      <w:r w:rsidRPr="00473AB7">
        <w:rPr>
          <w:b w:val="0"/>
          <w:sz w:val="21"/>
          <w:szCs w:val="21"/>
        </w:rPr>
        <w:t>ÚJ nemá obsahovú náplň.</w:t>
      </w:r>
    </w:p>
    <w:p w:rsidR="00E61CA5" w:rsidRDefault="00E61CA5" w:rsidP="00882E94">
      <w:pPr>
        <w:pStyle w:val="Nadpiss1urovne"/>
        <w:numPr>
          <w:ilvl w:val="0"/>
          <w:numId w:val="0"/>
        </w:numPr>
      </w:pPr>
    </w:p>
    <w:p w:rsidR="00E61CA5" w:rsidRPr="001D0DEF" w:rsidRDefault="00E61CA5" w:rsidP="00E61CA5">
      <w:pPr>
        <w:pStyle w:val="Nadpiss1urovne"/>
      </w:pPr>
      <w:r w:rsidRPr="001D0DEF">
        <w:t xml:space="preserve">Informácie </w:t>
      </w:r>
      <w:r w:rsidR="00B1061F">
        <w:t>o záväzkoch</w:t>
      </w:r>
    </w:p>
    <w:p w:rsidR="00B1061F" w:rsidRDefault="00B1061F" w:rsidP="0064307F">
      <w:pPr>
        <w:pStyle w:val="Odsekzoznamu"/>
        <w:numPr>
          <w:ilvl w:val="1"/>
          <w:numId w:val="1"/>
        </w:numPr>
        <w:rPr>
          <w:sz w:val="21"/>
          <w:szCs w:val="21"/>
        </w:rPr>
      </w:pPr>
      <w:r>
        <w:rPr>
          <w:sz w:val="21"/>
          <w:szCs w:val="21"/>
        </w:rPr>
        <w:t>Celková suma záväzkov so zostatkovou dobou splatnosti dlhšou ako päť rokov</w:t>
      </w:r>
    </w:p>
    <w:p w:rsidR="00517A7A" w:rsidRDefault="00882E94" w:rsidP="00B1061F">
      <w:pPr>
        <w:pStyle w:val="Odsekzoznamu"/>
        <w:rPr>
          <w:sz w:val="21"/>
          <w:szCs w:val="21"/>
        </w:rPr>
      </w:pPr>
      <w:r w:rsidRPr="00B1061F">
        <w:rPr>
          <w:sz w:val="21"/>
          <w:szCs w:val="21"/>
        </w:rPr>
        <w:t>ÚJ nemá obsahovú náplň.</w:t>
      </w:r>
    </w:p>
    <w:p w:rsidR="002D0934" w:rsidRDefault="002D0934" w:rsidP="00B1061F">
      <w:pPr>
        <w:pStyle w:val="Odsekzoznamu"/>
        <w:rPr>
          <w:sz w:val="21"/>
          <w:szCs w:val="21"/>
        </w:rPr>
      </w:pPr>
    </w:p>
    <w:p w:rsidR="00B1061F" w:rsidRDefault="00B1061F" w:rsidP="0064307F">
      <w:pPr>
        <w:pStyle w:val="Odsekzoznamu"/>
        <w:numPr>
          <w:ilvl w:val="1"/>
          <w:numId w:val="1"/>
        </w:numPr>
        <w:rPr>
          <w:sz w:val="21"/>
          <w:szCs w:val="21"/>
        </w:rPr>
      </w:pPr>
      <w:r>
        <w:rPr>
          <w:sz w:val="21"/>
          <w:szCs w:val="21"/>
        </w:rPr>
        <w:t>Celková suma zabezpečených záväzkov, opise a spôsoboch zabezpečenia záväzkov</w:t>
      </w:r>
    </w:p>
    <w:p w:rsidR="00B1061F" w:rsidRDefault="00B1061F" w:rsidP="00B1061F">
      <w:pPr>
        <w:pStyle w:val="Odsekzoznamu"/>
        <w:rPr>
          <w:sz w:val="21"/>
          <w:szCs w:val="21"/>
        </w:rPr>
      </w:pPr>
      <w:r w:rsidRPr="00B1061F">
        <w:rPr>
          <w:sz w:val="21"/>
          <w:szCs w:val="21"/>
        </w:rPr>
        <w:t>ÚJ nemá obsahovú náplň.</w:t>
      </w:r>
    </w:p>
    <w:p w:rsidR="0015339A" w:rsidRPr="00B1061F" w:rsidRDefault="0015339A" w:rsidP="00B1061F">
      <w:pPr>
        <w:pStyle w:val="Odsekzoznamu"/>
        <w:rPr>
          <w:sz w:val="21"/>
          <w:szCs w:val="21"/>
        </w:rPr>
      </w:pPr>
    </w:p>
    <w:p w:rsidR="001D0DEF" w:rsidRPr="001D0DEF" w:rsidRDefault="001D0DEF" w:rsidP="001D0DEF">
      <w:pPr>
        <w:pStyle w:val="Nadpiss1urovne"/>
      </w:pPr>
      <w:r w:rsidRPr="001D0DEF">
        <w:t xml:space="preserve">Informácie </w:t>
      </w:r>
      <w:r w:rsidR="00B1061F">
        <w:t>o vlastných akciách</w:t>
      </w:r>
      <w:r w:rsidRPr="001D0DEF">
        <w:rPr>
          <w:sz w:val="20"/>
          <w:szCs w:val="22"/>
        </w:rPr>
        <w:t xml:space="preserve">  </w:t>
      </w:r>
    </w:p>
    <w:p w:rsidR="001D0DEF" w:rsidRPr="001D0DEF" w:rsidRDefault="001D0DEF" w:rsidP="00B1061F">
      <w:pPr>
        <w:pStyle w:val="Nadpiss1urovne"/>
        <w:numPr>
          <w:ilvl w:val="0"/>
          <w:numId w:val="0"/>
        </w:numPr>
        <w:ind w:firstLine="360"/>
        <w:rPr>
          <w:b w:val="0"/>
        </w:rPr>
      </w:pPr>
      <w:r w:rsidRPr="001D0DEF">
        <w:rPr>
          <w:b w:val="0"/>
        </w:rPr>
        <w:t>ÚJ nemá obsahovú náplň.</w:t>
      </w:r>
    </w:p>
    <w:p w:rsidR="001D0DEF" w:rsidRPr="001D0DEF" w:rsidRDefault="001D0DEF" w:rsidP="001D0DEF">
      <w:pPr>
        <w:tabs>
          <w:tab w:val="left" w:pos="915"/>
        </w:tabs>
        <w:rPr>
          <w:sz w:val="21"/>
          <w:szCs w:val="21"/>
        </w:rPr>
      </w:pPr>
      <w:r w:rsidRPr="001D0DEF">
        <w:rPr>
          <w:sz w:val="21"/>
          <w:szCs w:val="21"/>
        </w:rPr>
        <w:tab/>
      </w:r>
    </w:p>
    <w:p w:rsidR="001D0DEF" w:rsidRPr="001D0DEF" w:rsidRDefault="00B1061F" w:rsidP="001D0DEF">
      <w:pPr>
        <w:pStyle w:val="Nadpiss1urovne"/>
      </w:pPr>
      <w:r>
        <w:t>Informácie o sume a dôvodoch vzniku jednotlivých položiek nákladov alebo výnosov, ktoré majú výnimočný rozsah alebo výskyt</w:t>
      </w:r>
    </w:p>
    <w:p w:rsidR="001D0DEF" w:rsidRDefault="001D0DEF" w:rsidP="00B1061F">
      <w:pPr>
        <w:pStyle w:val="Nzov"/>
        <w:keepNext w:val="0"/>
        <w:spacing w:before="0" w:beforeAutospacing="0" w:after="0"/>
        <w:ind w:firstLine="360"/>
        <w:jc w:val="left"/>
        <w:rPr>
          <w:b w:val="0"/>
          <w:sz w:val="21"/>
          <w:szCs w:val="21"/>
        </w:rPr>
      </w:pPr>
      <w:r w:rsidRPr="001D0DEF">
        <w:rPr>
          <w:b w:val="0"/>
          <w:sz w:val="21"/>
          <w:szCs w:val="21"/>
        </w:rPr>
        <w:t>ÚJ nemá obsahovú náplň.</w:t>
      </w:r>
    </w:p>
    <w:p w:rsidR="00B1061F" w:rsidRPr="00B1061F" w:rsidRDefault="00B1061F" w:rsidP="00B1061F"/>
    <w:p w:rsidR="00E85BA8" w:rsidRPr="00B1061F" w:rsidRDefault="00E85BA8" w:rsidP="0064307F">
      <w:pPr>
        <w:pStyle w:val="Odsekzoznamu"/>
        <w:numPr>
          <w:ilvl w:val="0"/>
          <w:numId w:val="10"/>
        </w:numPr>
        <w:jc w:val="center"/>
        <w:rPr>
          <w:b/>
          <w:caps/>
          <w:sz w:val="24"/>
        </w:rPr>
      </w:pPr>
      <w:r w:rsidRPr="00B1061F">
        <w:rPr>
          <w:b/>
          <w:caps/>
          <w:sz w:val="24"/>
        </w:rPr>
        <w:t>informácie o</w:t>
      </w:r>
      <w:r w:rsidR="00B1061F">
        <w:rPr>
          <w:b/>
          <w:caps/>
          <w:sz w:val="24"/>
        </w:rPr>
        <w:t> INÝCH AKTÍVACH a INÝCH PASÍVACH</w:t>
      </w:r>
    </w:p>
    <w:p w:rsidR="00B1061F" w:rsidRDefault="00B1061F" w:rsidP="00B1061F">
      <w:pPr>
        <w:pStyle w:val="Nzov"/>
        <w:keepNext w:val="0"/>
        <w:spacing w:before="0" w:beforeAutospacing="0" w:after="0"/>
        <w:jc w:val="left"/>
        <w:rPr>
          <w:b w:val="0"/>
          <w:sz w:val="21"/>
          <w:szCs w:val="21"/>
        </w:rPr>
      </w:pPr>
    </w:p>
    <w:p w:rsidR="00B1061F" w:rsidRPr="0015339A" w:rsidRDefault="00B1061F" w:rsidP="0015339A">
      <w:pPr>
        <w:pStyle w:val="Nadpiss1urovne"/>
        <w:numPr>
          <w:ilvl w:val="0"/>
          <w:numId w:val="0"/>
        </w:numPr>
        <w:ind w:left="360"/>
        <w:rPr>
          <w:b w:val="0"/>
        </w:rPr>
      </w:pPr>
      <w:r w:rsidRPr="0015339A">
        <w:rPr>
          <w:b w:val="0"/>
        </w:rPr>
        <w:t>ÚJ nemá obsahovú náplň.</w:t>
      </w:r>
    </w:p>
    <w:p w:rsidR="000D520D" w:rsidRDefault="000D520D" w:rsidP="000D520D">
      <w:pPr>
        <w:pStyle w:val="Nadpiss1urovne"/>
        <w:numPr>
          <w:ilvl w:val="0"/>
          <w:numId w:val="0"/>
        </w:numPr>
      </w:pPr>
    </w:p>
    <w:p w:rsidR="002D0934" w:rsidRPr="000D520D" w:rsidRDefault="002D0934" w:rsidP="000D520D">
      <w:pPr>
        <w:pStyle w:val="Nadpiss1urovne"/>
        <w:numPr>
          <w:ilvl w:val="0"/>
          <w:numId w:val="0"/>
        </w:numPr>
      </w:pPr>
    </w:p>
    <w:p w:rsidR="00FB5566" w:rsidRDefault="002D0934" w:rsidP="00FB5566">
      <w:pPr>
        <w:jc w:val="center"/>
        <w:rPr>
          <w:b/>
          <w:caps/>
          <w:sz w:val="24"/>
        </w:rPr>
      </w:pPr>
      <w:r>
        <w:rPr>
          <w:b/>
          <w:caps/>
          <w:sz w:val="24"/>
        </w:rPr>
        <w:t>VI</w:t>
      </w:r>
      <w:r w:rsidR="00FB5566">
        <w:rPr>
          <w:b/>
          <w:caps/>
          <w:sz w:val="24"/>
        </w:rPr>
        <w:t xml:space="preserve">. </w:t>
      </w:r>
      <w:r>
        <w:rPr>
          <w:b/>
          <w:caps/>
          <w:sz w:val="24"/>
        </w:rPr>
        <w:t>UDALOSTI, KTORÉ NASTALI PO DNI, KU KTORÉMU SA ZOSTAVUJE ÚZ</w:t>
      </w:r>
    </w:p>
    <w:p w:rsidR="002A4A5F" w:rsidRDefault="002A4A5F" w:rsidP="00FB5566">
      <w:pPr>
        <w:jc w:val="center"/>
        <w:rPr>
          <w:b/>
          <w:caps/>
          <w:sz w:val="24"/>
        </w:rPr>
      </w:pPr>
    </w:p>
    <w:p w:rsidR="002D0934" w:rsidRPr="0015339A" w:rsidRDefault="002D0934" w:rsidP="0015339A">
      <w:pPr>
        <w:pStyle w:val="Nadpiss1urovne"/>
        <w:numPr>
          <w:ilvl w:val="0"/>
          <w:numId w:val="0"/>
        </w:numPr>
        <w:ind w:left="360"/>
        <w:rPr>
          <w:b w:val="0"/>
        </w:rPr>
      </w:pPr>
      <w:r w:rsidRPr="0015339A">
        <w:rPr>
          <w:b w:val="0"/>
        </w:rPr>
        <w:t>ÚJ nemá obsahovú náplň.</w:t>
      </w:r>
    </w:p>
    <w:p w:rsidR="0051288C" w:rsidRDefault="0051288C" w:rsidP="007C1A90"/>
    <w:p w:rsidR="007C1A90" w:rsidRPr="002D0934" w:rsidRDefault="007C1A90" w:rsidP="0064307F">
      <w:pPr>
        <w:pStyle w:val="Odsekzoznamu"/>
        <w:numPr>
          <w:ilvl w:val="0"/>
          <w:numId w:val="11"/>
        </w:numPr>
        <w:jc w:val="center"/>
        <w:rPr>
          <w:b/>
          <w:caps/>
          <w:sz w:val="24"/>
        </w:rPr>
      </w:pPr>
      <w:r w:rsidRPr="002D0934">
        <w:rPr>
          <w:b/>
          <w:caps/>
          <w:sz w:val="24"/>
        </w:rPr>
        <w:t xml:space="preserve"> </w:t>
      </w:r>
      <w:r w:rsidR="002D0934" w:rsidRPr="002D0934">
        <w:rPr>
          <w:b/>
          <w:caps/>
          <w:sz w:val="24"/>
        </w:rPr>
        <w:t xml:space="preserve">OSTATNÉ </w:t>
      </w:r>
      <w:r w:rsidRPr="002D0934">
        <w:rPr>
          <w:b/>
          <w:caps/>
          <w:sz w:val="24"/>
        </w:rPr>
        <w:t>informácie</w:t>
      </w:r>
    </w:p>
    <w:p w:rsidR="002D0934" w:rsidRDefault="002D0934" w:rsidP="002D0934">
      <w:pPr>
        <w:pStyle w:val="Odsekzoznamu"/>
        <w:ind w:left="1080"/>
        <w:rPr>
          <w:b/>
          <w:caps/>
          <w:sz w:val="24"/>
        </w:rPr>
      </w:pPr>
    </w:p>
    <w:p w:rsidR="002D0934" w:rsidRPr="0015339A" w:rsidRDefault="002D0934" w:rsidP="0015339A">
      <w:pPr>
        <w:pStyle w:val="Nadpiss1urovne"/>
        <w:numPr>
          <w:ilvl w:val="0"/>
          <w:numId w:val="0"/>
        </w:numPr>
        <w:ind w:left="360"/>
        <w:rPr>
          <w:b w:val="0"/>
        </w:rPr>
      </w:pPr>
      <w:r w:rsidRPr="0015339A">
        <w:rPr>
          <w:b w:val="0"/>
        </w:rPr>
        <w:t>ÚJ nemá obsahovú náplň.</w:t>
      </w:r>
    </w:p>
    <w:sectPr w:rsidR="002D0934" w:rsidRPr="0015339A" w:rsidSect="00BD41D5">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815" w:rsidRPr="00D26E73" w:rsidRDefault="00920815" w:rsidP="008D6E2D">
      <w:pPr>
        <w:rPr>
          <w:sz w:val="21"/>
          <w:szCs w:val="21"/>
        </w:rPr>
      </w:pPr>
      <w:r w:rsidRPr="00D26E73">
        <w:rPr>
          <w:sz w:val="21"/>
          <w:szCs w:val="21"/>
        </w:rPr>
        <w:separator/>
      </w:r>
    </w:p>
    <w:p w:rsidR="00920815" w:rsidRPr="00D26E73" w:rsidRDefault="00920815">
      <w:pPr>
        <w:rPr>
          <w:sz w:val="21"/>
          <w:szCs w:val="21"/>
        </w:rPr>
      </w:pPr>
    </w:p>
  </w:endnote>
  <w:endnote w:type="continuationSeparator" w:id="0">
    <w:p w:rsidR="00920815" w:rsidRPr="00D26E73" w:rsidRDefault="00920815" w:rsidP="008D6E2D">
      <w:pPr>
        <w:rPr>
          <w:sz w:val="21"/>
          <w:szCs w:val="21"/>
        </w:rPr>
      </w:pPr>
      <w:r w:rsidRPr="00D26E73">
        <w:rPr>
          <w:sz w:val="21"/>
          <w:szCs w:val="21"/>
        </w:rPr>
        <w:continuationSeparator/>
      </w:r>
    </w:p>
    <w:p w:rsidR="00920815" w:rsidRPr="00D26E73" w:rsidRDefault="00920815">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7AC3" w:rsidRPr="00D26E73" w:rsidRDefault="00E77AC3"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4246EF">
      <w:rPr>
        <w:noProof/>
        <w:sz w:val="21"/>
        <w:szCs w:val="21"/>
      </w:rPr>
      <w:t>1</w:t>
    </w:r>
    <w:r w:rsidRPr="00D26E73">
      <w:rPr>
        <w:sz w:val="21"/>
        <w:szCs w:val="21"/>
      </w:rPr>
      <w:fldChar w:fldCharType="end"/>
    </w:r>
  </w:p>
  <w:p w:rsidR="00E77AC3" w:rsidRPr="00D26E73" w:rsidRDefault="00E77AC3">
    <w:pPr>
      <w:pStyle w:val="Pta"/>
      <w:rPr>
        <w:sz w:val="19"/>
        <w:szCs w:val="19"/>
      </w:rPr>
    </w:pPr>
  </w:p>
  <w:p w:rsidR="00E77AC3" w:rsidRPr="00D26E73" w:rsidRDefault="00E77AC3">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815" w:rsidRPr="00D26E73" w:rsidRDefault="00920815" w:rsidP="008D6E2D">
      <w:pPr>
        <w:rPr>
          <w:sz w:val="21"/>
          <w:szCs w:val="21"/>
        </w:rPr>
      </w:pPr>
      <w:r w:rsidRPr="00D26E73">
        <w:rPr>
          <w:sz w:val="21"/>
          <w:szCs w:val="21"/>
        </w:rPr>
        <w:separator/>
      </w:r>
    </w:p>
    <w:p w:rsidR="00920815" w:rsidRPr="00D26E73" w:rsidRDefault="00920815">
      <w:pPr>
        <w:rPr>
          <w:sz w:val="21"/>
          <w:szCs w:val="21"/>
        </w:rPr>
      </w:pPr>
    </w:p>
  </w:footnote>
  <w:footnote w:type="continuationSeparator" w:id="0">
    <w:p w:rsidR="00920815" w:rsidRPr="00D26E73" w:rsidRDefault="00920815" w:rsidP="008D6E2D">
      <w:pPr>
        <w:rPr>
          <w:sz w:val="21"/>
          <w:szCs w:val="21"/>
        </w:rPr>
      </w:pPr>
      <w:r w:rsidRPr="00D26E73">
        <w:rPr>
          <w:sz w:val="21"/>
          <w:szCs w:val="21"/>
        </w:rPr>
        <w:continuationSeparator/>
      </w:r>
    </w:p>
    <w:p w:rsidR="00920815" w:rsidRPr="00D26E73" w:rsidRDefault="00920815">
      <w:pPr>
        <w:rPr>
          <w:sz w:val="21"/>
          <w:szCs w:val="21"/>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AD7" w:rsidRDefault="00674AD7">
    <w:pPr>
      <w:pStyle w:val="Hlavika"/>
    </w:pPr>
    <w:r>
      <w:tab/>
    </w:r>
  </w:p>
  <w:tbl>
    <w:tblPr>
      <w:tblW w:w="3321" w:type="dxa"/>
      <w:tblInd w:w="5434" w:type="dxa"/>
      <w:tblCellMar>
        <w:left w:w="70" w:type="dxa"/>
        <w:right w:w="70" w:type="dxa"/>
      </w:tblCellMar>
      <w:tblLook w:val="04A0" w:firstRow="1" w:lastRow="0" w:firstColumn="1" w:lastColumn="0" w:noHBand="0" w:noVBand="1"/>
    </w:tblPr>
    <w:tblGrid>
      <w:gridCol w:w="461"/>
      <w:gridCol w:w="291"/>
      <w:gridCol w:w="291"/>
      <w:gridCol w:w="241"/>
      <w:gridCol w:w="291"/>
      <w:gridCol w:w="291"/>
      <w:gridCol w:w="291"/>
      <w:gridCol w:w="291"/>
      <w:gridCol w:w="291"/>
      <w:gridCol w:w="291"/>
      <w:gridCol w:w="291"/>
    </w:tblGrid>
    <w:tr w:rsidR="00674AD7" w:rsidRPr="003F477D" w:rsidTr="006734FD">
      <w:trPr>
        <w:trHeight w:val="360"/>
      </w:trPr>
      <w:tc>
        <w:tcPr>
          <w:tcW w:w="461" w:type="dxa"/>
          <w:tcBorders>
            <w:top w:val="nil"/>
            <w:left w:val="nil"/>
            <w:bottom w:val="nil"/>
            <w:right w:val="nil"/>
          </w:tcBorders>
          <w:noWrap/>
          <w:vAlign w:val="bottom"/>
          <w:hideMark/>
        </w:tcPr>
        <w:p w:rsidR="00674AD7" w:rsidRPr="003F477D" w:rsidRDefault="00674AD7" w:rsidP="00674AD7">
          <w:pPr>
            <w:jc w:val="right"/>
            <w:rPr>
              <w:color w:val="000000"/>
              <w:lang w:eastAsia="sk-SK"/>
            </w:rPr>
          </w:pPr>
          <w:r>
            <w:rPr>
              <w:color w:val="000000"/>
              <w:szCs w:val="22"/>
              <w:lang w:eastAsia="sk-SK"/>
            </w:rPr>
            <w:t>IČO</w:t>
          </w:r>
        </w:p>
      </w:tc>
      <w:tc>
        <w:tcPr>
          <w:tcW w:w="291" w:type="dxa"/>
          <w:tcBorders>
            <w:top w:val="single" w:sz="4" w:space="0" w:color="auto"/>
            <w:left w:val="single" w:sz="4" w:space="0" w:color="auto"/>
            <w:bottom w:val="single" w:sz="4" w:space="0" w:color="auto"/>
            <w:right w:val="single" w:sz="4" w:space="0" w:color="auto"/>
          </w:tcBorders>
          <w:noWrap/>
          <w:vAlign w:val="center"/>
        </w:tcPr>
        <w:p w:rsidR="00674AD7" w:rsidRPr="003F477D" w:rsidRDefault="004641DF" w:rsidP="00CE01AD">
          <w:pPr>
            <w:jc w:val="center"/>
            <w:rPr>
              <w:lang w:eastAsia="sk-SK"/>
            </w:rPr>
          </w:pPr>
          <w:r>
            <w:rPr>
              <w:lang w:eastAsia="sk-SK"/>
            </w:rPr>
            <w:t>4</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641DF" w:rsidP="00CE01AD">
          <w:pPr>
            <w:jc w:val="center"/>
            <w:rPr>
              <w:lang w:eastAsia="sk-SK"/>
            </w:rPr>
          </w:pPr>
          <w:r>
            <w:rPr>
              <w:lang w:eastAsia="sk-SK"/>
            </w:rPr>
            <w:t>6</w:t>
          </w:r>
        </w:p>
      </w:tc>
      <w:tc>
        <w:tcPr>
          <w:tcW w:w="241" w:type="dxa"/>
          <w:tcBorders>
            <w:top w:val="single" w:sz="4" w:space="0" w:color="auto"/>
            <w:left w:val="nil"/>
            <w:bottom w:val="single" w:sz="4" w:space="0" w:color="auto"/>
            <w:right w:val="single" w:sz="4" w:space="0" w:color="auto"/>
          </w:tcBorders>
          <w:noWrap/>
          <w:vAlign w:val="center"/>
        </w:tcPr>
        <w:p w:rsidR="00674AD7" w:rsidRPr="003F477D" w:rsidRDefault="004641DF" w:rsidP="00CE01AD">
          <w:pPr>
            <w:jc w:val="center"/>
            <w:rPr>
              <w:lang w:eastAsia="sk-SK"/>
            </w:rPr>
          </w:pPr>
          <w:r>
            <w:rPr>
              <w:lang w:eastAsia="sk-SK"/>
            </w:rPr>
            <w:t>0</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641DF" w:rsidP="00CE01AD">
          <w:pPr>
            <w:jc w:val="center"/>
            <w:rPr>
              <w:lang w:eastAsia="sk-SK"/>
            </w:rPr>
          </w:pPr>
          <w:r>
            <w:rPr>
              <w:lang w:eastAsia="sk-SK"/>
            </w:rPr>
            <w:t>5</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641DF" w:rsidP="004E3159">
          <w:pPr>
            <w:jc w:val="center"/>
            <w:rPr>
              <w:lang w:eastAsia="sk-SK"/>
            </w:rPr>
          </w:pPr>
          <w:r>
            <w:rPr>
              <w:lang w:eastAsia="sk-SK"/>
            </w:rPr>
            <w:t>4</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641DF" w:rsidP="00CE01AD">
          <w:pPr>
            <w:jc w:val="center"/>
            <w:rPr>
              <w:lang w:eastAsia="sk-SK"/>
            </w:rPr>
          </w:pPr>
          <w:r>
            <w:rPr>
              <w:lang w:eastAsia="sk-SK"/>
            </w:rPr>
            <w:t>6</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641DF" w:rsidP="00CE01AD">
          <w:pPr>
            <w:jc w:val="center"/>
            <w:rPr>
              <w:lang w:eastAsia="sk-SK"/>
            </w:rPr>
          </w:pPr>
          <w:r>
            <w:rPr>
              <w:lang w:eastAsia="sk-SK"/>
            </w:rPr>
            <w:t>6</w:t>
          </w:r>
        </w:p>
      </w:tc>
      <w:tc>
        <w:tcPr>
          <w:tcW w:w="291" w:type="dxa"/>
          <w:tcBorders>
            <w:top w:val="single" w:sz="4" w:space="0" w:color="auto"/>
            <w:left w:val="nil"/>
            <w:bottom w:val="single" w:sz="4" w:space="0" w:color="auto"/>
            <w:right w:val="single" w:sz="4" w:space="0" w:color="auto"/>
          </w:tcBorders>
          <w:noWrap/>
          <w:vAlign w:val="center"/>
        </w:tcPr>
        <w:p w:rsidR="00674AD7" w:rsidRPr="003F477D" w:rsidRDefault="004641DF" w:rsidP="00CE01AD">
          <w:pPr>
            <w:jc w:val="center"/>
            <w:rPr>
              <w:lang w:eastAsia="sk-SK"/>
            </w:rPr>
          </w:pPr>
          <w:r>
            <w:rPr>
              <w:lang w:eastAsia="sk-SK"/>
            </w:rPr>
            <w:t>9</w:t>
          </w:r>
        </w:p>
      </w:tc>
      <w:tc>
        <w:tcPr>
          <w:tcW w:w="291" w:type="dxa"/>
          <w:tcBorders>
            <w:left w:val="single" w:sz="4" w:space="0" w:color="auto"/>
          </w:tcBorders>
          <w:noWrap/>
          <w:vAlign w:val="center"/>
        </w:tcPr>
        <w:p w:rsidR="00674AD7" w:rsidRPr="003F477D" w:rsidRDefault="00674AD7" w:rsidP="00CE01AD">
          <w:pPr>
            <w:jc w:val="center"/>
            <w:rPr>
              <w:lang w:eastAsia="sk-SK"/>
            </w:rPr>
          </w:pPr>
        </w:p>
      </w:tc>
      <w:tc>
        <w:tcPr>
          <w:tcW w:w="291" w:type="dxa"/>
          <w:noWrap/>
          <w:vAlign w:val="center"/>
        </w:tcPr>
        <w:p w:rsidR="00674AD7" w:rsidRPr="003F477D" w:rsidRDefault="00674AD7" w:rsidP="00CE01AD">
          <w:pPr>
            <w:jc w:val="center"/>
            <w:rPr>
              <w:lang w:eastAsia="sk-SK"/>
            </w:rPr>
          </w:pPr>
        </w:p>
      </w:tc>
    </w:tr>
  </w:tbl>
  <w:p w:rsidR="00E77AC3" w:rsidRDefault="00674AD7">
    <w:pPr>
      <w:pStyle w:val="Hlavika"/>
    </w:pPr>
    <w:r>
      <w:tab/>
    </w:r>
  </w:p>
  <w:tbl>
    <w:tblPr>
      <w:tblW w:w="8924" w:type="dxa"/>
      <w:tblInd w:w="55" w:type="dxa"/>
      <w:tblCellMar>
        <w:left w:w="70" w:type="dxa"/>
        <w:right w:w="70" w:type="dxa"/>
      </w:tblCellMar>
      <w:tblLook w:val="04A0" w:firstRow="1" w:lastRow="0" w:firstColumn="1" w:lastColumn="0" w:noHBand="0" w:noVBand="1"/>
    </w:tblPr>
    <w:tblGrid>
      <w:gridCol w:w="2949"/>
      <w:gridCol w:w="2397"/>
      <w:gridCol w:w="483"/>
      <w:gridCol w:w="311"/>
      <w:gridCol w:w="311"/>
      <w:gridCol w:w="296"/>
      <w:gridCol w:w="311"/>
      <w:gridCol w:w="311"/>
      <w:gridCol w:w="311"/>
      <w:gridCol w:w="311"/>
      <w:gridCol w:w="311"/>
      <w:gridCol w:w="311"/>
      <w:gridCol w:w="311"/>
    </w:tblGrid>
    <w:tr w:rsidR="00674AD7" w:rsidRPr="003F477D" w:rsidTr="006734FD">
      <w:trPr>
        <w:trHeight w:val="204"/>
      </w:trPr>
      <w:tc>
        <w:tcPr>
          <w:tcW w:w="2949" w:type="dxa"/>
          <w:tcBorders>
            <w:top w:val="single" w:sz="4" w:space="0" w:color="auto"/>
            <w:left w:val="single" w:sz="4" w:space="0" w:color="auto"/>
            <w:bottom w:val="single" w:sz="4" w:space="0" w:color="auto"/>
            <w:right w:val="single" w:sz="4" w:space="0" w:color="000000"/>
          </w:tcBorders>
          <w:noWrap/>
          <w:vAlign w:val="bottom"/>
          <w:hideMark/>
        </w:tcPr>
        <w:p w:rsidR="00E77AC3" w:rsidRDefault="00E77AC3" w:rsidP="003B6F7D">
          <w:pPr>
            <w:rPr>
              <w:color w:val="000000"/>
              <w:lang w:eastAsia="sk-SK"/>
            </w:rPr>
          </w:pPr>
          <w:r w:rsidRPr="003F477D">
            <w:rPr>
              <w:color w:val="000000"/>
              <w:szCs w:val="22"/>
              <w:lang w:eastAsia="sk-SK"/>
            </w:rPr>
            <w:t>Poznámky Ú</w:t>
          </w:r>
          <w:r>
            <w:rPr>
              <w:color w:val="000000"/>
              <w:szCs w:val="22"/>
              <w:lang w:eastAsia="sk-SK"/>
            </w:rPr>
            <w:t>č POD</w:t>
          </w:r>
          <w:r w:rsidR="00A82FAB">
            <w:rPr>
              <w:color w:val="000000"/>
              <w:szCs w:val="22"/>
              <w:lang w:eastAsia="sk-SK"/>
            </w:rPr>
            <w:t>V</w:t>
          </w:r>
          <w:r>
            <w:rPr>
              <w:color w:val="000000"/>
              <w:szCs w:val="22"/>
              <w:lang w:eastAsia="sk-SK"/>
            </w:rPr>
            <w:t xml:space="preserve"> 3 – 01</w:t>
          </w:r>
        </w:p>
        <w:p w:rsidR="00E77AC3" w:rsidRPr="003F477D" w:rsidRDefault="00E77AC3" w:rsidP="003B6F7D">
          <w:pPr>
            <w:rPr>
              <w:color w:val="000000"/>
              <w:lang w:eastAsia="sk-SK"/>
            </w:rPr>
          </w:pPr>
        </w:p>
      </w:tc>
      <w:tc>
        <w:tcPr>
          <w:tcW w:w="2397" w:type="dxa"/>
          <w:tcBorders>
            <w:top w:val="nil"/>
            <w:left w:val="nil"/>
            <w:bottom w:val="nil"/>
            <w:right w:val="nil"/>
          </w:tcBorders>
          <w:noWrap/>
          <w:vAlign w:val="bottom"/>
          <w:hideMark/>
        </w:tcPr>
        <w:p w:rsidR="00E77AC3" w:rsidRPr="003F477D" w:rsidRDefault="00E77AC3" w:rsidP="003B6F7D">
          <w:pPr>
            <w:jc w:val="center"/>
            <w:rPr>
              <w:color w:val="000000"/>
              <w:lang w:eastAsia="sk-SK"/>
            </w:rPr>
          </w:pPr>
        </w:p>
      </w:tc>
      <w:tc>
        <w:tcPr>
          <w:tcW w:w="483" w:type="dxa"/>
          <w:tcBorders>
            <w:top w:val="nil"/>
            <w:left w:val="nil"/>
            <w:bottom w:val="nil"/>
            <w:right w:val="nil"/>
          </w:tcBorders>
          <w:noWrap/>
          <w:vAlign w:val="bottom"/>
          <w:hideMark/>
        </w:tcPr>
        <w:p w:rsidR="00E77AC3" w:rsidRPr="003F477D" w:rsidRDefault="00E77AC3" w:rsidP="003B6F7D">
          <w:pPr>
            <w:rPr>
              <w:color w:val="000000"/>
              <w:lang w:eastAsia="sk-SK"/>
            </w:rPr>
          </w:pPr>
          <w:r w:rsidRPr="003F477D">
            <w:rPr>
              <w:color w:val="000000"/>
              <w:szCs w:val="22"/>
              <w:lang w:eastAsia="sk-SK"/>
            </w:rPr>
            <w:t>DIČ</w:t>
          </w:r>
        </w:p>
      </w:tc>
      <w:tc>
        <w:tcPr>
          <w:tcW w:w="311" w:type="dxa"/>
          <w:tcBorders>
            <w:top w:val="single" w:sz="4" w:space="0" w:color="auto"/>
            <w:left w:val="single" w:sz="4" w:space="0" w:color="auto"/>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0</w:t>
          </w:r>
        </w:p>
      </w:tc>
      <w:tc>
        <w:tcPr>
          <w:tcW w:w="296"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3</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2</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0</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7</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6</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9</w:t>
          </w:r>
        </w:p>
      </w:tc>
      <w:tc>
        <w:tcPr>
          <w:tcW w:w="311" w:type="dxa"/>
          <w:tcBorders>
            <w:top w:val="single" w:sz="4" w:space="0" w:color="auto"/>
            <w:left w:val="nil"/>
            <w:bottom w:val="single" w:sz="4" w:space="0" w:color="auto"/>
            <w:right w:val="single" w:sz="4" w:space="0" w:color="auto"/>
          </w:tcBorders>
          <w:noWrap/>
          <w:vAlign w:val="center"/>
        </w:tcPr>
        <w:p w:rsidR="00E77AC3" w:rsidRPr="003F477D" w:rsidRDefault="004641DF" w:rsidP="003B6F7D">
          <w:pPr>
            <w:jc w:val="center"/>
            <w:rPr>
              <w:lang w:eastAsia="sk-SK"/>
            </w:rPr>
          </w:pPr>
          <w:r>
            <w:rPr>
              <w:lang w:eastAsia="sk-SK"/>
            </w:rPr>
            <w:t>2</w:t>
          </w:r>
        </w:p>
      </w:tc>
    </w:tr>
  </w:tbl>
  <w:p w:rsidR="00E77AC3" w:rsidRPr="004268D2" w:rsidRDefault="00E77AC3" w:rsidP="00F23FA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6214A"/>
    <w:multiLevelType w:val="hybridMultilevel"/>
    <w:tmpl w:val="872C3EA4"/>
    <w:lvl w:ilvl="0" w:tplc="F030FAA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EC22844"/>
    <w:multiLevelType w:val="hybridMultilevel"/>
    <w:tmpl w:val="CB3C68E6"/>
    <w:lvl w:ilvl="0" w:tplc="BC3A7AE2">
      <w:start w:val="6"/>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2">
    <w:nsid w:val="1F8D21A7"/>
    <w:multiLevelType w:val="hybridMultilevel"/>
    <w:tmpl w:val="4B6CFC56"/>
    <w:lvl w:ilvl="0" w:tplc="E15E7A68">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9CD4FE7"/>
    <w:multiLevelType w:val="hybridMultilevel"/>
    <w:tmpl w:val="299A4780"/>
    <w:lvl w:ilvl="0" w:tplc="57002F10">
      <w:start w:val="5"/>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4">
    <w:nsid w:val="33A16624"/>
    <w:multiLevelType w:val="hybridMultilevel"/>
    <w:tmpl w:val="291690CE"/>
    <w:lvl w:ilvl="0" w:tplc="041B0001">
      <w:start w:val="1"/>
      <w:numFmt w:val="bullet"/>
      <w:lvlText w:val=""/>
      <w:lvlJc w:val="left"/>
      <w:pPr>
        <w:tabs>
          <w:tab w:val="num" w:pos="830"/>
        </w:tabs>
        <w:ind w:left="830" w:hanging="360"/>
      </w:pPr>
      <w:rPr>
        <w:rFonts w:ascii="Symbol" w:hAnsi="Symbol"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5">
    <w:nsid w:val="341B2011"/>
    <w:multiLevelType w:val="hybridMultilevel"/>
    <w:tmpl w:val="BB3C606A"/>
    <w:lvl w:ilvl="0" w:tplc="2182D3E4">
      <w:start w:val="2"/>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6">
    <w:nsid w:val="3CC05583"/>
    <w:multiLevelType w:val="hybridMultilevel"/>
    <w:tmpl w:val="21EE00D8"/>
    <w:lvl w:ilvl="0" w:tplc="06044A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CE0139E"/>
    <w:multiLevelType w:val="hybridMultilevel"/>
    <w:tmpl w:val="282C813A"/>
    <w:lvl w:ilvl="0" w:tplc="EDE28788">
      <w:start w:val="13"/>
      <w:numFmt w:val="lowerLetter"/>
      <w:lvlText w:val="%1)"/>
      <w:lvlJc w:val="left"/>
      <w:pPr>
        <w:tabs>
          <w:tab w:val="num" w:pos="1080"/>
        </w:tabs>
        <w:ind w:left="1080" w:hanging="360"/>
      </w:pPr>
      <w:rPr>
        <w:rFonts w:cs="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8">
    <w:nsid w:val="3D1B6E8A"/>
    <w:multiLevelType w:val="hybridMultilevel"/>
    <w:tmpl w:val="5A142AA6"/>
    <w:lvl w:ilvl="0" w:tplc="98FEB48E">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4D3E7D38"/>
    <w:multiLevelType w:val="multilevel"/>
    <w:tmpl w:val="FF38945C"/>
    <w:lvl w:ilvl="0">
      <w:start w:val="1"/>
      <w:numFmt w:val="decimal"/>
      <w:pStyle w:val="Nadpiss1urovne"/>
      <w:lvlText w:val="%1."/>
      <w:lvlJc w:val="left"/>
      <w:pPr>
        <w:tabs>
          <w:tab w:val="num" w:pos="360"/>
        </w:tabs>
        <w:ind w:left="360" w:hanging="360"/>
      </w:pPr>
      <w:rPr>
        <w:rFonts w:cs="Times New Roman" w:hint="default"/>
        <w:b/>
      </w:rPr>
    </w:lvl>
    <w:lvl w:ilvl="1">
      <w:start w:val="1"/>
      <w:numFmt w:val="lowerLetter"/>
      <w:lvlText w:val="%2)"/>
      <w:lvlJc w:val="left"/>
      <w:pPr>
        <w:tabs>
          <w:tab w:val="num" w:pos="720"/>
        </w:tabs>
        <w:ind w:left="720" w:hanging="360"/>
      </w:pPr>
      <w:rPr>
        <w:rFonts w:cs="Times New Roman"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nsid w:val="542250B7"/>
    <w:multiLevelType w:val="hybridMultilevel"/>
    <w:tmpl w:val="6F4AFD72"/>
    <w:lvl w:ilvl="0" w:tplc="F1BA0D84">
      <w:start w:val="3"/>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11">
    <w:nsid w:val="682928C2"/>
    <w:multiLevelType w:val="hybridMultilevel"/>
    <w:tmpl w:val="EFD0A978"/>
    <w:lvl w:ilvl="0" w:tplc="397A63D2">
      <w:start w:val="7"/>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34C0C3B"/>
    <w:multiLevelType w:val="hybridMultilevel"/>
    <w:tmpl w:val="D158CE14"/>
    <w:lvl w:ilvl="0" w:tplc="9292604C">
      <w:start w:val="4"/>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abstractNum w:abstractNumId="13">
    <w:nsid w:val="74E24D74"/>
    <w:multiLevelType w:val="hybridMultilevel"/>
    <w:tmpl w:val="608E9C6A"/>
    <w:lvl w:ilvl="0" w:tplc="9678FF8E">
      <w:start w:val="1"/>
      <w:numFmt w:val="lowerLetter"/>
      <w:lvlText w:val="%1)"/>
      <w:lvlJc w:val="left"/>
      <w:pPr>
        <w:tabs>
          <w:tab w:val="num" w:pos="830"/>
        </w:tabs>
        <w:ind w:left="830" w:hanging="360"/>
      </w:pPr>
      <w:rPr>
        <w:rFonts w:cs="Times New Roman" w:hint="default"/>
      </w:rPr>
    </w:lvl>
    <w:lvl w:ilvl="1" w:tplc="041B0003" w:tentative="1">
      <w:start w:val="1"/>
      <w:numFmt w:val="bullet"/>
      <w:lvlText w:val="o"/>
      <w:lvlJc w:val="left"/>
      <w:pPr>
        <w:tabs>
          <w:tab w:val="num" w:pos="1550"/>
        </w:tabs>
        <w:ind w:left="1550" w:hanging="360"/>
      </w:pPr>
      <w:rPr>
        <w:rFonts w:ascii="Courier New" w:hAnsi="Courier New" w:hint="default"/>
      </w:rPr>
    </w:lvl>
    <w:lvl w:ilvl="2" w:tplc="041B0005" w:tentative="1">
      <w:start w:val="1"/>
      <w:numFmt w:val="bullet"/>
      <w:lvlText w:val=""/>
      <w:lvlJc w:val="left"/>
      <w:pPr>
        <w:tabs>
          <w:tab w:val="num" w:pos="2270"/>
        </w:tabs>
        <w:ind w:left="2270" w:hanging="360"/>
      </w:pPr>
      <w:rPr>
        <w:rFonts w:ascii="Wingdings" w:hAnsi="Wingdings" w:hint="default"/>
      </w:rPr>
    </w:lvl>
    <w:lvl w:ilvl="3" w:tplc="041B0001" w:tentative="1">
      <w:start w:val="1"/>
      <w:numFmt w:val="bullet"/>
      <w:lvlText w:val=""/>
      <w:lvlJc w:val="left"/>
      <w:pPr>
        <w:tabs>
          <w:tab w:val="num" w:pos="2990"/>
        </w:tabs>
        <w:ind w:left="2990" w:hanging="360"/>
      </w:pPr>
      <w:rPr>
        <w:rFonts w:ascii="Symbol" w:hAnsi="Symbol" w:hint="default"/>
      </w:rPr>
    </w:lvl>
    <w:lvl w:ilvl="4" w:tplc="041B0003" w:tentative="1">
      <w:start w:val="1"/>
      <w:numFmt w:val="bullet"/>
      <w:lvlText w:val="o"/>
      <w:lvlJc w:val="left"/>
      <w:pPr>
        <w:tabs>
          <w:tab w:val="num" w:pos="3710"/>
        </w:tabs>
        <w:ind w:left="3710" w:hanging="360"/>
      </w:pPr>
      <w:rPr>
        <w:rFonts w:ascii="Courier New" w:hAnsi="Courier New" w:hint="default"/>
      </w:rPr>
    </w:lvl>
    <w:lvl w:ilvl="5" w:tplc="041B0005" w:tentative="1">
      <w:start w:val="1"/>
      <w:numFmt w:val="bullet"/>
      <w:lvlText w:val=""/>
      <w:lvlJc w:val="left"/>
      <w:pPr>
        <w:tabs>
          <w:tab w:val="num" w:pos="4430"/>
        </w:tabs>
        <w:ind w:left="4430" w:hanging="360"/>
      </w:pPr>
      <w:rPr>
        <w:rFonts w:ascii="Wingdings" w:hAnsi="Wingdings" w:hint="default"/>
      </w:rPr>
    </w:lvl>
    <w:lvl w:ilvl="6" w:tplc="041B0001" w:tentative="1">
      <w:start w:val="1"/>
      <w:numFmt w:val="bullet"/>
      <w:lvlText w:val=""/>
      <w:lvlJc w:val="left"/>
      <w:pPr>
        <w:tabs>
          <w:tab w:val="num" w:pos="5150"/>
        </w:tabs>
        <w:ind w:left="5150" w:hanging="360"/>
      </w:pPr>
      <w:rPr>
        <w:rFonts w:ascii="Symbol" w:hAnsi="Symbol" w:hint="default"/>
      </w:rPr>
    </w:lvl>
    <w:lvl w:ilvl="7" w:tplc="041B0003" w:tentative="1">
      <w:start w:val="1"/>
      <w:numFmt w:val="bullet"/>
      <w:lvlText w:val="o"/>
      <w:lvlJc w:val="left"/>
      <w:pPr>
        <w:tabs>
          <w:tab w:val="num" w:pos="5870"/>
        </w:tabs>
        <w:ind w:left="5870" w:hanging="360"/>
      </w:pPr>
      <w:rPr>
        <w:rFonts w:ascii="Courier New" w:hAnsi="Courier New" w:hint="default"/>
      </w:rPr>
    </w:lvl>
    <w:lvl w:ilvl="8" w:tplc="041B0005" w:tentative="1">
      <w:start w:val="1"/>
      <w:numFmt w:val="bullet"/>
      <w:lvlText w:val=""/>
      <w:lvlJc w:val="left"/>
      <w:pPr>
        <w:tabs>
          <w:tab w:val="num" w:pos="6590"/>
        </w:tabs>
        <w:ind w:left="6590" w:hanging="360"/>
      </w:pPr>
      <w:rPr>
        <w:rFonts w:ascii="Wingdings" w:hAnsi="Wingdings" w:hint="default"/>
      </w:rPr>
    </w:lvl>
  </w:abstractNum>
  <w:num w:numId="1">
    <w:abstractNumId w:val="9"/>
  </w:num>
  <w:num w:numId="2">
    <w:abstractNumId w:val="4"/>
  </w:num>
  <w:num w:numId="3">
    <w:abstractNumId w:val="13"/>
  </w:num>
  <w:num w:numId="4">
    <w:abstractNumId w:val="5"/>
  </w:num>
  <w:num w:numId="5">
    <w:abstractNumId w:val="10"/>
  </w:num>
  <w:num w:numId="6">
    <w:abstractNumId w:val="12"/>
  </w:num>
  <w:num w:numId="7">
    <w:abstractNumId w:val="3"/>
  </w:num>
  <w:num w:numId="8">
    <w:abstractNumId w:val="1"/>
  </w:num>
  <w:num w:numId="9">
    <w:abstractNumId w:val="7"/>
  </w:num>
  <w:num w:numId="10">
    <w:abstractNumId w:val="6"/>
  </w:num>
  <w:num w:numId="11">
    <w:abstractNumId w:val="11"/>
  </w:num>
  <w:num w:numId="12">
    <w:abstractNumId w:val="0"/>
  </w:num>
  <w:num w:numId="13">
    <w:abstractNumId w:val="8"/>
  </w:num>
  <w:num w:numId="14">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421F"/>
    <w:rsid w:val="00004693"/>
    <w:rsid w:val="00012DBD"/>
    <w:rsid w:val="0001334F"/>
    <w:rsid w:val="00014352"/>
    <w:rsid w:val="00014483"/>
    <w:rsid w:val="00016E12"/>
    <w:rsid w:val="00024B40"/>
    <w:rsid w:val="00025139"/>
    <w:rsid w:val="00025E55"/>
    <w:rsid w:val="00047292"/>
    <w:rsid w:val="000500D2"/>
    <w:rsid w:val="00052F8B"/>
    <w:rsid w:val="00056D07"/>
    <w:rsid w:val="00061B5A"/>
    <w:rsid w:val="00061CE4"/>
    <w:rsid w:val="00074E75"/>
    <w:rsid w:val="00075AEB"/>
    <w:rsid w:val="00082CD0"/>
    <w:rsid w:val="00084610"/>
    <w:rsid w:val="00085793"/>
    <w:rsid w:val="00085E53"/>
    <w:rsid w:val="000923BC"/>
    <w:rsid w:val="000A55A3"/>
    <w:rsid w:val="000A5993"/>
    <w:rsid w:val="000A758F"/>
    <w:rsid w:val="000A7F45"/>
    <w:rsid w:val="000B227D"/>
    <w:rsid w:val="000B7602"/>
    <w:rsid w:val="000B7B40"/>
    <w:rsid w:val="000C38FE"/>
    <w:rsid w:val="000C7FB7"/>
    <w:rsid w:val="000D2186"/>
    <w:rsid w:val="000D520D"/>
    <w:rsid w:val="000D7105"/>
    <w:rsid w:val="000F385F"/>
    <w:rsid w:val="00106469"/>
    <w:rsid w:val="00111969"/>
    <w:rsid w:val="00113911"/>
    <w:rsid w:val="00113CBB"/>
    <w:rsid w:val="00115DCE"/>
    <w:rsid w:val="001200DF"/>
    <w:rsid w:val="00125CB3"/>
    <w:rsid w:val="00131CD2"/>
    <w:rsid w:val="00137C50"/>
    <w:rsid w:val="001450BD"/>
    <w:rsid w:val="0014565D"/>
    <w:rsid w:val="00146201"/>
    <w:rsid w:val="001501C5"/>
    <w:rsid w:val="00150E7E"/>
    <w:rsid w:val="0015339A"/>
    <w:rsid w:val="00154D7B"/>
    <w:rsid w:val="001564E7"/>
    <w:rsid w:val="00173144"/>
    <w:rsid w:val="00180861"/>
    <w:rsid w:val="0018141C"/>
    <w:rsid w:val="00186B91"/>
    <w:rsid w:val="00195E21"/>
    <w:rsid w:val="00196AFB"/>
    <w:rsid w:val="00197137"/>
    <w:rsid w:val="001A1FD1"/>
    <w:rsid w:val="001A6F05"/>
    <w:rsid w:val="001B13F4"/>
    <w:rsid w:val="001C0FB7"/>
    <w:rsid w:val="001C11E9"/>
    <w:rsid w:val="001C53CB"/>
    <w:rsid w:val="001C578D"/>
    <w:rsid w:val="001C7319"/>
    <w:rsid w:val="001D0DEF"/>
    <w:rsid w:val="001D331E"/>
    <w:rsid w:val="001D3B33"/>
    <w:rsid w:val="001E1743"/>
    <w:rsid w:val="001F0BA0"/>
    <w:rsid w:val="001F19C7"/>
    <w:rsid w:val="001F3791"/>
    <w:rsid w:val="00202548"/>
    <w:rsid w:val="00204817"/>
    <w:rsid w:val="00205F85"/>
    <w:rsid w:val="0020703C"/>
    <w:rsid w:val="00212D3C"/>
    <w:rsid w:val="00216492"/>
    <w:rsid w:val="00227B7F"/>
    <w:rsid w:val="00233922"/>
    <w:rsid w:val="00247BEA"/>
    <w:rsid w:val="002507B0"/>
    <w:rsid w:val="002546F2"/>
    <w:rsid w:val="00256348"/>
    <w:rsid w:val="002738BD"/>
    <w:rsid w:val="0028309C"/>
    <w:rsid w:val="002842EE"/>
    <w:rsid w:val="00290896"/>
    <w:rsid w:val="00294D5C"/>
    <w:rsid w:val="00294F14"/>
    <w:rsid w:val="002961B3"/>
    <w:rsid w:val="00297350"/>
    <w:rsid w:val="002A268F"/>
    <w:rsid w:val="002A2E2F"/>
    <w:rsid w:val="002A46B5"/>
    <w:rsid w:val="002A4A5F"/>
    <w:rsid w:val="002A5796"/>
    <w:rsid w:val="002A7291"/>
    <w:rsid w:val="002B03F2"/>
    <w:rsid w:val="002B2E75"/>
    <w:rsid w:val="002C41CC"/>
    <w:rsid w:val="002C7302"/>
    <w:rsid w:val="002C7A15"/>
    <w:rsid w:val="002D0934"/>
    <w:rsid w:val="002D6145"/>
    <w:rsid w:val="002E325E"/>
    <w:rsid w:val="002E4BC3"/>
    <w:rsid w:val="002E7805"/>
    <w:rsid w:val="002F4594"/>
    <w:rsid w:val="002F6401"/>
    <w:rsid w:val="002F665C"/>
    <w:rsid w:val="002F7346"/>
    <w:rsid w:val="00302E77"/>
    <w:rsid w:val="00307EED"/>
    <w:rsid w:val="003132CA"/>
    <w:rsid w:val="003134CC"/>
    <w:rsid w:val="00313B9F"/>
    <w:rsid w:val="00315CAD"/>
    <w:rsid w:val="00316F2D"/>
    <w:rsid w:val="003249DE"/>
    <w:rsid w:val="00324C96"/>
    <w:rsid w:val="00330138"/>
    <w:rsid w:val="00330954"/>
    <w:rsid w:val="00337B82"/>
    <w:rsid w:val="00345278"/>
    <w:rsid w:val="00360B00"/>
    <w:rsid w:val="00363386"/>
    <w:rsid w:val="00365FF2"/>
    <w:rsid w:val="00366C8B"/>
    <w:rsid w:val="0036702E"/>
    <w:rsid w:val="00367A85"/>
    <w:rsid w:val="003710A3"/>
    <w:rsid w:val="0037207D"/>
    <w:rsid w:val="00374CF4"/>
    <w:rsid w:val="0037507A"/>
    <w:rsid w:val="00375BAD"/>
    <w:rsid w:val="00377535"/>
    <w:rsid w:val="0038099B"/>
    <w:rsid w:val="003830E2"/>
    <w:rsid w:val="00383AD8"/>
    <w:rsid w:val="00384744"/>
    <w:rsid w:val="003920E7"/>
    <w:rsid w:val="00394B73"/>
    <w:rsid w:val="0039715E"/>
    <w:rsid w:val="003A2D1D"/>
    <w:rsid w:val="003A549E"/>
    <w:rsid w:val="003A5CA2"/>
    <w:rsid w:val="003B1B28"/>
    <w:rsid w:val="003B58E4"/>
    <w:rsid w:val="003B6F7D"/>
    <w:rsid w:val="003B70DE"/>
    <w:rsid w:val="003C0236"/>
    <w:rsid w:val="003C619E"/>
    <w:rsid w:val="003C75DE"/>
    <w:rsid w:val="003D0260"/>
    <w:rsid w:val="003D334A"/>
    <w:rsid w:val="003D55DB"/>
    <w:rsid w:val="003D6F89"/>
    <w:rsid w:val="003D7EC7"/>
    <w:rsid w:val="003E121B"/>
    <w:rsid w:val="003F38A9"/>
    <w:rsid w:val="00400B6D"/>
    <w:rsid w:val="00401B9D"/>
    <w:rsid w:val="0040263B"/>
    <w:rsid w:val="00405B7A"/>
    <w:rsid w:val="004068AD"/>
    <w:rsid w:val="00421987"/>
    <w:rsid w:val="004246EF"/>
    <w:rsid w:val="00424A60"/>
    <w:rsid w:val="00426E29"/>
    <w:rsid w:val="00432100"/>
    <w:rsid w:val="004358EA"/>
    <w:rsid w:val="00440D26"/>
    <w:rsid w:val="0044306F"/>
    <w:rsid w:val="00447448"/>
    <w:rsid w:val="00451646"/>
    <w:rsid w:val="00453B94"/>
    <w:rsid w:val="00454B93"/>
    <w:rsid w:val="00455407"/>
    <w:rsid w:val="004576AF"/>
    <w:rsid w:val="00462BF0"/>
    <w:rsid w:val="004641DF"/>
    <w:rsid w:val="00465B39"/>
    <w:rsid w:val="004700F3"/>
    <w:rsid w:val="00473AB7"/>
    <w:rsid w:val="00474297"/>
    <w:rsid w:val="00476D13"/>
    <w:rsid w:val="00480433"/>
    <w:rsid w:val="00482742"/>
    <w:rsid w:val="004914CD"/>
    <w:rsid w:val="00492324"/>
    <w:rsid w:val="004C10D5"/>
    <w:rsid w:val="004C2789"/>
    <w:rsid w:val="004C6E98"/>
    <w:rsid w:val="004C7F21"/>
    <w:rsid w:val="004E2020"/>
    <w:rsid w:val="004E3159"/>
    <w:rsid w:val="004F3181"/>
    <w:rsid w:val="0050056D"/>
    <w:rsid w:val="005013CA"/>
    <w:rsid w:val="00502DF7"/>
    <w:rsid w:val="00510E70"/>
    <w:rsid w:val="0051251D"/>
    <w:rsid w:val="0051288C"/>
    <w:rsid w:val="0051294A"/>
    <w:rsid w:val="0051482E"/>
    <w:rsid w:val="00517A7A"/>
    <w:rsid w:val="00524073"/>
    <w:rsid w:val="00525A7B"/>
    <w:rsid w:val="00536923"/>
    <w:rsid w:val="00542A47"/>
    <w:rsid w:val="005440C4"/>
    <w:rsid w:val="00546689"/>
    <w:rsid w:val="0055016A"/>
    <w:rsid w:val="00561E1F"/>
    <w:rsid w:val="00571D3A"/>
    <w:rsid w:val="00572215"/>
    <w:rsid w:val="00573DFE"/>
    <w:rsid w:val="00576DC5"/>
    <w:rsid w:val="005803C8"/>
    <w:rsid w:val="00580682"/>
    <w:rsid w:val="00586763"/>
    <w:rsid w:val="00597D51"/>
    <w:rsid w:val="005A3A5E"/>
    <w:rsid w:val="005A6E3A"/>
    <w:rsid w:val="005B773F"/>
    <w:rsid w:val="005D03B7"/>
    <w:rsid w:val="005D1DD6"/>
    <w:rsid w:val="005D43C0"/>
    <w:rsid w:val="005D4EC4"/>
    <w:rsid w:val="005E396B"/>
    <w:rsid w:val="005F3646"/>
    <w:rsid w:val="005F4162"/>
    <w:rsid w:val="005F5AC3"/>
    <w:rsid w:val="005F7836"/>
    <w:rsid w:val="00602B4C"/>
    <w:rsid w:val="00602DBB"/>
    <w:rsid w:val="00612147"/>
    <w:rsid w:val="0062000F"/>
    <w:rsid w:val="0062053D"/>
    <w:rsid w:val="00623D5A"/>
    <w:rsid w:val="00641013"/>
    <w:rsid w:val="0064307F"/>
    <w:rsid w:val="00652ADC"/>
    <w:rsid w:val="00652B41"/>
    <w:rsid w:val="006555D7"/>
    <w:rsid w:val="00655718"/>
    <w:rsid w:val="00660D2D"/>
    <w:rsid w:val="006633D7"/>
    <w:rsid w:val="00670EC7"/>
    <w:rsid w:val="00672C83"/>
    <w:rsid w:val="006734FD"/>
    <w:rsid w:val="00674AD7"/>
    <w:rsid w:val="00674FE6"/>
    <w:rsid w:val="00681E5E"/>
    <w:rsid w:val="006838A9"/>
    <w:rsid w:val="00694D1A"/>
    <w:rsid w:val="006962CC"/>
    <w:rsid w:val="006A39C1"/>
    <w:rsid w:val="006B0CEE"/>
    <w:rsid w:val="006B2193"/>
    <w:rsid w:val="006B6677"/>
    <w:rsid w:val="006B7481"/>
    <w:rsid w:val="006C12B5"/>
    <w:rsid w:val="006C1AC8"/>
    <w:rsid w:val="006C2BCB"/>
    <w:rsid w:val="006C3C26"/>
    <w:rsid w:val="006D3412"/>
    <w:rsid w:val="006D589B"/>
    <w:rsid w:val="006F50F2"/>
    <w:rsid w:val="006F7493"/>
    <w:rsid w:val="0070502C"/>
    <w:rsid w:val="0070743D"/>
    <w:rsid w:val="007079C1"/>
    <w:rsid w:val="00715EEC"/>
    <w:rsid w:val="0071668C"/>
    <w:rsid w:val="00717C13"/>
    <w:rsid w:val="00727478"/>
    <w:rsid w:val="0073586D"/>
    <w:rsid w:val="00740AFE"/>
    <w:rsid w:val="007433F5"/>
    <w:rsid w:val="0074581D"/>
    <w:rsid w:val="00770199"/>
    <w:rsid w:val="00795D3A"/>
    <w:rsid w:val="007970E4"/>
    <w:rsid w:val="007A1018"/>
    <w:rsid w:val="007A4117"/>
    <w:rsid w:val="007B19C0"/>
    <w:rsid w:val="007C1A90"/>
    <w:rsid w:val="007C1C6E"/>
    <w:rsid w:val="007C3558"/>
    <w:rsid w:val="007C3CD9"/>
    <w:rsid w:val="007C40F2"/>
    <w:rsid w:val="007D5258"/>
    <w:rsid w:val="007D7B24"/>
    <w:rsid w:val="007E087F"/>
    <w:rsid w:val="007E5117"/>
    <w:rsid w:val="007E5C83"/>
    <w:rsid w:val="007E7B36"/>
    <w:rsid w:val="007F2BF6"/>
    <w:rsid w:val="00805704"/>
    <w:rsid w:val="008060E5"/>
    <w:rsid w:val="00807ABC"/>
    <w:rsid w:val="00810738"/>
    <w:rsid w:val="00812CDD"/>
    <w:rsid w:val="008207D6"/>
    <w:rsid w:val="0082671E"/>
    <w:rsid w:val="00830390"/>
    <w:rsid w:val="00831D0C"/>
    <w:rsid w:val="00843862"/>
    <w:rsid w:val="008439CA"/>
    <w:rsid w:val="0084517F"/>
    <w:rsid w:val="00846159"/>
    <w:rsid w:val="008554E1"/>
    <w:rsid w:val="00857531"/>
    <w:rsid w:val="00857E56"/>
    <w:rsid w:val="00860FEF"/>
    <w:rsid w:val="008626A4"/>
    <w:rsid w:val="008644D7"/>
    <w:rsid w:val="00867974"/>
    <w:rsid w:val="00870F70"/>
    <w:rsid w:val="008725EA"/>
    <w:rsid w:val="008764A5"/>
    <w:rsid w:val="00882E94"/>
    <w:rsid w:val="008A026B"/>
    <w:rsid w:val="008A043F"/>
    <w:rsid w:val="008A7BBA"/>
    <w:rsid w:val="008B6EBB"/>
    <w:rsid w:val="008C47DE"/>
    <w:rsid w:val="008C5E3E"/>
    <w:rsid w:val="008C74A6"/>
    <w:rsid w:val="008D6E2D"/>
    <w:rsid w:val="008E328C"/>
    <w:rsid w:val="008E42B0"/>
    <w:rsid w:val="008E78DE"/>
    <w:rsid w:val="008F2C0D"/>
    <w:rsid w:val="008F4E43"/>
    <w:rsid w:val="009006E7"/>
    <w:rsid w:val="00906CB4"/>
    <w:rsid w:val="00907263"/>
    <w:rsid w:val="0090747F"/>
    <w:rsid w:val="009112F3"/>
    <w:rsid w:val="00920815"/>
    <w:rsid w:val="00924420"/>
    <w:rsid w:val="0092562E"/>
    <w:rsid w:val="009400A7"/>
    <w:rsid w:val="00946110"/>
    <w:rsid w:val="00950578"/>
    <w:rsid w:val="0095109B"/>
    <w:rsid w:val="00952F3B"/>
    <w:rsid w:val="00954DB7"/>
    <w:rsid w:val="00967134"/>
    <w:rsid w:val="00973762"/>
    <w:rsid w:val="00987D5F"/>
    <w:rsid w:val="00990545"/>
    <w:rsid w:val="00996C9B"/>
    <w:rsid w:val="009A2701"/>
    <w:rsid w:val="009A5A14"/>
    <w:rsid w:val="009A73DA"/>
    <w:rsid w:val="009C59E3"/>
    <w:rsid w:val="009C7191"/>
    <w:rsid w:val="009C7DE1"/>
    <w:rsid w:val="009D4EAD"/>
    <w:rsid w:val="009E30DA"/>
    <w:rsid w:val="009E5CF1"/>
    <w:rsid w:val="009E6C99"/>
    <w:rsid w:val="009F2DF1"/>
    <w:rsid w:val="009F492B"/>
    <w:rsid w:val="009F5CE6"/>
    <w:rsid w:val="00A017C3"/>
    <w:rsid w:val="00A131F2"/>
    <w:rsid w:val="00A13DDF"/>
    <w:rsid w:val="00A13FCD"/>
    <w:rsid w:val="00A160E7"/>
    <w:rsid w:val="00A21089"/>
    <w:rsid w:val="00A212D4"/>
    <w:rsid w:val="00A248C1"/>
    <w:rsid w:val="00A25E96"/>
    <w:rsid w:val="00A30662"/>
    <w:rsid w:val="00A37014"/>
    <w:rsid w:val="00A4011B"/>
    <w:rsid w:val="00A43492"/>
    <w:rsid w:val="00A6037A"/>
    <w:rsid w:val="00A64A2C"/>
    <w:rsid w:val="00A73167"/>
    <w:rsid w:val="00A806BD"/>
    <w:rsid w:val="00A8290E"/>
    <w:rsid w:val="00A82FAB"/>
    <w:rsid w:val="00A96741"/>
    <w:rsid w:val="00AA48E7"/>
    <w:rsid w:val="00AC13D7"/>
    <w:rsid w:val="00AC78F2"/>
    <w:rsid w:val="00AC7F88"/>
    <w:rsid w:val="00AD02F5"/>
    <w:rsid w:val="00AD2D9A"/>
    <w:rsid w:val="00AD73A8"/>
    <w:rsid w:val="00AE041B"/>
    <w:rsid w:val="00AE1431"/>
    <w:rsid w:val="00AE1E70"/>
    <w:rsid w:val="00AE35F3"/>
    <w:rsid w:val="00AE7B6B"/>
    <w:rsid w:val="00AF1000"/>
    <w:rsid w:val="00AF2B36"/>
    <w:rsid w:val="00AF644C"/>
    <w:rsid w:val="00B01EFC"/>
    <w:rsid w:val="00B1061F"/>
    <w:rsid w:val="00B10775"/>
    <w:rsid w:val="00B12EB4"/>
    <w:rsid w:val="00B13B48"/>
    <w:rsid w:val="00B17A56"/>
    <w:rsid w:val="00B22212"/>
    <w:rsid w:val="00B24AC0"/>
    <w:rsid w:val="00B33099"/>
    <w:rsid w:val="00B51558"/>
    <w:rsid w:val="00B61F66"/>
    <w:rsid w:val="00B64F91"/>
    <w:rsid w:val="00B831FF"/>
    <w:rsid w:val="00B91660"/>
    <w:rsid w:val="00B92A03"/>
    <w:rsid w:val="00B958BA"/>
    <w:rsid w:val="00B95935"/>
    <w:rsid w:val="00B9772F"/>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A46"/>
    <w:rsid w:val="00BE0230"/>
    <w:rsid w:val="00BE4FFF"/>
    <w:rsid w:val="00BE78E3"/>
    <w:rsid w:val="00BF279A"/>
    <w:rsid w:val="00BF2C43"/>
    <w:rsid w:val="00C03A30"/>
    <w:rsid w:val="00C06A2C"/>
    <w:rsid w:val="00C070B2"/>
    <w:rsid w:val="00C11715"/>
    <w:rsid w:val="00C12330"/>
    <w:rsid w:val="00C17E93"/>
    <w:rsid w:val="00C2255F"/>
    <w:rsid w:val="00C22D81"/>
    <w:rsid w:val="00C232E1"/>
    <w:rsid w:val="00C24E22"/>
    <w:rsid w:val="00C26E65"/>
    <w:rsid w:val="00C30921"/>
    <w:rsid w:val="00C30B11"/>
    <w:rsid w:val="00C36265"/>
    <w:rsid w:val="00C3790A"/>
    <w:rsid w:val="00C408DF"/>
    <w:rsid w:val="00C41911"/>
    <w:rsid w:val="00C47B78"/>
    <w:rsid w:val="00C5295F"/>
    <w:rsid w:val="00C61289"/>
    <w:rsid w:val="00C64005"/>
    <w:rsid w:val="00C6517C"/>
    <w:rsid w:val="00C7387F"/>
    <w:rsid w:val="00C83611"/>
    <w:rsid w:val="00C861E1"/>
    <w:rsid w:val="00C963E6"/>
    <w:rsid w:val="00CA037E"/>
    <w:rsid w:val="00CA0ED2"/>
    <w:rsid w:val="00CA27C4"/>
    <w:rsid w:val="00CA71D2"/>
    <w:rsid w:val="00CB41A9"/>
    <w:rsid w:val="00CB66F1"/>
    <w:rsid w:val="00CB7D9F"/>
    <w:rsid w:val="00CC5D25"/>
    <w:rsid w:val="00CC63F1"/>
    <w:rsid w:val="00CD0C87"/>
    <w:rsid w:val="00CD1793"/>
    <w:rsid w:val="00CD3B27"/>
    <w:rsid w:val="00CD7078"/>
    <w:rsid w:val="00CE0E61"/>
    <w:rsid w:val="00CE4CC1"/>
    <w:rsid w:val="00CF01B4"/>
    <w:rsid w:val="00D00B9E"/>
    <w:rsid w:val="00D01229"/>
    <w:rsid w:val="00D14B81"/>
    <w:rsid w:val="00D16D5B"/>
    <w:rsid w:val="00D17D15"/>
    <w:rsid w:val="00D234CA"/>
    <w:rsid w:val="00D24571"/>
    <w:rsid w:val="00D26E73"/>
    <w:rsid w:val="00D36E0C"/>
    <w:rsid w:val="00D3730E"/>
    <w:rsid w:val="00D407BC"/>
    <w:rsid w:val="00D47775"/>
    <w:rsid w:val="00D47A0C"/>
    <w:rsid w:val="00D54AE3"/>
    <w:rsid w:val="00D54FDA"/>
    <w:rsid w:val="00D55617"/>
    <w:rsid w:val="00D57DDE"/>
    <w:rsid w:val="00D6507B"/>
    <w:rsid w:val="00D72173"/>
    <w:rsid w:val="00D7543E"/>
    <w:rsid w:val="00D8107D"/>
    <w:rsid w:val="00D84695"/>
    <w:rsid w:val="00D911D9"/>
    <w:rsid w:val="00D94126"/>
    <w:rsid w:val="00D96160"/>
    <w:rsid w:val="00D97050"/>
    <w:rsid w:val="00DA3DFE"/>
    <w:rsid w:val="00DA4C73"/>
    <w:rsid w:val="00DA5FDE"/>
    <w:rsid w:val="00DA6AF3"/>
    <w:rsid w:val="00DA7337"/>
    <w:rsid w:val="00DB0A03"/>
    <w:rsid w:val="00DB202F"/>
    <w:rsid w:val="00DB65E1"/>
    <w:rsid w:val="00DC42FA"/>
    <w:rsid w:val="00DC4AFD"/>
    <w:rsid w:val="00DD644B"/>
    <w:rsid w:val="00DE373D"/>
    <w:rsid w:val="00DE3F6E"/>
    <w:rsid w:val="00DE678D"/>
    <w:rsid w:val="00DE6A97"/>
    <w:rsid w:val="00DF11DD"/>
    <w:rsid w:val="00E045AB"/>
    <w:rsid w:val="00E21EEF"/>
    <w:rsid w:val="00E31FDD"/>
    <w:rsid w:val="00E34840"/>
    <w:rsid w:val="00E36F78"/>
    <w:rsid w:val="00E3763F"/>
    <w:rsid w:val="00E40AD4"/>
    <w:rsid w:val="00E504C8"/>
    <w:rsid w:val="00E52B91"/>
    <w:rsid w:val="00E5320F"/>
    <w:rsid w:val="00E54998"/>
    <w:rsid w:val="00E56806"/>
    <w:rsid w:val="00E61CA5"/>
    <w:rsid w:val="00E6200C"/>
    <w:rsid w:val="00E62593"/>
    <w:rsid w:val="00E62E31"/>
    <w:rsid w:val="00E66242"/>
    <w:rsid w:val="00E77AC3"/>
    <w:rsid w:val="00E811FB"/>
    <w:rsid w:val="00E81DCC"/>
    <w:rsid w:val="00E85332"/>
    <w:rsid w:val="00E854FD"/>
    <w:rsid w:val="00E85BA8"/>
    <w:rsid w:val="00E9049B"/>
    <w:rsid w:val="00E90AFD"/>
    <w:rsid w:val="00E90C6F"/>
    <w:rsid w:val="00E96184"/>
    <w:rsid w:val="00EA0B60"/>
    <w:rsid w:val="00EA2869"/>
    <w:rsid w:val="00EA3E59"/>
    <w:rsid w:val="00EA7252"/>
    <w:rsid w:val="00EB0103"/>
    <w:rsid w:val="00EB1A7C"/>
    <w:rsid w:val="00EB1AC4"/>
    <w:rsid w:val="00EB3EBC"/>
    <w:rsid w:val="00EB676B"/>
    <w:rsid w:val="00EC04B2"/>
    <w:rsid w:val="00ED449C"/>
    <w:rsid w:val="00ED47B8"/>
    <w:rsid w:val="00EF3D95"/>
    <w:rsid w:val="00EF6A82"/>
    <w:rsid w:val="00F0022A"/>
    <w:rsid w:val="00F1142D"/>
    <w:rsid w:val="00F118DE"/>
    <w:rsid w:val="00F168D2"/>
    <w:rsid w:val="00F23FAD"/>
    <w:rsid w:val="00F32510"/>
    <w:rsid w:val="00F3410E"/>
    <w:rsid w:val="00F3486D"/>
    <w:rsid w:val="00F34878"/>
    <w:rsid w:val="00F41C36"/>
    <w:rsid w:val="00F423EA"/>
    <w:rsid w:val="00F46FD7"/>
    <w:rsid w:val="00F5050F"/>
    <w:rsid w:val="00F51676"/>
    <w:rsid w:val="00F5217D"/>
    <w:rsid w:val="00F521EA"/>
    <w:rsid w:val="00F542BD"/>
    <w:rsid w:val="00F55204"/>
    <w:rsid w:val="00F56C09"/>
    <w:rsid w:val="00F614CB"/>
    <w:rsid w:val="00F62FD6"/>
    <w:rsid w:val="00F643AA"/>
    <w:rsid w:val="00F71A47"/>
    <w:rsid w:val="00F76BCB"/>
    <w:rsid w:val="00F8136A"/>
    <w:rsid w:val="00F81B13"/>
    <w:rsid w:val="00F9084E"/>
    <w:rsid w:val="00F92DD8"/>
    <w:rsid w:val="00F934F2"/>
    <w:rsid w:val="00F94F27"/>
    <w:rsid w:val="00F954F0"/>
    <w:rsid w:val="00FA28CE"/>
    <w:rsid w:val="00FA5C30"/>
    <w:rsid w:val="00FB2ABE"/>
    <w:rsid w:val="00FB5566"/>
    <w:rsid w:val="00FB643B"/>
    <w:rsid w:val="00FB6EC9"/>
    <w:rsid w:val="00FD63DB"/>
    <w:rsid w:val="00FD7650"/>
    <w:rsid w:val="00FD78EA"/>
    <w:rsid w:val="00FE12F9"/>
    <w:rsid w:val="00FE304F"/>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eastAsia="x-none"/>
    </w:rPr>
  </w:style>
  <w:style w:type="paragraph" w:customStyle="1" w:styleId="Nadpiss1urovne">
    <w:name w:val="Nadpiss 1. urovne"/>
    <w:basedOn w:val="Normlny"/>
    <w:link w:val="Nadpiss1urovneChar"/>
    <w:uiPriority w:val="99"/>
    <w:rsid w:val="00DB202F"/>
    <w:pPr>
      <w:numPr>
        <w:numId w:val="1"/>
      </w:numPr>
      <w:outlineLvl w:val="0"/>
    </w:pPr>
    <w:rPr>
      <w:b/>
      <w:sz w:val="21"/>
      <w:szCs w:val="21"/>
    </w:rPr>
  </w:style>
  <w:style w:type="character" w:customStyle="1" w:styleId="Nadpiss1urovneChar">
    <w:name w:val="Nadpiss 1. urovne Char"/>
    <w:basedOn w:val="Predvolenpsmoodseku"/>
    <w:link w:val="Nadpiss1urovne"/>
    <w:uiPriority w:val="99"/>
    <w:locked/>
    <w:rsid w:val="00DB202F"/>
    <w:rPr>
      <w:rFonts w:ascii="Arial Narrow" w:hAnsi="Arial Narrow" w:cs="Times New Roman"/>
      <w:b/>
      <w:sz w:val="21"/>
      <w:szCs w:val="21"/>
      <w:lang w:eastAsia="en-US"/>
    </w:rPr>
  </w:style>
  <w:style w:type="character" w:customStyle="1" w:styleId="apple-converted-space">
    <w:name w:val="apple-converted-space"/>
    <w:basedOn w:val="Predvolenpsmoodseku"/>
    <w:uiPriority w:val="99"/>
    <w:rsid w:val="00DB202F"/>
    <w:rPr>
      <w:rFonts w:cs="Times New Roman"/>
    </w:rPr>
  </w:style>
  <w:style w:type="paragraph" w:customStyle="1" w:styleId="Tabulka">
    <w:name w:val="Tabulka"/>
    <w:basedOn w:val="Normlny"/>
    <w:uiPriority w:val="99"/>
    <w:rsid w:val="00CB66F1"/>
    <w:rPr>
      <w:rFonts w:ascii="Times New Roman" w:hAnsi="Times New Roman"/>
      <w:color w:val="000000"/>
      <w:sz w:val="18"/>
      <w:szCs w:val="20"/>
    </w:rPr>
  </w:style>
  <w:style w:type="paragraph" w:styleId="Odsekzoznamu">
    <w:name w:val="List Paragraph"/>
    <w:basedOn w:val="Normlny"/>
    <w:uiPriority w:val="34"/>
    <w:qFormat/>
    <w:rsid w:val="00E85332"/>
    <w:pPr>
      <w:ind w:left="720"/>
      <w:contextualSpacing/>
    </w:pPr>
  </w:style>
  <w:style w:type="paragraph" w:customStyle="1" w:styleId="Default">
    <w:name w:val="Default"/>
    <w:rsid w:val="004641DF"/>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eastAsia="x-none"/>
    </w:rPr>
  </w:style>
  <w:style w:type="paragraph" w:customStyle="1" w:styleId="Nadpiss1urovne">
    <w:name w:val="Nadpiss 1. urovne"/>
    <w:basedOn w:val="Normlny"/>
    <w:link w:val="Nadpiss1urovneChar"/>
    <w:uiPriority w:val="99"/>
    <w:rsid w:val="00DB202F"/>
    <w:pPr>
      <w:numPr>
        <w:numId w:val="1"/>
      </w:numPr>
      <w:outlineLvl w:val="0"/>
    </w:pPr>
    <w:rPr>
      <w:b/>
      <w:sz w:val="21"/>
      <w:szCs w:val="21"/>
    </w:rPr>
  </w:style>
  <w:style w:type="character" w:customStyle="1" w:styleId="Nadpiss1urovneChar">
    <w:name w:val="Nadpiss 1. urovne Char"/>
    <w:basedOn w:val="Predvolenpsmoodseku"/>
    <w:link w:val="Nadpiss1urovne"/>
    <w:uiPriority w:val="99"/>
    <w:locked/>
    <w:rsid w:val="00DB202F"/>
    <w:rPr>
      <w:rFonts w:ascii="Arial Narrow" w:hAnsi="Arial Narrow" w:cs="Times New Roman"/>
      <w:b/>
      <w:sz w:val="21"/>
      <w:szCs w:val="21"/>
      <w:lang w:eastAsia="en-US"/>
    </w:rPr>
  </w:style>
  <w:style w:type="character" w:customStyle="1" w:styleId="apple-converted-space">
    <w:name w:val="apple-converted-space"/>
    <w:basedOn w:val="Predvolenpsmoodseku"/>
    <w:uiPriority w:val="99"/>
    <w:rsid w:val="00DB202F"/>
    <w:rPr>
      <w:rFonts w:cs="Times New Roman"/>
    </w:rPr>
  </w:style>
  <w:style w:type="paragraph" w:customStyle="1" w:styleId="Tabulka">
    <w:name w:val="Tabulka"/>
    <w:basedOn w:val="Normlny"/>
    <w:uiPriority w:val="99"/>
    <w:rsid w:val="00CB66F1"/>
    <w:rPr>
      <w:rFonts w:ascii="Times New Roman" w:hAnsi="Times New Roman"/>
      <w:color w:val="000000"/>
      <w:sz w:val="18"/>
      <w:szCs w:val="20"/>
    </w:rPr>
  </w:style>
  <w:style w:type="paragraph" w:styleId="Odsekzoznamu">
    <w:name w:val="List Paragraph"/>
    <w:basedOn w:val="Normlny"/>
    <w:uiPriority w:val="34"/>
    <w:qFormat/>
    <w:rsid w:val="00E85332"/>
    <w:pPr>
      <w:ind w:left="720"/>
      <w:contextualSpacing/>
    </w:pPr>
  </w:style>
  <w:style w:type="paragraph" w:customStyle="1" w:styleId="Default">
    <w:name w:val="Default"/>
    <w:rsid w:val="004641DF"/>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2177061">
      <w:marLeft w:val="0"/>
      <w:marRight w:val="0"/>
      <w:marTop w:val="0"/>
      <w:marBottom w:val="0"/>
      <w:divBdr>
        <w:top w:val="none" w:sz="0" w:space="0" w:color="auto"/>
        <w:left w:val="none" w:sz="0" w:space="0" w:color="auto"/>
        <w:bottom w:val="none" w:sz="0" w:space="0" w:color="auto"/>
        <w:right w:val="none" w:sz="0" w:space="0" w:color="auto"/>
      </w:divBdr>
    </w:div>
    <w:div w:id="1992177062">
      <w:marLeft w:val="0"/>
      <w:marRight w:val="0"/>
      <w:marTop w:val="0"/>
      <w:marBottom w:val="0"/>
      <w:divBdr>
        <w:top w:val="none" w:sz="0" w:space="0" w:color="auto"/>
        <w:left w:val="none" w:sz="0" w:space="0" w:color="auto"/>
        <w:bottom w:val="none" w:sz="0" w:space="0" w:color="auto"/>
        <w:right w:val="none" w:sz="0" w:space="0" w:color="auto"/>
      </w:divBdr>
    </w:div>
    <w:div w:id="1992177063">
      <w:marLeft w:val="0"/>
      <w:marRight w:val="0"/>
      <w:marTop w:val="0"/>
      <w:marBottom w:val="0"/>
      <w:divBdr>
        <w:top w:val="none" w:sz="0" w:space="0" w:color="auto"/>
        <w:left w:val="none" w:sz="0" w:space="0" w:color="auto"/>
        <w:bottom w:val="none" w:sz="0" w:space="0" w:color="auto"/>
        <w:right w:val="none" w:sz="0" w:space="0" w:color="auto"/>
      </w:divBdr>
    </w:div>
    <w:div w:id="1992177064">
      <w:marLeft w:val="0"/>
      <w:marRight w:val="0"/>
      <w:marTop w:val="0"/>
      <w:marBottom w:val="0"/>
      <w:divBdr>
        <w:top w:val="none" w:sz="0" w:space="0" w:color="auto"/>
        <w:left w:val="none" w:sz="0" w:space="0" w:color="auto"/>
        <w:bottom w:val="none" w:sz="0" w:space="0" w:color="auto"/>
        <w:right w:val="none" w:sz="0" w:space="0" w:color="auto"/>
      </w:divBdr>
    </w:div>
    <w:div w:id="1992177065">
      <w:marLeft w:val="0"/>
      <w:marRight w:val="0"/>
      <w:marTop w:val="0"/>
      <w:marBottom w:val="0"/>
      <w:divBdr>
        <w:top w:val="none" w:sz="0" w:space="0" w:color="auto"/>
        <w:left w:val="none" w:sz="0" w:space="0" w:color="auto"/>
        <w:bottom w:val="none" w:sz="0" w:space="0" w:color="auto"/>
        <w:right w:val="none" w:sz="0" w:space="0" w:color="auto"/>
      </w:divBdr>
    </w:div>
    <w:div w:id="1992177066">
      <w:marLeft w:val="0"/>
      <w:marRight w:val="0"/>
      <w:marTop w:val="0"/>
      <w:marBottom w:val="0"/>
      <w:divBdr>
        <w:top w:val="none" w:sz="0" w:space="0" w:color="auto"/>
        <w:left w:val="none" w:sz="0" w:space="0" w:color="auto"/>
        <w:bottom w:val="none" w:sz="0" w:space="0" w:color="auto"/>
        <w:right w:val="none" w:sz="0" w:space="0" w:color="auto"/>
      </w:divBdr>
    </w:div>
    <w:div w:id="1992177067">
      <w:marLeft w:val="0"/>
      <w:marRight w:val="0"/>
      <w:marTop w:val="0"/>
      <w:marBottom w:val="0"/>
      <w:divBdr>
        <w:top w:val="none" w:sz="0" w:space="0" w:color="auto"/>
        <w:left w:val="none" w:sz="0" w:space="0" w:color="auto"/>
        <w:bottom w:val="none" w:sz="0" w:space="0" w:color="auto"/>
        <w:right w:val="none" w:sz="0" w:space="0" w:color="auto"/>
      </w:divBdr>
    </w:div>
    <w:div w:id="1992177068">
      <w:marLeft w:val="0"/>
      <w:marRight w:val="0"/>
      <w:marTop w:val="0"/>
      <w:marBottom w:val="0"/>
      <w:divBdr>
        <w:top w:val="none" w:sz="0" w:space="0" w:color="auto"/>
        <w:left w:val="none" w:sz="0" w:space="0" w:color="auto"/>
        <w:bottom w:val="none" w:sz="0" w:space="0" w:color="auto"/>
        <w:right w:val="none" w:sz="0" w:space="0" w:color="auto"/>
      </w:divBdr>
    </w:div>
    <w:div w:id="1992177069">
      <w:marLeft w:val="0"/>
      <w:marRight w:val="0"/>
      <w:marTop w:val="0"/>
      <w:marBottom w:val="0"/>
      <w:divBdr>
        <w:top w:val="none" w:sz="0" w:space="0" w:color="auto"/>
        <w:left w:val="none" w:sz="0" w:space="0" w:color="auto"/>
        <w:bottom w:val="none" w:sz="0" w:space="0" w:color="auto"/>
        <w:right w:val="none" w:sz="0" w:space="0" w:color="auto"/>
      </w:divBdr>
    </w:div>
    <w:div w:id="1992177070">
      <w:marLeft w:val="0"/>
      <w:marRight w:val="0"/>
      <w:marTop w:val="0"/>
      <w:marBottom w:val="0"/>
      <w:divBdr>
        <w:top w:val="none" w:sz="0" w:space="0" w:color="auto"/>
        <w:left w:val="none" w:sz="0" w:space="0" w:color="auto"/>
        <w:bottom w:val="none" w:sz="0" w:space="0" w:color="auto"/>
        <w:right w:val="none" w:sz="0" w:space="0" w:color="auto"/>
      </w:divBdr>
    </w:div>
    <w:div w:id="1992177071">
      <w:marLeft w:val="0"/>
      <w:marRight w:val="0"/>
      <w:marTop w:val="0"/>
      <w:marBottom w:val="0"/>
      <w:divBdr>
        <w:top w:val="none" w:sz="0" w:space="0" w:color="auto"/>
        <w:left w:val="none" w:sz="0" w:space="0" w:color="auto"/>
        <w:bottom w:val="none" w:sz="0" w:space="0" w:color="auto"/>
        <w:right w:val="none" w:sz="0" w:space="0" w:color="auto"/>
      </w:divBdr>
    </w:div>
    <w:div w:id="1992177072">
      <w:marLeft w:val="0"/>
      <w:marRight w:val="0"/>
      <w:marTop w:val="0"/>
      <w:marBottom w:val="0"/>
      <w:divBdr>
        <w:top w:val="none" w:sz="0" w:space="0" w:color="auto"/>
        <w:left w:val="none" w:sz="0" w:space="0" w:color="auto"/>
        <w:bottom w:val="none" w:sz="0" w:space="0" w:color="auto"/>
        <w:right w:val="none" w:sz="0" w:space="0" w:color="auto"/>
      </w:divBdr>
    </w:div>
    <w:div w:id="1992177073">
      <w:marLeft w:val="0"/>
      <w:marRight w:val="0"/>
      <w:marTop w:val="0"/>
      <w:marBottom w:val="0"/>
      <w:divBdr>
        <w:top w:val="none" w:sz="0" w:space="0" w:color="auto"/>
        <w:left w:val="none" w:sz="0" w:space="0" w:color="auto"/>
        <w:bottom w:val="none" w:sz="0" w:space="0" w:color="auto"/>
        <w:right w:val="none" w:sz="0" w:space="0" w:color="auto"/>
      </w:divBdr>
    </w:div>
    <w:div w:id="1992177074">
      <w:marLeft w:val="0"/>
      <w:marRight w:val="0"/>
      <w:marTop w:val="0"/>
      <w:marBottom w:val="0"/>
      <w:divBdr>
        <w:top w:val="none" w:sz="0" w:space="0" w:color="auto"/>
        <w:left w:val="none" w:sz="0" w:space="0" w:color="auto"/>
        <w:bottom w:val="none" w:sz="0" w:space="0" w:color="auto"/>
        <w:right w:val="none" w:sz="0" w:space="0" w:color="auto"/>
      </w:divBdr>
    </w:div>
    <w:div w:id="1992177075">
      <w:marLeft w:val="0"/>
      <w:marRight w:val="0"/>
      <w:marTop w:val="0"/>
      <w:marBottom w:val="0"/>
      <w:divBdr>
        <w:top w:val="none" w:sz="0" w:space="0" w:color="auto"/>
        <w:left w:val="none" w:sz="0" w:space="0" w:color="auto"/>
        <w:bottom w:val="none" w:sz="0" w:space="0" w:color="auto"/>
        <w:right w:val="none" w:sz="0" w:space="0" w:color="auto"/>
      </w:divBdr>
    </w:div>
    <w:div w:id="1992177076">
      <w:marLeft w:val="0"/>
      <w:marRight w:val="0"/>
      <w:marTop w:val="0"/>
      <w:marBottom w:val="0"/>
      <w:divBdr>
        <w:top w:val="none" w:sz="0" w:space="0" w:color="auto"/>
        <w:left w:val="none" w:sz="0" w:space="0" w:color="auto"/>
        <w:bottom w:val="none" w:sz="0" w:space="0" w:color="auto"/>
        <w:right w:val="none" w:sz="0" w:space="0" w:color="auto"/>
      </w:divBdr>
    </w:div>
    <w:div w:id="1992177077">
      <w:marLeft w:val="0"/>
      <w:marRight w:val="0"/>
      <w:marTop w:val="0"/>
      <w:marBottom w:val="0"/>
      <w:divBdr>
        <w:top w:val="none" w:sz="0" w:space="0" w:color="auto"/>
        <w:left w:val="none" w:sz="0" w:space="0" w:color="auto"/>
        <w:bottom w:val="none" w:sz="0" w:space="0" w:color="auto"/>
        <w:right w:val="none" w:sz="0" w:space="0" w:color="auto"/>
      </w:divBdr>
    </w:div>
    <w:div w:id="1992177078">
      <w:marLeft w:val="0"/>
      <w:marRight w:val="0"/>
      <w:marTop w:val="0"/>
      <w:marBottom w:val="0"/>
      <w:divBdr>
        <w:top w:val="none" w:sz="0" w:space="0" w:color="auto"/>
        <w:left w:val="none" w:sz="0" w:space="0" w:color="auto"/>
        <w:bottom w:val="none" w:sz="0" w:space="0" w:color="auto"/>
        <w:right w:val="none" w:sz="0" w:space="0" w:color="auto"/>
      </w:divBdr>
    </w:div>
    <w:div w:id="1992177079">
      <w:marLeft w:val="0"/>
      <w:marRight w:val="0"/>
      <w:marTop w:val="0"/>
      <w:marBottom w:val="0"/>
      <w:divBdr>
        <w:top w:val="none" w:sz="0" w:space="0" w:color="auto"/>
        <w:left w:val="none" w:sz="0" w:space="0" w:color="auto"/>
        <w:bottom w:val="none" w:sz="0" w:space="0" w:color="auto"/>
        <w:right w:val="none" w:sz="0" w:space="0" w:color="auto"/>
      </w:divBdr>
    </w:div>
    <w:div w:id="1992177080">
      <w:marLeft w:val="0"/>
      <w:marRight w:val="0"/>
      <w:marTop w:val="0"/>
      <w:marBottom w:val="0"/>
      <w:divBdr>
        <w:top w:val="none" w:sz="0" w:space="0" w:color="auto"/>
        <w:left w:val="none" w:sz="0" w:space="0" w:color="auto"/>
        <w:bottom w:val="none" w:sz="0" w:space="0" w:color="auto"/>
        <w:right w:val="none" w:sz="0" w:space="0" w:color="auto"/>
      </w:divBdr>
    </w:div>
    <w:div w:id="1992177081">
      <w:marLeft w:val="0"/>
      <w:marRight w:val="0"/>
      <w:marTop w:val="0"/>
      <w:marBottom w:val="0"/>
      <w:divBdr>
        <w:top w:val="none" w:sz="0" w:space="0" w:color="auto"/>
        <w:left w:val="none" w:sz="0" w:space="0" w:color="auto"/>
        <w:bottom w:val="none" w:sz="0" w:space="0" w:color="auto"/>
        <w:right w:val="none" w:sz="0" w:space="0" w:color="auto"/>
      </w:divBdr>
    </w:div>
    <w:div w:id="1992177082">
      <w:marLeft w:val="0"/>
      <w:marRight w:val="0"/>
      <w:marTop w:val="0"/>
      <w:marBottom w:val="0"/>
      <w:divBdr>
        <w:top w:val="none" w:sz="0" w:space="0" w:color="auto"/>
        <w:left w:val="none" w:sz="0" w:space="0" w:color="auto"/>
        <w:bottom w:val="none" w:sz="0" w:space="0" w:color="auto"/>
        <w:right w:val="none" w:sz="0" w:space="0" w:color="auto"/>
      </w:divBdr>
    </w:div>
    <w:div w:id="1992177083">
      <w:marLeft w:val="0"/>
      <w:marRight w:val="0"/>
      <w:marTop w:val="0"/>
      <w:marBottom w:val="0"/>
      <w:divBdr>
        <w:top w:val="none" w:sz="0" w:space="0" w:color="auto"/>
        <w:left w:val="none" w:sz="0" w:space="0" w:color="auto"/>
        <w:bottom w:val="none" w:sz="0" w:space="0" w:color="auto"/>
        <w:right w:val="none" w:sz="0" w:space="0" w:color="auto"/>
      </w:divBdr>
    </w:div>
    <w:div w:id="1992177084">
      <w:marLeft w:val="0"/>
      <w:marRight w:val="0"/>
      <w:marTop w:val="0"/>
      <w:marBottom w:val="0"/>
      <w:divBdr>
        <w:top w:val="none" w:sz="0" w:space="0" w:color="auto"/>
        <w:left w:val="none" w:sz="0" w:space="0" w:color="auto"/>
        <w:bottom w:val="none" w:sz="0" w:space="0" w:color="auto"/>
        <w:right w:val="none" w:sz="0" w:space="0" w:color="auto"/>
      </w:divBdr>
    </w:div>
    <w:div w:id="1992177085">
      <w:marLeft w:val="0"/>
      <w:marRight w:val="0"/>
      <w:marTop w:val="0"/>
      <w:marBottom w:val="0"/>
      <w:divBdr>
        <w:top w:val="none" w:sz="0" w:space="0" w:color="auto"/>
        <w:left w:val="none" w:sz="0" w:space="0" w:color="auto"/>
        <w:bottom w:val="none" w:sz="0" w:space="0" w:color="auto"/>
        <w:right w:val="none" w:sz="0" w:space="0" w:color="auto"/>
      </w:divBdr>
    </w:div>
    <w:div w:id="1992177086">
      <w:marLeft w:val="0"/>
      <w:marRight w:val="0"/>
      <w:marTop w:val="0"/>
      <w:marBottom w:val="0"/>
      <w:divBdr>
        <w:top w:val="none" w:sz="0" w:space="0" w:color="auto"/>
        <w:left w:val="none" w:sz="0" w:space="0" w:color="auto"/>
        <w:bottom w:val="none" w:sz="0" w:space="0" w:color="auto"/>
        <w:right w:val="none" w:sz="0" w:space="0" w:color="auto"/>
      </w:divBdr>
    </w:div>
    <w:div w:id="1992177087">
      <w:marLeft w:val="0"/>
      <w:marRight w:val="0"/>
      <w:marTop w:val="0"/>
      <w:marBottom w:val="0"/>
      <w:divBdr>
        <w:top w:val="none" w:sz="0" w:space="0" w:color="auto"/>
        <w:left w:val="none" w:sz="0" w:space="0" w:color="auto"/>
        <w:bottom w:val="none" w:sz="0" w:space="0" w:color="auto"/>
        <w:right w:val="none" w:sz="0" w:space="0" w:color="auto"/>
      </w:divBdr>
    </w:div>
    <w:div w:id="1992177088">
      <w:marLeft w:val="0"/>
      <w:marRight w:val="0"/>
      <w:marTop w:val="0"/>
      <w:marBottom w:val="0"/>
      <w:divBdr>
        <w:top w:val="none" w:sz="0" w:space="0" w:color="auto"/>
        <w:left w:val="none" w:sz="0" w:space="0" w:color="auto"/>
        <w:bottom w:val="none" w:sz="0" w:space="0" w:color="auto"/>
        <w:right w:val="none" w:sz="0" w:space="0" w:color="auto"/>
      </w:divBdr>
    </w:div>
    <w:div w:id="1992177089">
      <w:marLeft w:val="0"/>
      <w:marRight w:val="0"/>
      <w:marTop w:val="0"/>
      <w:marBottom w:val="0"/>
      <w:divBdr>
        <w:top w:val="none" w:sz="0" w:space="0" w:color="auto"/>
        <w:left w:val="none" w:sz="0" w:space="0" w:color="auto"/>
        <w:bottom w:val="none" w:sz="0" w:space="0" w:color="auto"/>
        <w:right w:val="none" w:sz="0" w:space="0" w:color="auto"/>
      </w:divBdr>
    </w:div>
    <w:div w:id="1992177090">
      <w:marLeft w:val="0"/>
      <w:marRight w:val="0"/>
      <w:marTop w:val="0"/>
      <w:marBottom w:val="0"/>
      <w:divBdr>
        <w:top w:val="none" w:sz="0" w:space="0" w:color="auto"/>
        <w:left w:val="none" w:sz="0" w:space="0" w:color="auto"/>
        <w:bottom w:val="none" w:sz="0" w:space="0" w:color="auto"/>
        <w:right w:val="none" w:sz="0" w:space="0" w:color="auto"/>
      </w:divBdr>
    </w:div>
    <w:div w:id="1992177091">
      <w:marLeft w:val="0"/>
      <w:marRight w:val="0"/>
      <w:marTop w:val="0"/>
      <w:marBottom w:val="0"/>
      <w:divBdr>
        <w:top w:val="none" w:sz="0" w:space="0" w:color="auto"/>
        <w:left w:val="none" w:sz="0" w:space="0" w:color="auto"/>
        <w:bottom w:val="none" w:sz="0" w:space="0" w:color="auto"/>
        <w:right w:val="none" w:sz="0" w:space="0" w:color="auto"/>
      </w:divBdr>
    </w:div>
    <w:div w:id="1992177092">
      <w:marLeft w:val="0"/>
      <w:marRight w:val="0"/>
      <w:marTop w:val="0"/>
      <w:marBottom w:val="0"/>
      <w:divBdr>
        <w:top w:val="none" w:sz="0" w:space="0" w:color="auto"/>
        <w:left w:val="none" w:sz="0" w:space="0" w:color="auto"/>
        <w:bottom w:val="none" w:sz="0" w:space="0" w:color="auto"/>
        <w:right w:val="none" w:sz="0" w:space="0" w:color="auto"/>
      </w:divBdr>
    </w:div>
    <w:div w:id="1992177093">
      <w:marLeft w:val="0"/>
      <w:marRight w:val="0"/>
      <w:marTop w:val="0"/>
      <w:marBottom w:val="0"/>
      <w:divBdr>
        <w:top w:val="none" w:sz="0" w:space="0" w:color="auto"/>
        <w:left w:val="none" w:sz="0" w:space="0" w:color="auto"/>
        <w:bottom w:val="none" w:sz="0" w:space="0" w:color="auto"/>
        <w:right w:val="none" w:sz="0" w:space="0" w:color="auto"/>
      </w:divBdr>
    </w:div>
    <w:div w:id="1992177094">
      <w:marLeft w:val="0"/>
      <w:marRight w:val="0"/>
      <w:marTop w:val="0"/>
      <w:marBottom w:val="0"/>
      <w:divBdr>
        <w:top w:val="none" w:sz="0" w:space="0" w:color="auto"/>
        <w:left w:val="none" w:sz="0" w:space="0" w:color="auto"/>
        <w:bottom w:val="none" w:sz="0" w:space="0" w:color="auto"/>
        <w:right w:val="none" w:sz="0" w:space="0" w:color="auto"/>
      </w:divBdr>
    </w:div>
    <w:div w:id="1992177095">
      <w:marLeft w:val="0"/>
      <w:marRight w:val="0"/>
      <w:marTop w:val="0"/>
      <w:marBottom w:val="0"/>
      <w:divBdr>
        <w:top w:val="none" w:sz="0" w:space="0" w:color="auto"/>
        <w:left w:val="none" w:sz="0" w:space="0" w:color="auto"/>
        <w:bottom w:val="none" w:sz="0" w:space="0" w:color="auto"/>
        <w:right w:val="none" w:sz="0" w:space="0" w:color="auto"/>
      </w:divBdr>
    </w:div>
    <w:div w:id="1992177096">
      <w:marLeft w:val="0"/>
      <w:marRight w:val="0"/>
      <w:marTop w:val="0"/>
      <w:marBottom w:val="0"/>
      <w:divBdr>
        <w:top w:val="none" w:sz="0" w:space="0" w:color="auto"/>
        <w:left w:val="none" w:sz="0" w:space="0" w:color="auto"/>
        <w:bottom w:val="none" w:sz="0" w:space="0" w:color="auto"/>
        <w:right w:val="none" w:sz="0" w:space="0" w:color="auto"/>
      </w:divBdr>
    </w:div>
    <w:div w:id="1992177097">
      <w:marLeft w:val="0"/>
      <w:marRight w:val="0"/>
      <w:marTop w:val="0"/>
      <w:marBottom w:val="0"/>
      <w:divBdr>
        <w:top w:val="none" w:sz="0" w:space="0" w:color="auto"/>
        <w:left w:val="none" w:sz="0" w:space="0" w:color="auto"/>
        <w:bottom w:val="none" w:sz="0" w:space="0" w:color="auto"/>
        <w:right w:val="none" w:sz="0" w:space="0" w:color="auto"/>
      </w:divBdr>
    </w:div>
    <w:div w:id="1992177098">
      <w:marLeft w:val="0"/>
      <w:marRight w:val="0"/>
      <w:marTop w:val="0"/>
      <w:marBottom w:val="0"/>
      <w:divBdr>
        <w:top w:val="none" w:sz="0" w:space="0" w:color="auto"/>
        <w:left w:val="none" w:sz="0" w:space="0" w:color="auto"/>
        <w:bottom w:val="none" w:sz="0" w:space="0" w:color="auto"/>
        <w:right w:val="none" w:sz="0" w:space="0" w:color="auto"/>
      </w:divBdr>
    </w:div>
    <w:div w:id="1992177099">
      <w:marLeft w:val="0"/>
      <w:marRight w:val="0"/>
      <w:marTop w:val="0"/>
      <w:marBottom w:val="0"/>
      <w:divBdr>
        <w:top w:val="none" w:sz="0" w:space="0" w:color="auto"/>
        <w:left w:val="none" w:sz="0" w:space="0" w:color="auto"/>
        <w:bottom w:val="none" w:sz="0" w:space="0" w:color="auto"/>
        <w:right w:val="none" w:sz="0" w:space="0" w:color="auto"/>
      </w:divBdr>
    </w:div>
    <w:div w:id="1992177100">
      <w:marLeft w:val="0"/>
      <w:marRight w:val="0"/>
      <w:marTop w:val="0"/>
      <w:marBottom w:val="0"/>
      <w:divBdr>
        <w:top w:val="none" w:sz="0" w:space="0" w:color="auto"/>
        <w:left w:val="none" w:sz="0" w:space="0" w:color="auto"/>
        <w:bottom w:val="none" w:sz="0" w:space="0" w:color="auto"/>
        <w:right w:val="none" w:sz="0" w:space="0" w:color="auto"/>
      </w:divBdr>
    </w:div>
    <w:div w:id="1992177101">
      <w:marLeft w:val="0"/>
      <w:marRight w:val="0"/>
      <w:marTop w:val="0"/>
      <w:marBottom w:val="0"/>
      <w:divBdr>
        <w:top w:val="none" w:sz="0" w:space="0" w:color="auto"/>
        <w:left w:val="none" w:sz="0" w:space="0" w:color="auto"/>
        <w:bottom w:val="none" w:sz="0" w:space="0" w:color="auto"/>
        <w:right w:val="none" w:sz="0" w:space="0" w:color="auto"/>
      </w:divBdr>
    </w:div>
    <w:div w:id="1992177102">
      <w:marLeft w:val="0"/>
      <w:marRight w:val="0"/>
      <w:marTop w:val="0"/>
      <w:marBottom w:val="0"/>
      <w:divBdr>
        <w:top w:val="none" w:sz="0" w:space="0" w:color="auto"/>
        <w:left w:val="none" w:sz="0" w:space="0" w:color="auto"/>
        <w:bottom w:val="none" w:sz="0" w:space="0" w:color="auto"/>
        <w:right w:val="none" w:sz="0" w:space="0" w:color="auto"/>
      </w:divBdr>
    </w:div>
    <w:div w:id="1992177103">
      <w:marLeft w:val="0"/>
      <w:marRight w:val="0"/>
      <w:marTop w:val="0"/>
      <w:marBottom w:val="0"/>
      <w:divBdr>
        <w:top w:val="none" w:sz="0" w:space="0" w:color="auto"/>
        <w:left w:val="none" w:sz="0" w:space="0" w:color="auto"/>
        <w:bottom w:val="none" w:sz="0" w:space="0" w:color="auto"/>
        <w:right w:val="none" w:sz="0" w:space="0" w:color="auto"/>
      </w:divBdr>
    </w:div>
    <w:div w:id="1992177104">
      <w:marLeft w:val="0"/>
      <w:marRight w:val="0"/>
      <w:marTop w:val="0"/>
      <w:marBottom w:val="0"/>
      <w:divBdr>
        <w:top w:val="none" w:sz="0" w:space="0" w:color="auto"/>
        <w:left w:val="none" w:sz="0" w:space="0" w:color="auto"/>
        <w:bottom w:val="none" w:sz="0" w:space="0" w:color="auto"/>
        <w:right w:val="none" w:sz="0" w:space="0" w:color="auto"/>
      </w:divBdr>
    </w:div>
    <w:div w:id="1992177105">
      <w:marLeft w:val="0"/>
      <w:marRight w:val="0"/>
      <w:marTop w:val="0"/>
      <w:marBottom w:val="0"/>
      <w:divBdr>
        <w:top w:val="none" w:sz="0" w:space="0" w:color="auto"/>
        <w:left w:val="none" w:sz="0" w:space="0" w:color="auto"/>
        <w:bottom w:val="none" w:sz="0" w:space="0" w:color="auto"/>
        <w:right w:val="none" w:sz="0" w:space="0" w:color="auto"/>
      </w:divBdr>
    </w:div>
    <w:div w:id="1992177106">
      <w:marLeft w:val="0"/>
      <w:marRight w:val="0"/>
      <w:marTop w:val="0"/>
      <w:marBottom w:val="0"/>
      <w:divBdr>
        <w:top w:val="none" w:sz="0" w:space="0" w:color="auto"/>
        <w:left w:val="none" w:sz="0" w:space="0" w:color="auto"/>
        <w:bottom w:val="none" w:sz="0" w:space="0" w:color="auto"/>
        <w:right w:val="none" w:sz="0" w:space="0" w:color="auto"/>
      </w:divBdr>
    </w:div>
    <w:div w:id="1992177107">
      <w:marLeft w:val="0"/>
      <w:marRight w:val="0"/>
      <w:marTop w:val="0"/>
      <w:marBottom w:val="0"/>
      <w:divBdr>
        <w:top w:val="none" w:sz="0" w:space="0" w:color="auto"/>
        <w:left w:val="none" w:sz="0" w:space="0" w:color="auto"/>
        <w:bottom w:val="none" w:sz="0" w:space="0" w:color="auto"/>
        <w:right w:val="none" w:sz="0" w:space="0" w:color="auto"/>
      </w:divBdr>
    </w:div>
    <w:div w:id="1992177108">
      <w:marLeft w:val="0"/>
      <w:marRight w:val="0"/>
      <w:marTop w:val="0"/>
      <w:marBottom w:val="0"/>
      <w:divBdr>
        <w:top w:val="none" w:sz="0" w:space="0" w:color="auto"/>
        <w:left w:val="none" w:sz="0" w:space="0" w:color="auto"/>
        <w:bottom w:val="none" w:sz="0" w:space="0" w:color="auto"/>
        <w:right w:val="none" w:sz="0" w:space="0" w:color="auto"/>
      </w:divBdr>
    </w:div>
    <w:div w:id="1992177109">
      <w:marLeft w:val="0"/>
      <w:marRight w:val="0"/>
      <w:marTop w:val="0"/>
      <w:marBottom w:val="0"/>
      <w:divBdr>
        <w:top w:val="none" w:sz="0" w:space="0" w:color="auto"/>
        <w:left w:val="none" w:sz="0" w:space="0" w:color="auto"/>
        <w:bottom w:val="none" w:sz="0" w:space="0" w:color="auto"/>
        <w:right w:val="none" w:sz="0" w:space="0" w:color="auto"/>
      </w:divBdr>
    </w:div>
    <w:div w:id="1992177110">
      <w:marLeft w:val="0"/>
      <w:marRight w:val="0"/>
      <w:marTop w:val="0"/>
      <w:marBottom w:val="0"/>
      <w:divBdr>
        <w:top w:val="none" w:sz="0" w:space="0" w:color="auto"/>
        <w:left w:val="none" w:sz="0" w:space="0" w:color="auto"/>
        <w:bottom w:val="none" w:sz="0" w:space="0" w:color="auto"/>
        <w:right w:val="none" w:sz="0" w:space="0" w:color="auto"/>
      </w:divBdr>
    </w:div>
    <w:div w:id="1992177111">
      <w:marLeft w:val="0"/>
      <w:marRight w:val="0"/>
      <w:marTop w:val="0"/>
      <w:marBottom w:val="0"/>
      <w:divBdr>
        <w:top w:val="none" w:sz="0" w:space="0" w:color="auto"/>
        <w:left w:val="none" w:sz="0" w:space="0" w:color="auto"/>
        <w:bottom w:val="none" w:sz="0" w:space="0" w:color="auto"/>
        <w:right w:val="none" w:sz="0" w:space="0" w:color="auto"/>
      </w:divBdr>
    </w:div>
    <w:div w:id="1992177112">
      <w:marLeft w:val="0"/>
      <w:marRight w:val="0"/>
      <w:marTop w:val="0"/>
      <w:marBottom w:val="0"/>
      <w:divBdr>
        <w:top w:val="none" w:sz="0" w:space="0" w:color="auto"/>
        <w:left w:val="none" w:sz="0" w:space="0" w:color="auto"/>
        <w:bottom w:val="none" w:sz="0" w:space="0" w:color="auto"/>
        <w:right w:val="none" w:sz="0" w:space="0" w:color="auto"/>
      </w:divBdr>
    </w:div>
    <w:div w:id="1992177113">
      <w:marLeft w:val="0"/>
      <w:marRight w:val="0"/>
      <w:marTop w:val="0"/>
      <w:marBottom w:val="0"/>
      <w:divBdr>
        <w:top w:val="none" w:sz="0" w:space="0" w:color="auto"/>
        <w:left w:val="none" w:sz="0" w:space="0" w:color="auto"/>
        <w:bottom w:val="none" w:sz="0" w:space="0" w:color="auto"/>
        <w:right w:val="none" w:sz="0" w:space="0" w:color="auto"/>
      </w:divBdr>
    </w:div>
    <w:div w:id="1992177114">
      <w:marLeft w:val="0"/>
      <w:marRight w:val="0"/>
      <w:marTop w:val="0"/>
      <w:marBottom w:val="0"/>
      <w:divBdr>
        <w:top w:val="none" w:sz="0" w:space="0" w:color="auto"/>
        <w:left w:val="none" w:sz="0" w:space="0" w:color="auto"/>
        <w:bottom w:val="none" w:sz="0" w:space="0" w:color="auto"/>
        <w:right w:val="none" w:sz="0" w:space="0" w:color="auto"/>
      </w:divBdr>
    </w:div>
    <w:div w:id="1992177115">
      <w:marLeft w:val="0"/>
      <w:marRight w:val="0"/>
      <w:marTop w:val="0"/>
      <w:marBottom w:val="0"/>
      <w:divBdr>
        <w:top w:val="none" w:sz="0" w:space="0" w:color="auto"/>
        <w:left w:val="none" w:sz="0" w:space="0" w:color="auto"/>
        <w:bottom w:val="none" w:sz="0" w:space="0" w:color="auto"/>
        <w:right w:val="none" w:sz="0" w:space="0" w:color="auto"/>
      </w:divBdr>
    </w:div>
    <w:div w:id="199217711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2138</Words>
  <Characters>12954</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15062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Eva Srnkova</cp:lastModifiedBy>
  <cp:revision>2</cp:revision>
  <cp:lastPrinted>2011-10-26T08:42:00Z</cp:lastPrinted>
  <dcterms:created xsi:type="dcterms:W3CDTF">2018-03-17T12:40:00Z</dcterms:created>
  <dcterms:modified xsi:type="dcterms:W3CDTF">2018-03-17T12:40:00Z</dcterms:modified>
</cp:coreProperties>
</file>