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spacing w:lineRule="auto" w:line="240" w:before="0" w:after="12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POZNÁMKY K ÚČTOVNEJ ZÁVIERKE 201</w:t>
      </w:r>
      <w:bookmarkStart w:id="0" w:name="_GoBack"/>
      <w:bookmarkEnd w:id="0"/>
      <w:r>
        <w:rPr>
          <w:rFonts w:eastAsia="Calibri" w:cs="Calibri" w:ascii="Calibri" w:hAnsi="Calibri"/>
          <w:b/>
          <w:sz w:val="24"/>
          <w:szCs w:val="24"/>
        </w:rPr>
        <w:t>7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pre mikro účtovné jednotky</w:t>
      </w: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 – VŠEOBECNÉ INFORMÁCIE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1) Základné informácie o účtovnej jednotke:</w:t>
      </w:r>
    </w:p>
    <w:p>
      <w:pPr>
        <w:pStyle w:val="Normal"/>
        <w:spacing w:lineRule="auto" w:line="240"/>
        <w:rPr/>
      </w:pPr>
      <w:r>
        <w:rPr/>
      </w:r>
    </w:p>
    <w:tbl>
      <w:tblPr>
        <w:tblStyle w:val="a"/>
        <w:tblW w:w="9714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5"/>
        <w:gridCol w:w="6878"/>
      </w:tblGrid>
      <w:tr>
        <w:trPr>
          <w:trHeight w:val="34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KOZAK-TRANSPORT s.r.o.</w:t>
            </w:r>
          </w:p>
        </w:tc>
      </w:tr>
      <w:tr>
        <w:trPr>
          <w:trHeight w:val="3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Horelica 478, Čadca</w:t>
            </w:r>
          </w:p>
        </w:tc>
      </w:tr>
      <w:tr>
        <w:trPr>
          <w:trHeight w:val="1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s ručením obmedzeným</w:t>
            </w:r>
          </w:p>
        </w:tc>
      </w:tr>
      <w:tr>
        <w:trPr>
          <w:trHeight w:val="2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Zápis do obchodného registra: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17.12.2013</w:t>
            </w:r>
          </w:p>
        </w:tc>
      </w:tr>
      <w:tr>
        <w:trPr>
          <w:trHeight w:val="26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ind w:right="1027" w:hanging="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/>
            </w:r>
          </w:p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Nákladná cestná doprava</w:t>
            </w:r>
          </w:p>
        </w:tc>
      </w:tr>
      <w:tr>
        <w:trPr>
          <w:trHeight w:val="5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nie je subjektom verejného záujmu (§ 2/14 ZoU).</w:t>
            </w:r>
          </w:p>
        </w:tc>
      </w:tr>
      <w:tr>
        <w:trPr>
          <w:trHeight w:val="30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Kalendárny rok 201</w:t>
            </w:r>
            <w:r>
              <w:rPr>
                <w:rFonts w:eastAsia="Calibri" w:cs="Calibri" w:ascii="Calibri" w:hAnsi="Calibri"/>
                <w:sz w:val="24"/>
                <w:szCs w:val="24"/>
              </w:rPr>
              <w:t>7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UJ bola v účtovnom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– mikro účtovná jednotka, preto zostavuje účtovnú závierku podľa metodiky pre túto veľkostnú skupinu (Opatrenie č.MF/23378/2014-74).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Dátum schválenia účtovnej závierky za bezprostredne predchádzajúce účtovné obdobie príslušným orgánom účtovnej jednotky:</w:t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widowControl w:val="false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3) Právny dôvod na zostavenie účtovnej závierky: Účtovná závierka Spoločnosti k 31.12.2016 je zostavená ako riadna účtovná závierka podľa §17 ods. 6 Zákona č. 431/2002 Z.z. o účtovníctve za účtovné obdobie od 01. januára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do 31. decembra 201</w:t>
      </w:r>
      <w:r>
        <w:rPr>
          <w:rFonts w:eastAsia="Calibri" w:cs="Calibri" w:ascii="Calibri" w:hAnsi="Calibri"/>
          <w:sz w:val="24"/>
          <w:szCs w:val="24"/>
        </w:rPr>
        <w:t>7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nie je v skupine účtovných jednotiek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6"/>
        <w:gridCol w:w="2523"/>
        <w:gridCol w:w="2368"/>
      </w:tblGrid>
      <w:tr>
        <w:trPr>
          <w:trHeight w:val="520" w:hRule="atLeast"/>
        </w:trPr>
        <w:tc>
          <w:tcPr>
            <w:tcW w:w="48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ind w:right="459" w:hanging="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160" w:hRule="atLeast"/>
        </w:trPr>
        <w:tc>
          <w:tcPr>
            <w:tcW w:w="48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/>
        <w:ind w:left="928"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 – INFORMÁCIE O ORGÁNOCH SPOLOČNOSTI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b/>
          <w:sz w:val="24"/>
          <w:szCs w:val="24"/>
        </w:rPr>
        <w:t>Informácie o orgánoch účtovnej jednotky</w:t>
      </w:r>
      <w:r>
        <w:rPr>
          <w:rFonts w:eastAsia="Calibri" w:cs="Calibri" w:ascii="Calibri" w:hAnsi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969"/>
        <w:gridCol w:w="2488"/>
        <w:gridCol w:w="2360"/>
      </w:tblGrid>
      <w:tr>
        <w:trPr>
          <w:trHeight w:val="8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/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ind w:left="720" w:hanging="0"/>
              <w:rPr/>
            </w:pPr>
            <w:r>
              <w:rPr/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</w:tbl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III – INFORMÁCIE O PRIJATÝCH POSTUPOCH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neeviduje žiadne transakcie, ktoré sa neuvádzajú v súvahe.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Spôsob a určenie oceňovania majetku a záväzkov (vrátane rozhodujúcich odhadov):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a) Spôsob oceňovania majetku a záväzkov (§ 25 ZoU):</w:t>
      </w:r>
    </w:p>
    <w:p>
      <w:pPr>
        <w:pStyle w:val="Normal"/>
        <w:widowControl w:val="false"/>
        <w:tabs>
          <w:tab w:val="left" w:pos="808" w:leader="none"/>
        </w:tabs>
        <w:spacing w:lineRule="auto" w:line="240"/>
        <w:jc w:val="both"/>
        <w:rPr/>
      </w:pPr>
      <w:r>
        <w:rPr/>
      </w:r>
    </w:p>
    <w:tbl>
      <w:tblPr>
        <w:tblStyle w:val="a2"/>
        <w:tblW w:w="9606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b) Trvalé zníženie hodnoty majetku nebolo účtované.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c) Záväzky účtovná jednotka ocenila menovitou hodnotou záväzkov.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d) Účtovná jednotka nepoužila dobrovoľné oceňovanie obchodných podielov metódou vlastného imania (§ 27/9 ZoU).</w:t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/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4"/>
        <w:gridCol w:w="2107"/>
        <w:gridCol w:w="2267"/>
      </w:tblGrid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Dlhodobý hmotný a nehmotný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číslo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doba odpisovania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 xml:space="preserve">odpisová sadzba 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 w:before="0" w:after="120"/>
        <w:rPr/>
      </w:pPr>
      <w:r>
        <w:rPr>
          <w:rFonts w:eastAsia="Calibri" w:cs="Calibri" w:ascii="Calibri" w:hAnsi="Calibri"/>
          <w:sz w:val="24"/>
          <w:szCs w:val="24"/>
        </w:rPr>
        <w:t xml:space="preserve">Komentár k odpisovému plánu: 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nepoužila jednorazový odpis</w:t>
      </w:r>
      <w:r>
        <w:rPr>
          <w:rFonts w:eastAsia="Calibri" w:cs="Calibri" w:ascii="Calibri" w:hAnsi="Calibri"/>
          <w:b/>
          <w:sz w:val="24"/>
          <w:szCs w:val="24"/>
        </w:rPr>
        <w:t xml:space="preserve"> </w:t>
      </w:r>
      <w:r>
        <w:rPr>
          <w:rFonts w:eastAsia="Calibri" w:cs="Calibri" w:ascii="Calibri" w:hAnsi="Calibri"/>
          <w:sz w:val="24"/>
          <w:szCs w:val="24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360" w:hanging="360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g) ÚJ neboli v zdaňovacom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poskytnuté žiadne dotácie</w:t>
      </w:r>
    </w:p>
    <w:p>
      <w:pPr>
        <w:pStyle w:val="Normal"/>
        <w:keepNext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5) ÚJ v zdaňovacom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nevykonala žiadne opravy významných chýb.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IV – INFORMÁCIE, KTORÉ VYSVETĽUJÚ A DOPĹŇAJÚ SÚVAHU A VÝKAZ ZISKOV A STRÁT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neeviduje žiadne položky nehmotného majetku.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položky významných derivátov, majetku a záväzkoch zabezpečených derivátmi.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3a) ÚJ neeviduje žiadne položky zabezpečených záväzkov so zostatkovou dobou splatnosti dlhšou </w:t>
        <w:tab/>
        <w:tab/>
        <w:tab/>
        <w:tab/>
        <w:tab/>
        <w:t xml:space="preserve"> ako 5 rokov:  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tbl>
      <w:tblPr>
        <w:tblStyle w:val="a4"/>
        <w:tblW w:w="9714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2"/>
        <w:gridCol w:w="2377"/>
      </w:tblGrid>
      <w:tr>
        <w:trPr>
          <w:trHeight w:val="68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0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3b) ÚJ neeviduje žiadne položky zabezpečených záväzkov.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neeviduje žiadne vlastné akcie.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ÚJ neeviduje žiadne položky nákladov alebo výnosov, ktoré majú výnimočný rozsah alebo výskyt.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 – INFORMÁCIE O INÝCH AKTÍVACH A INÝCH PASÍVACH</w:t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1a) ÚJ neeviduje žiadne položky podmieneného majetku.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1b) ÚJ neeviduje žiadne položky podmienených záväzkov.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ostatné finančné povinnosti, ktoré a nevykazujú v účtovných výkazoch.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3 V účtovníctve ÚJ sa nenachádzajú žiadne položky evidované na podsúvahových účtoch.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 – UDALOSTI, KTORÉ NASTALI PO ZÁVIERKOVOM DNI</w:t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(Následné udalosti)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ÚJ neeviduje žiadne udalosti, ktoré nastali po závierkovom dni.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VII – OSTATNÉ INFORMÁCIE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nemá žiadne právo poskytovať služby vo verejnom záujme.</w:t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nemá žiadnu priemyselnú výrobu.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nemá žiadne finančné vzťahy s orgánmi verejnej moci.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sectPr>
      <w:headerReference w:type="default" r:id="rId2"/>
      <w:footerReference w:type="default" r:id="rId3"/>
      <w:type w:val="nextPage"/>
      <w:pgSz w:w="11906" w:h="16838"/>
      <w:pgMar w:left="1417" w:right="992" w:header="708" w:top="1417" w:footer="708" w:bottom="1417" w:gutter="0"/>
      <w:pgNumType w:start="1"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Georgi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enter" w:pos="4536" w:leader="none"/>
        <w:tab w:val="right" w:pos="9072" w:leader="none"/>
      </w:tabs>
      <w:spacing w:lineRule="auto" w:line="24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6</w:t>
    </w:r>
    <w:r>
      <w:fldChar w:fldCharType="end"/>
    </w:r>
  </w:p>
  <w:p>
    <w:pPr>
      <w:pStyle w:val="Normal"/>
      <w:tabs>
        <w:tab w:val="center" w:pos="4536" w:leader="none"/>
        <w:tab w:val="right" w:pos="9072" w:leader="none"/>
      </w:tabs>
      <w:spacing w:lineRule="auto" w:line="240" w:before="0" w:after="567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Poznámky Úč POD 3 – 01          </w:t>
    </w:r>
    <w:r>
      <w:rPr>
        <w:color w:val="707070"/>
        <w:sz w:val="18"/>
        <w:szCs w:val="18"/>
        <w:highlight w:val="white"/>
      </w:rPr>
      <w:tab/>
    </w:r>
    <w:r>
      <w:rPr/>
      <w:t xml:space="preserve">                 IČO: </w:t>
    </w:r>
    <w:r>
      <w:rPr/>
      <w:t xml:space="preserve">47552506  </w:t>
    </w:r>
    <w:r>
      <w:rPr/>
      <w:t xml:space="preserve"> DIČ: </w:t>
    </w:r>
    <w:r>
      <w:rPr/>
      <w:t>2024005808</w:t>
    </w:r>
  </w:p>
  <w:p>
    <w:pPr>
      <w:pStyle w:val="Normal"/>
      <w:tabs>
        <w:tab w:val="center" w:pos="4703" w:leader="none"/>
        <w:tab w:val="right" w:pos="9406" w:leader="none"/>
      </w:tabs>
      <w:spacing w:lineRule="auto" w:line="24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"/>
      <w:numFmt w:val="bullet"/>
      <w:lvlText w:val="-"/>
      <w:lvlJc w:val="left"/>
      <w:pPr>
        <w:ind w:left="720" w:hanging="-3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-10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-18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-25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-32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-39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-46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-54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-61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2">
    <w:lvl w:ilvl="0">
      <w:start w:val="1"/>
      <w:numFmt w:val="bullet"/>
      <w:lvlText w:val="➢"/>
      <w:lvlJc w:val="left"/>
      <w:pPr>
        <w:ind w:left="3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080" w:hanging="-7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1800" w:hanging="-14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520" w:hanging="-21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240" w:hanging="-28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3960" w:hanging="-36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4680" w:hanging="-43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400" w:hanging="-50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120" w:hanging="-57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3">
    <w:lvl w:ilvl="0">
      <w:numFmt w:val="bullet"/>
      <w:lvlText w:val="-"/>
      <w:lvlJc w:val="left"/>
      <w:pPr>
        <w:ind w:left="720" w:hanging="-3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-10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-18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-25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-32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-39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-46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-54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-61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defaultTabStop w:val="720"/>
  <w:compat>
    <w:compatSetting w:name="compatibilityMode" w:uri="http://schemas.microsoft.com/office/word" w:val="14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color w:val="000000"/>
        <w:sz w:val="22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/>
      <w:jc w:val="left"/>
    </w:pPr>
    <w:rPr>
      <w:rFonts w:ascii="Arial" w:hAnsi="Arial" w:eastAsia="Arial" w:cs="Arial"/>
      <w:color w:val="000000"/>
      <w:sz w:val="22"/>
      <w:szCs w:val="22"/>
      <w:lang w:val="sk-SK" w:eastAsia="sk-SK" w:bidi="ar-SA"/>
    </w:rPr>
  </w:style>
  <w:style w:type="paragraph" w:styleId="Nadpis1">
    <w:name w:val="Nadpis 1"/>
    <w:basedOn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Nadpis 2"/>
    <w:basedOn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Nadpis 3"/>
    <w:basedOn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Nadpis 4"/>
    <w:basedOn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Nadpis 5"/>
    <w:basedOn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Nadpis 6"/>
    <w:basedOn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Arial" w:cs="Arial"/>
      <w:position w:val="0"/>
      <w:sz w:val="24"/>
      <w:sz w:val="24"/>
      <w:vertAlign w:val="baseline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Arial Unicode MS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Nzov">
    <w:name w:val="Názov"/>
    <w:basedOn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nzov">
    <w:name w:val="Podnázov"/>
    <w:basedOn w:val="Normal"/>
    <w:pPr>
      <w:keepNext/>
      <w:keepLines/>
      <w:spacing w:before="360" w:after="80"/>
      <w:contextualSpacing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Hlavika">
    <w:name w:val="Hlavička"/>
    <w:basedOn w:val="Normal"/>
    <w:pPr/>
    <w:rPr/>
  </w:style>
  <w:style w:type="paragraph" w:styleId="Pta">
    <w:name w:val="Pät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Application>LibreOffice/5.0.4.2$Windows_x86 LibreOffice_project/2b9802c1994aa0b7dc6079e128979269cf95bc78</Application>
  <Paragraphs>198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2017-03-30T07:49:00Z</dcterms:created>
  <dc:language>sk-SK</dc:language>
  <dcterms:modified xsi:type="dcterms:W3CDTF">2018-03-28T10:19:30Z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