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B0047" w:rsidRDefault="00CB0047" w:rsidP="00CB004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POZNÁMKY K ÚČTOVNEJ ZÁVIERKE 201</w:t>
      </w:r>
      <w:r w:rsidR="00BF1E51">
        <w:rPr>
          <w:rFonts w:ascii="Arial Narrow" w:hAnsi="Arial Narrow"/>
          <w:b/>
        </w:rPr>
        <w:t>7</w:t>
      </w:r>
    </w:p>
    <w:p w:rsidR="00CB0047" w:rsidRDefault="00CB0047" w:rsidP="00CB004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zostavené podľa Opatrenia č.MF/23378/2014-74 (FS č.12/2014), ktorým sa ustanovujú podrobnosti o individuálnej účtovnej závierke a rozsahu údajov určených z individuálnej účtovnej závierky na zverejnenie </w:t>
      </w:r>
    </w:p>
    <w:p w:rsidR="00CB0047" w:rsidRDefault="00CB0047" w:rsidP="00CB0047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b/>
          <w:sz w:val="22"/>
          <w:szCs w:val="22"/>
        </w:rPr>
        <w:t>pre malé účtovné jednotky</w:t>
      </w:r>
      <w:r>
        <w:rPr>
          <w:rFonts w:ascii="Arial Narrow" w:hAnsi="Arial Narrow"/>
          <w:sz w:val="22"/>
          <w:szCs w:val="22"/>
        </w:rPr>
        <w:t xml:space="preserve"> </w:t>
      </w:r>
    </w:p>
    <w:p w:rsidR="00CB0047" w:rsidRDefault="00CB0047" w:rsidP="00CB0047">
      <w:pPr>
        <w:rPr>
          <w:rFonts w:ascii="Arial Narrow" w:hAnsi="Arial Narrow"/>
          <w:sz w:val="22"/>
          <w:szCs w:val="22"/>
        </w:rPr>
      </w:pPr>
    </w:p>
    <w:p w:rsidR="00CB0047" w:rsidRDefault="00CB0047" w:rsidP="00CB0047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>
        <w:rPr>
          <w:rFonts w:ascii="Arial Narrow" w:hAnsi="Arial Narrow" w:cs="Arial Narrow"/>
          <w:b/>
          <w:sz w:val="22"/>
          <w:szCs w:val="22"/>
          <w:u w:val="single"/>
        </w:rPr>
        <w:t>Článok I – VŠEOBECNÉ INFORMÁCIE</w:t>
      </w:r>
    </w:p>
    <w:p w:rsidR="00CB0047" w:rsidRDefault="00CB0047" w:rsidP="00CB0047">
      <w:pPr>
        <w:rPr>
          <w:rFonts w:ascii="Arial Narrow" w:hAnsi="Arial Narrow"/>
          <w:sz w:val="22"/>
          <w:szCs w:val="22"/>
        </w:rPr>
      </w:pPr>
    </w:p>
    <w:p w:rsidR="00CB0047" w:rsidRDefault="00CB0047" w:rsidP="00CB0047">
      <w:pPr>
        <w:rPr>
          <w:rFonts w:ascii="Arial Narrow" w:hAnsi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</w:t>
      </w:r>
      <w:r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>
        <w:rPr>
          <w:rFonts w:ascii="Arial Narrow" w:hAnsi="Arial Narrow" w:cs="Arial Narrow"/>
          <w:sz w:val="22"/>
          <w:szCs w:val="22"/>
        </w:rPr>
        <w:t>:</w:t>
      </w:r>
    </w:p>
    <w:p w:rsidR="00CB0047" w:rsidRDefault="00CB0047" w:rsidP="00CB0047">
      <w:pPr>
        <w:rPr>
          <w:rFonts w:ascii="Arial Narrow" w:hAnsi="Arial Narrow"/>
          <w:sz w:val="22"/>
          <w:szCs w:val="22"/>
        </w:rPr>
      </w:pPr>
    </w:p>
    <w:tbl>
      <w:tblPr>
        <w:tblW w:w="4900" w:type="pct"/>
        <w:tblLook w:val="00A0" w:firstRow="1" w:lastRow="0" w:firstColumn="1" w:lastColumn="0" w:noHBand="0" w:noVBand="0"/>
      </w:tblPr>
      <w:tblGrid>
        <w:gridCol w:w="2498"/>
        <w:gridCol w:w="6604"/>
      </w:tblGrid>
      <w:tr w:rsidR="00CB0047" w:rsidTr="00CB0047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047" w:rsidRDefault="00CB004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047" w:rsidRDefault="00806435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proofErr w:type="spellStart"/>
            <w:r w:rsidRPr="00806435">
              <w:rPr>
                <w:rFonts w:ascii="Arial Narrow" w:hAnsi="Arial Narrow" w:cs="Arial Narrow"/>
                <w:b/>
                <w:sz w:val="22"/>
                <w:szCs w:val="22"/>
              </w:rPr>
              <w:t>Grey</w:t>
            </w:r>
            <w:proofErr w:type="spellEnd"/>
            <w:r w:rsidRPr="00806435">
              <w:rPr>
                <w:rFonts w:ascii="Arial Narrow" w:hAnsi="Arial Narrow" w:cs="Arial Narrow"/>
                <w:b/>
                <w:sz w:val="22"/>
                <w:szCs w:val="22"/>
              </w:rPr>
              <w:t xml:space="preserve"> </w:t>
            </w:r>
            <w:proofErr w:type="spellStart"/>
            <w:r w:rsidRPr="00806435">
              <w:rPr>
                <w:rFonts w:ascii="Arial Narrow" w:hAnsi="Arial Narrow" w:cs="Arial Narrow"/>
                <w:b/>
                <w:sz w:val="22"/>
                <w:szCs w:val="22"/>
              </w:rPr>
              <w:t>Eminence</w:t>
            </w:r>
            <w:proofErr w:type="spellEnd"/>
            <w:r w:rsidRPr="00806435">
              <w:rPr>
                <w:rFonts w:ascii="Arial Narrow" w:hAnsi="Arial Narrow" w:cs="Arial Narrow"/>
                <w:b/>
                <w:sz w:val="22"/>
                <w:szCs w:val="22"/>
              </w:rPr>
              <w:t xml:space="preserve">, s.r.o.                </w:t>
            </w:r>
          </w:p>
        </w:tc>
      </w:tr>
      <w:tr w:rsidR="00CB0047" w:rsidTr="00CB0047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047" w:rsidRDefault="00CB004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047" w:rsidRDefault="0080643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proofErr w:type="spellStart"/>
            <w:r w:rsidRPr="00806435">
              <w:rPr>
                <w:rFonts w:ascii="Arial Narrow" w:hAnsi="Arial Narrow" w:cs="Arial Narrow"/>
                <w:sz w:val="22"/>
                <w:szCs w:val="22"/>
              </w:rPr>
              <w:t>Jánošikova</w:t>
            </w:r>
            <w:proofErr w:type="spellEnd"/>
            <w:r w:rsidRPr="00806435">
              <w:rPr>
                <w:rFonts w:ascii="Arial Narrow" w:hAnsi="Arial Narrow" w:cs="Arial Narrow"/>
                <w:sz w:val="22"/>
                <w:szCs w:val="22"/>
              </w:rPr>
              <w:t xml:space="preserve">  </w:t>
            </w:r>
            <w:r>
              <w:rPr>
                <w:rFonts w:ascii="Arial Narrow" w:hAnsi="Arial Narrow" w:cs="Arial Narrow"/>
                <w:sz w:val="22"/>
                <w:szCs w:val="22"/>
              </w:rPr>
              <w:t>86</w:t>
            </w:r>
            <w:r w:rsidR="00CB0047">
              <w:rPr>
                <w:rFonts w:ascii="Arial Narrow" w:hAnsi="Arial Narrow" w:cs="Arial Narrow"/>
                <w:sz w:val="22"/>
                <w:szCs w:val="22"/>
              </w:rPr>
              <w:t xml:space="preserve">, 901 01 Malacky   </w:t>
            </w:r>
          </w:p>
        </w:tc>
      </w:tr>
      <w:tr w:rsidR="00CB0047" w:rsidTr="00CB0047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047" w:rsidRDefault="00CB004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Právna forma: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047" w:rsidRDefault="00CB004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CB0047" w:rsidTr="00CB0047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0047" w:rsidRDefault="00CB004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0047" w:rsidRDefault="00CB004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Zápis d</w:t>
            </w:r>
            <w:r w:rsidR="00806435">
              <w:rPr>
                <w:rFonts w:ascii="Arial Narrow" w:hAnsi="Arial Narrow" w:cs="Arial Narrow"/>
                <w:sz w:val="22"/>
                <w:szCs w:val="22"/>
              </w:rPr>
              <w:t>o obchodného registra: 01.08.2015</w:t>
            </w:r>
          </w:p>
        </w:tc>
      </w:tr>
      <w:tr w:rsidR="00CB0047" w:rsidTr="00CB0047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0047" w:rsidRDefault="00CB004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0047" w:rsidRDefault="0080643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Počítačové služby</w:t>
            </w:r>
          </w:p>
        </w:tc>
      </w:tr>
      <w:tr w:rsidR="00CB0047" w:rsidTr="00CB004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0047" w:rsidRDefault="00CB004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CB0047" w:rsidRDefault="0080643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CB0047">
              <w:rPr>
                <w:rFonts w:ascii="Arial Narrow" w:hAnsi="Arial Narrow" w:cs="Arial Narrow"/>
                <w:sz w:val="22"/>
                <w:szCs w:val="22"/>
              </w:rPr>
              <w:t xml:space="preserve">nie je subjektom verejného záujmu (§ 2/14 </w:t>
            </w:r>
            <w:proofErr w:type="spellStart"/>
            <w:r w:rsidR="00CB0047">
              <w:rPr>
                <w:rFonts w:ascii="Arial Narrow" w:hAnsi="Arial Narrow" w:cs="Arial Narrow"/>
                <w:sz w:val="22"/>
                <w:szCs w:val="22"/>
              </w:rPr>
              <w:t>ZoU</w:t>
            </w:r>
            <w:proofErr w:type="spellEnd"/>
            <w:r w:rsidR="00CB0047">
              <w:rPr>
                <w:rFonts w:ascii="Arial Narrow" w:hAnsi="Arial Narrow" w:cs="Arial Narrow"/>
                <w:sz w:val="22"/>
                <w:szCs w:val="22"/>
              </w:rPr>
              <w:t>).</w:t>
            </w:r>
          </w:p>
        </w:tc>
      </w:tr>
      <w:tr w:rsidR="00CB0047" w:rsidTr="00CB0047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B0047" w:rsidRDefault="00CB004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CB0047" w:rsidRDefault="00B316B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Kalendárny rok 2016</w:t>
            </w:r>
          </w:p>
        </w:tc>
      </w:tr>
    </w:tbl>
    <w:p w:rsidR="00CB0047" w:rsidRDefault="00CB0047" w:rsidP="00CB0047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CB0047" w:rsidRDefault="00CB0047" w:rsidP="00CB0047">
      <w:pPr>
        <w:rPr>
          <w:rFonts w:ascii="Arial Narrow" w:hAnsi="Arial Narrow" w:cs="Arial Narrow"/>
          <w:b/>
          <w:bCs/>
          <w:sz w:val="22"/>
          <w:szCs w:val="22"/>
        </w:rPr>
      </w:pPr>
    </w:p>
    <w:p w:rsidR="00CB0047" w:rsidRDefault="00CB0047" w:rsidP="00CB0047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</w:t>
      </w:r>
      <w:r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 </w:t>
      </w:r>
      <w:r w:rsidR="00B95083">
        <w:rPr>
          <w:rFonts w:ascii="Arial Narrow" w:hAnsi="Arial Narrow" w:cs="Arial Narrow"/>
          <w:sz w:val="22"/>
          <w:szCs w:val="22"/>
        </w:rPr>
        <w:t>27.03.2017</w:t>
      </w:r>
      <w:bookmarkStart w:id="0" w:name="_GoBack"/>
      <w:bookmarkEnd w:id="0"/>
    </w:p>
    <w:p w:rsidR="00CB0047" w:rsidRDefault="00CB0047" w:rsidP="00CB0047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</w:t>
      </w:r>
      <w:r>
        <w:rPr>
          <w:rFonts w:ascii="Arial Narrow" w:hAnsi="Arial Narrow" w:cs="Arial Narrow"/>
          <w:b/>
          <w:sz w:val="22"/>
          <w:szCs w:val="22"/>
        </w:rPr>
        <w:t>Právny dôvod</w:t>
      </w:r>
      <w:r>
        <w:rPr>
          <w:rFonts w:ascii="Arial Narrow" w:hAnsi="Arial Narrow" w:cs="Arial Narrow"/>
          <w:sz w:val="22"/>
          <w:szCs w:val="22"/>
        </w:rPr>
        <w:t xml:space="preserve"> na zostavenie účtovnej závierky: zostavená ako riadna účtovná závierka podľa § 17 ods. 6 zákona</w:t>
      </w:r>
    </w:p>
    <w:p w:rsidR="00CB0047" w:rsidRDefault="00CB0047" w:rsidP="00CB004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č. 431/2002 Z. z.  o účtovníctve v znení neskorších predpisov. </w:t>
      </w:r>
    </w:p>
    <w:p w:rsidR="00CB0047" w:rsidRDefault="00CB0047" w:rsidP="00CB0047">
      <w:pPr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4) </w:t>
      </w:r>
      <w:r>
        <w:rPr>
          <w:rFonts w:ascii="Arial Narrow" w:hAnsi="Arial Narrow" w:cs="Arial Narrow"/>
          <w:bCs/>
          <w:sz w:val="22"/>
          <w:szCs w:val="22"/>
          <w:u w:val="single"/>
        </w:rPr>
        <w:t>Údaje o skupine</w:t>
      </w:r>
      <w:r>
        <w:rPr>
          <w:rFonts w:ascii="Arial Narrow" w:hAnsi="Arial Narrow" w:cs="Arial Narrow"/>
          <w:bCs/>
          <w:sz w:val="22"/>
          <w:szCs w:val="22"/>
        </w:rPr>
        <w:t xml:space="preserve"> účtovných jednotiek v súvislosti </w:t>
      </w:r>
      <w:r>
        <w:rPr>
          <w:rFonts w:ascii="Arial Narrow" w:hAnsi="Arial Narrow" w:cs="Arial Narrow"/>
          <w:b/>
          <w:bCs/>
          <w:sz w:val="22"/>
          <w:szCs w:val="22"/>
        </w:rPr>
        <w:t>s konsolidáciou</w:t>
      </w:r>
      <w:r>
        <w:rPr>
          <w:rFonts w:ascii="Arial Narrow" w:hAnsi="Arial Narrow" w:cs="Arial Narrow"/>
          <w:bCs/>
          <w:sz w:val="22"/>
          <w:szCs w:val="22"/>
        </w:rPr>
        <w:t>:  žiadne – nie je súčasťou konsolidovaného celku.</w:t>
      </w:r>
    </w:p>
    <w:p w:rsidR="00CB0047" w:rsidRDefault="00CB0047" w:rsidP="00CB004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5) </w:t>
      </w:r>
      <w:r>
        <w:rPr>
          <w:rFonts w:ascii="Arial Narrow" w:hAnsi="Arial Narrow" w:cs="Arial Narrow"/>
          <w:sz w:val="22"/>
          <w:szCs w:val="22"/>
          <w:u w:val="single"/>
        </w:rPr>
        <w:t>Priemerný prepočítaný počet zamestnancov účtovnej jednotky</w:t>
      </w:r>
      <w:r>
        <w:rPr>
          <w:rFonts w:ascii="Arial Narrow" w:hAnsi="Arial Narrow" w:cs="Arial Narrow"/>
          <w:sz w:val="22"/>
          <w:szCs w:val="22"/>
        </w:rPr>
        <w:t>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629"/>
        <w:gridCol w:w="2404"/>
        <w:gridCol w:w="2255"/>
      </w:tblGrid>
      <w:tr w:rsidR="00CB0047" w:rsidTr="00CB0047">
        <w:trPr>
          <w:trHeight w:val="537"/>
        </w:trPr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047" w:rsidRDefault="00CB0047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047" w:rsidRDefault="00CB004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B0047" w:rsidRDefault="00CB0047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</w:tr>
      <w:tr w:rsidR="00CB0047" w:rsidTr="00CB0047">
        <w:trPr>
          <w:trHeight w:val="163"/>
        </w:trPr>
        <w:tc>
          <w:tcPr>
            <w:tcW w:w="249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047" w:rsidRDefault="00CB0047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Priemerný prepočítaný počet počas účtovného obdobia</w:t>
            </w:r>
          </w:p>
        </w:tc>
        <w:tc>
          <w:tcPr>
            <w:tcW w:w="12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047" w:rsidRDefault="00B9508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  <w:tc>
          <w:tcPr>
            <w:tcW w:w="121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CB0047" w:rsidRDefault="0080643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 1</w:t>
            </w:r>
          </w:p>
        </w:tc>
      </w:tr>
    </w:tbl>
    <w:p w:rsidR="00CB0047" w:rsidRDefault="00CB0047" w:rsidP="00CB0047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CB0047" w:rsidRDefault="00CB0047" w:rsidP="00CB004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B0047" w:rsidRDefault="00CB0047" w:rsidP="00CB004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CB0047" w:rsidRDefault="00CB0047" w:rsidP="00CB0047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CB0047" w:rsidRDefault="00CB0047" w:rsidP="00CB0047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jednotky:</w:t>
      </w:r>
      <w:r>
        <w:rPr>
          <w:rFonts w:ascii="Arial Narrow" w:hAnsi="Arial Narrow" w:cs="Arial Narrow"/>
          <w:bCs/>
          <w:sz w:val="22"/>
          <w:szCs w:val="22"/>
        </w:rPr>
        <w:t xml:space="preserve"> </w:t>
      </w:r>
    </w:p>
    <w:p w:rsidR="00CB0047" w:rsidRDefault="00CB0047" w:rsidP="00CB0047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K</w:t>
      </w:r>
      <w:r w:rsidR="00806435">
        <w:rPr>
          <w:rFonts w:ascii="Arial Narrow" w:hAnsi="Arial Narrow" w:cs="Arial Narrow"/>
          <w:bCs/>
          <w:sz w:val="22"/>
          <w:szCs w:val="22"/>
        </w:rPr>
        <w:t>onateľ spoločnosti: Marián Michalovič, Lenka Kubíčková /samostatné konanie/</w:t>
      </w:r>
    </w:p>
    <w:p w:rsidR="00CB0047" w:rsidRDefault="00CB0047" w:rsidP="00CB0047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CB0047" w:rsidRDefault="00CB0047" w:rsidP="00CB004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B0047" w:rsidRDefault="00CB0047" w:rsidP="00CB0047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III – INFORMÁCIE O PRIJATÝCH POSTUPOCH</w:t>
      </w:r>
    </w:p>
    <w:p w:rsidR="00CB0047" w:rsidRDefault="00CB0047" w:rsidP="00CB0047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CB0047" w:rsidRDefault="00CB0047" w:rsidP="00CB004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1) Účtovná závierka  je zostavená za splnenia predpokladu, že účtovná jednotka bude </w:t>
      </w:r>
      <w:r>
        <w:rPr>
          <w:rFonts w:ascii="Arial Narrow" w:hAnsi="Arial Narrow" w:cs="Arial Narrow"/>
          <w:b/>
          <w:sz w:val="22"/>
          <w:szCs w:val="22"/>
        </w:rPr>
        <w:t>nepretržite pokračovať</w:t>
      </w:r>
      <w:r>
        <w:rPr>
          <w:rFonts w:ascii="Arial Narrow" w:hAnsi="Arial Narrow" w:cs="Arial Narrow"/>
          <w:sz w:val="22"/>
          <w:szCs w:val="22"/>
        </w:rPr>
        <w:t xml:space="preserve"> vo svojej činnosti minimálne 12 mesiacov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v zmysle § 7 ods. 4 zákona o účtovníctve. </w:t>
      </w:r>
    </w:p>
    <w:p w:rsidR="00CB0047" w:rsidRDefault="00CB0047" w:rsidP="00CB004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B0047" w:rsidRDefault="00CB0047" w:rsidP="00CB004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2) Informácia o aplikácii účtovných zásad a účtovných metód, ktoré sú dôležité na posúdenie majetku, záväzkov, finančnej situácie a výsledku hospodárenia. Informácia </w:t>
      </w:r>
      <w:r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>
        <w:rPr>
          <w:rFonts w:ascii="Arial Narrow" w:hAnsi="Arial Narrow" w:cs="Arial Narrow"/>
          <w:sz w:val="22"/>
          <w:szCs w:val="22"/>
        </w:rPr>
        <w:t xml:space="preserve">, a to s uvedením </w:t>
      </w:r>
      <w:r>
        <w:rPr>
          <w:rFonts w:ascii="Arial Narrow" w:hAnsi="Arial Narrow" w:cs="Arial Narrow"/>
          <w:sz w:val="22"/>
          <w:szCs w:val="22"/>
          <w:u w:val="single"/>
        </w:rPr>
        <w:t>dôvodu</w:t>
      </w:r>
      <w:r>
        <w:rPr>
          <w:rFonts w:ascii="Arial Narrow" w:hAnsi="Arial Narrow" w:cs="Arial Narrow"/>
          <w:sz w:val="22"/>
          <w:szCs w:val="22"/>
        </w:rPr>
        <w:t xml:space="preserve"> ich uplatnenia a ich </w:t>
      </w:r>
      <w:r>
        <w:rPr>
          <w:rFonts w:ascii="Arial Narrow" w:hAnsi="Arial Narrow" w:cs="Arial Narrow"/>
          <w:sz w:val="22"/>
          <w:szCs w:val="22"/>
          <w:u w:val="single"/>
        </w:rPr>
        <w:t>vplyvu na hodnotu</w:t>
      </w:r>
      <w:r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hospodárenia. Ak v dôsledku zmeny účtovných zásad a účtovných metód nie sú hodnoty za bezprostredne predchádzajúce účtovné obdobie v jednotlivých súčastiach účtovnej závierky porovnateľné, uvádza sa vysvetlenie v neporovnateľných hodnotách: bez vplyvu</w:t>
      </w:r>
    </w:p>
    <w:p w:rsidR="00CB0047" w:rsidRDefault="00CB0047" w:rsidP="00CB004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B0047" w:rsidRDefault="00CB0047" w:rsidP="00CB004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>
        <w:rPr>
          <w:rFonts w:ascii="Arial Narrow" w:hAnsi="Arial Narrow" w:cs="Arial Narrow"/>
          <w:sz w:val="22"/>
          <w:szCs w:val="22"/>
        </w:rPr>
        <w:t xml:space="preserve"> vyplývajúce z týchto transakcií významné </w:t>
      </w:r>
      <w:r>
        <w:rPr>
          <w:rFonts w:ascii="Arial Narrow" w:hAnsi="Arial Narrow" w:cs="Arial Narrow"/>
          <w:sz w:val="22"/>
          <w:szCs w:val="22"/>
        </w:rPr>
        <w:lastRenderedPageBreak/>
        <w:t xml:space="preserve">a ak uvedenie týchto rizík alebo prínosov je potrebné na účely posúdenia finančnej situácie účtovnej jednotky (napr. súdne spory, zmluvy, časovo limitované licencie a oprávnenia, podnikové kombinácie, záväzky investovať, dopad legislatívy, celkový pokles v hospodárskom segmente):    </w:t>
      </w:r>
    </w:p>
    <w:p w:rsidR="00CB0047" w:rsidRDefault="00CB0047" w:rsidP="00CB0047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B0047" w:rsidRDefault="00CB0047" w:rsidP="00CB0047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4) </w:t>
      </w:r>
      <w:r>
        <w:rPr>
          <w:rFonts w:ascii="Arial Narrow" w:hAnsi="Arial Narrow" w:cs="Arial Narrow"/>
          <w:b/>
          <w:sz w:val="22"/>
          <w:szCs w:val="22"/>
        </w:rPr>
        <w:t>Spôsob a určenie oceňovania</w:t>
      </w:r>
      <w:r>
        <w:rPr>
          <w:rFonts w:ascii="Arial Narrow" w:hAnsi="Arial Narrow" w:cs="Arial Narrow"/>
          <w:sz w:val="22"/>
          <w:szCs w:val="22"/>
        </w:rPr>
        <w:t xml:space="preserve"> majetku a záväzkov (vrátane rozhodujúcich odhadov):</w:t>
      </w:r>
    </w:p>
    <w:p w:rsidR="00CB0047" w:rsidRDefault="00CB0047" w:rsidP="00CB0047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a) Spôsob oceňovania majetku a záväzkov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):</w:t>
      </w:r>
    </w:p>
    <w:p w:rsidR="00CB0047" w:rsidRDefault="00CB0047" w:rsidP="00CB0047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A623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hmotný ma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A623D8" w:rsidP="00A623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soby obstarané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A623D8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Reálna hodnota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ZV a zákazková výstavba nehnuteľnosti určenej 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CB0047" w:rsidTr="00CB004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20.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CB0047" w:rsidRDefault="00CB0047" w:rsidP="00CB0047">
      <w:pPr>
        <w:jc w:val="both"/>
        <w:rPr>
          <w:rFonts w:ascii="Arial Narrow" w:hAnsi="Arial Narrow" w:cs="Arial Narrow"/>
          <w:sz w:val="22"/>
          <w:szCs w:val="22"/>
        </w:rPr>
      </w:pPr>
    </w:p>
    <w:p w:rsidR="00CB0047" w:rsidRDefault="00CB0047" w:rsidP="00CB004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b) Trvalé zníženie hodnoty majetku nebolo účtované. Prechodné zníženie hodnoty majetku je zaúčtované formou opravnej položky stanovené odborným odhadom bonity klienta. Nebolo účtované.</w:t>
      </w:r>
    </w:p>
    <w:p w:rsidR="00CB0047" w:rsidRDefault="00CB0047" w:rsidP="00CB004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c) Záväzky účtovná jednotka ocenila menovitou hodnotou záväzkov. Rezervy účtovná jednotka ocenila odborným odhadom budúcej menovitej hodnoty potrebnej na ich úhradu. </w:t>
      </w:r>
    </w:p>
    <w:p w:rsidR="00CB0047" w:rsidRDefault="00CB0047" w:rsidP="00CB004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d)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>
        <w:rPr>
          <w:rFonts w:ascii="Arial Narrow" w:hAnsi="Arial Narrow" w:cs="Arial Narrow"/>
          <w:b/>
          <w:sz w:val="22"/>
          <w:szCs w:val="22"/>
        </w:rPr>
        <w:t>reálnou hodnotou</w:t>
      </w:r>
      <w:r>
        <w:rPr>
          <w:rFonts w:ascii="Arial Narrow" w:hAnsi="Arial Narrow" w:cs="Arial Narrow"/>
          <w:sz w:val="22"/>
          <w:szCs w:val="22"/>
        </w:rPr>
        <w:t>: nebolo účtované-</w:t>
      </w:r>
    </w:p>
    <w:p w:rsidR="00CB0047" w:rsidRDefault="00CB0047" w:rsidP="00CB004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e) Určenie ocenenia </w:t>
      </w:r>
      <w:r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 nebolo účtované</w:t>
      </w:r>
    </w:p>
    <w:p w:rsidR="00CB0047" w:rsidRDefault="00CB0047" w:rsidP="00CB0047">
      <w:pPr>
        <w:spacing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>
        <w:rPr>
          <w:rFonts w:ascii="Arial Narrow" w:hAnsi="Arial Narrow"/>
          <w:sz w:val="22"/>
          <w:szCs w:val="22"/>
        </w:rPr>
        <w:t xml:space="preserve">: </w:t>
      </w:r>
    </w:p>
    <w:p w:rsidR="00CB0047" w:rsidRDefault="00CB0047" w:rsidP="00CB0047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  <w:u w:val="single"/>
        </w:rPr>
        <w:t>Rezervy</w:t>
      </w:r>
      <w:r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CB0047" w:rsidRDefault="00CB0047" w:rsidP="00CB0047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počas účtovného obdobia (§ 25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), ani k </w:t>
      </w:r>
      <w:proofErr w:type="spellStart"/>
      <w:r>
        <w:rPr>
          <w:rFonts w:ascii="Arial Narrow" w:hAnsi="Arial Narrow" w:cs="Arial Narrow"/>
          <w:sz w:val="22"/>
          <w:szCs w:val="22"/>
        </w:rPr>
        <w:t>závierkovému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dňu (§ 27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) nepoužila ocenenie </w:t>
      </w:r>
      <w:r>
        <w:rPr>
          <w:rFonts w:ascii="Arial Narrow" w:hAnsi="Arial Narrow" w:cs="Arial Narrow"/>
          <w:sz w:val="22"/>
          <w:szCs w:val="22"/>
          <w:u w:val="single"/>
        </w:rPr>
        <w:t>reálnou hodnotou</w:t>
      </w:r>
      <w:r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CB0047" w:rsidRDefault="00CB0047" w:rsidP="00CB0047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>
        <w:rPr>
          <w:rFonts w:ascii="Arial Narrow" w:hAnsi="Arial Narrow" w:cs="Arial Narrow"/>
          <w:sz w:val="22"/>
          <w:szCs w:val="22"/>
        </w:rPr>
        <w:t xml:space="preserve"> (§ 25/5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; § 22/1 PU).</w:t>
      </w:r>
    </w:p>
    <w:p w:rsidR="00CB0047" w:rsidRDefault="00CB0047" w:rsidP="00CB0047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prírastku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>
        <w:rPr>
          <w:rFonts w:ascii="Arial Narrow" w:hAnsi="Arial Narrow" w:cs="Arial Narrow"/>
          <w:sz w:val="22"/>
          <w:szCs w:val="22"/>
          <w:u w:val="single"/>
        </w:rPr>
        <w:t>zmenárenský kurz</w:t>
      </w:r>
      <w:r>
        <w:rPr>
          <w:rFonts w:ascii="Arial Narrow" w:hAnsi="Arial Narrow" w:cs="Arial Narrow"/>
          <w:sz w:val="22"/>
          <w:szCs w:val="22"/>
        </w:rPr>
        <w:t xml:space="preserve"> konkrétnej banky (§ 24/3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:rsidR="00CB0047" w:rsidRDefault="00CB0047" w:rsidP="00CB0047">
      <w:pPr>
        <w:numPr>
          <w:ilvl w:val="0"/>
          <w:numId w:val="1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lastRenderedPageBreak/>
        <w:t xml:space="preserve">ÚJ používa pri oceňovaní </w:t>
      </w:r>
      <w:r>
        <w:rPr>
          <w:rFonts w:ascii="Arial Narrow" w:hAnsi="Arial Narrow" w:cs="Arial Narrow"/>
          <w:sz w:val="22"/>
          <w:szCs w:val="22"/>
          <w:u w:val="single"/>
        </w:rPr>
        <w:t>úbytku</w:t>
      </w:r>
      <w:r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>
        <w:rPr>
          <w:rFonts w:ascii="Arial Narrow" w:hAnsi="Arial Narrow" w:cs="Arial Narrow"/>
          <w:sz w:val="22"/>
          <w:szCs w:val="22"/>
          <w:u w:val="single"/>
        </w:rPr>
        <w:t>základné pravidlo</w:t>
      </w:r>
      <w:r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CB0047" w:rsidRDefault="00CB0047" w:rsidP="00CB004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f) Účtovná jednotka nepoužila dobrovoľné oceňovanie obchodných podielov </w:t>
      </w:r>
      <w:r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>
        <w:rPr>
          <w:rFonts w:ascii="Arial Narrow" w:hAnsi="Arial Narrow" w:cs="Arial Narrow"/>
          <w:sz w:val="22"/>
          <w:szCs w:val="22"/>
        </w:rPr>
        <w:t xml:space="preserve"> (§ 27/9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).</w:t>
      </w:r>
    </w:p>
    <w:p w:rsidR="00CB0047" w:rsidRDefault="00CB0047" w:rsidP="00CB0047"/>
    <w:p w:rsidR="00CB0047" w:rsidRDefault="00CB0047" w:rsidP="00CB0047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g) </w:t>
      </w:r>
      <w:r>
        <w:rPr>
          <w:rFonts w:ascii="Arial Narrow" w:hAnsi="Arial Narrow" w:cs="Arial Narrow"/>
          <w:bCs w:val="0"/>
          <w:sz w:val="22"/>
          <w:szCs w:val="22"/>
        </w:rPr>
        <w:t>Tvorba odpisového plánu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49"/>
        <w:gridCol w:w="997"/>
        <w:gridCol w:w="2054"/>
        <w:gridCol w:w="2188"/>
      </w:tblGrid>
      <w:tr w:rsidR="00CB0047" w:rsidTr="00806435"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Dlhodobý hmotný a nehmotný</w:t>
            </w:r>
          </w:p>
          <w:p w:rsidR="00CB0047" w:rsidRDefault="00CB004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odpisovaný majetok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CB0047" w:rsidRDefault="00CB004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CB0047" w:rsidRDefault="00CB004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CB0047" w:rsidRDefault="00CB0047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CB0047" w:rsidTr="00806435"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Počítače s príslušenstvom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80643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806435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CB0047" w:rsidTr="00806435">
        <w:tc>
          <w:tcPr>
            <w:tcW w:w="4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022</w:t>
            </w:r>
          </w:p>
        </w:tc>
        <w:tc>
          <w:tcPr>
            <w:tcW w:w="2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0047" w:rsidRDefault="00CB0047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</w:tbl>
    <w:p w:rsidR="00CB0047" w:rsidRDefault="00CB0047" w:rsidP="00CB0047">
      <w:pPr>
        <w:jc w:val="both"/>
        <w:rPr>
          <w:rFonts w:ascii="Arial Narrow" w:hAnsi="Arial Narrow" w:cs="Arial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 </w:t>
      </w:r>
    </w:p>
    <w:p w:rsidR="00CB0047" w:rsidRDefault="00CB0047" w:rsidP="00CB0047">
      <w:pPr>
        <w:spacing w:after="120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  <w:u w:val="single"/>
        </w:rPr>
        <w:t>Komentár k odpisovému plánu</w:t>
      </w:r>
      <w:r>
        <w:rPr>
          <w:rFonts w:ascii="Arial Narrow" w:hAnsi="Arial Narrow"/>
          <w:sz w:val="22"/>
          <w:szCs w:val="22"/>
        </w:rPr>
        <w:t xml:space="preserve">: </w:t>
      </w:r>
    </w:p>
    <w:p w:rsidR="00CB0047" w:rsidRDefault="00CB0047" w:rsidP="00CB0047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>
        <w:rPr>
          <w:rFonts w:ascii="Arial Narrow" w:hAnsi="Arial Narrow" w:cs="Arial"/>
          <w:sz w:val="22"/>
          <w:szCs w:val="22"/>
          <w:u w:val="single"/>
        </w:rPr>
        <w:t>zaradený do užívania</w:t>
      </w:r>
      <w:r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3 rokov od jeho obstarania.</w:t>
      </w:r>
    </w:p>
    <w:p w:rsidR="00CB0047" w:rsidRDefault="00CB0047" w:rsidP="00CB0047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používa </w:t>
      </w:r>
      <w:r>
        <w:rPr>
          <w:rFonts w:ascii="Arial Narrow" w:hAnsi="Arial Narrow" w:cs="Arial"/>
          <w:sz w:val="22"/>
          <w:szCs w:val="22"/>
          <w:u w:val="single"/>
        </w:rPr>
        <w:t>rovnomerné odpisovanie</w:t>
      </w:r>
      <w:r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BW Soft (taktiež daňové odpisy podľa zákona o dani z príjmov).</w:t>
      </w:r>
    </w:p>
    <w:p w:rsidR="00CB0047" w:rsidRDefault="00CB0047" w:rsidP="00CB0047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>
        <w:rPr>
          <w:rFonts w:ascii="Arial Narrow" w:hAnsi="Arial Narrow" w:cs="Arial"/>
          <w:sz w:val="22"/>
          <w:szCs w:val="22"/>
          <w:u w:val="single"/>
        </w:rPr>
        <w:t>súbory hnuteľných vecí</w:t>
      </w:r>
      <w:r>
        <w:rPr>
          <w:rFonts w:ascii="Arial Narrow" w:hAnsi="Arial Narrow" w:cs="Arial"/>
          <w:sz w:val="22"/>
          <w:szCs w:val="22"/>
        </w:rPr>
        <w:t xml:space="preserve"> (napr. počítačová sieť, nábytková zostava). UJ nepoužíva </w:t>
      </w:r>
      <w:proofErr w:type="spellStart"/>
      <w:r>
        <w:rPr>
          <w:rFonts w:ascii="Arial Narrow" w:hAnsi="Arial Narrow" w:cs="Arial"/>
          <w:sz w:val="22"/>
          <w:szCs w:val="22"/>
        </w:rPr>
        <w:t>komponentné</w:t>
      </w:r>
      <w:proofErr w:type="spellEnd"/>
      <w:r>
        <w:rPr>
          <w:rFonts w:ascii="Arial Narrow" w:hAnsi="Arial Narrow" w:cs="Arial"/>
          <w:sz w:val="22"/>
          <w:szCs w:val="22"/>
        </w:rPr>
        <w:t xml:space="preserve"> odpisovanie (odpisovanie častí majetku - komponentov).</w:t>
      </w:r>
    </w:p>
    <w:p w:rsidR="00CB0047" w:rsidRDefault="00CB0047" w:rsidP="00CB0047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UJ nepoužila </w:t>
      </w:r>
      <w:r>
        <w:rPr>
          <w:rFonts w:ascii="Arial Narrow" w:hAnsi="Arial Narrow" w:cs="Arial Narrow"/>
          <w:sz w:val="22"/>
          <w:szCs w:val="22"/>
          <w:u w:val="single"/>
        </w:rPr>
        <w:t>jednorazový odpis</w:t>
      </w:r>
      <w:r>
        <w:rPr>
          <w:rFonts w:ascii="Arial Narrow" w:hAnsi="Arial Narrow" w:cs="Arial Narrow"/>
          <w:b/>
          <w:sz w:val="22"/>
          <w:szCs w:val="22"/>
        </w:rPr>
        <w:t xml:space="preserve"> </w:t>
      </w:r>
      <w:r>
        <w:rPr>
          <w:rFonts w:ascii="Arial Narrow" w:hAnsi="Arial Narrow" w:cs="Arial Narrow"/>
          <w:sz w:val="22"/>
          <w:szCs w:val="22"/>
        </w:rPr>
        <w:t>dlhodobého majetku z dôvodu jednorazového trvalého zníženia hodnoty majetku (§ 21/5 PU).</w:t>
      </w:r>
    </w:p>
    <w:p w:rsidR="00CB0047" w:rsidRDefault="00CB0047" w:rsidP="00CB0047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nepoužíva kategóriu tzv. drobného dlhodobého nehmotného majetku</w:t>
      </w:r>
      <w:r>
        <w:rPr>
          <w:rFonts w:ascii="Arial Narrow" w:hAnsi="Arial Narrow"/>
          <w:sz w:val="22"/>
          <w:szCs w:val="22"/>
        </w:rPr>
        <w:t xml:space="preserve"> - položky pod 2 400 eur jednotkovej ceny so životnosťou nad jeden rok (§ 13/2 PU).</w:t>
      </w:r>
    </w:p>
    <w:p w:rsidR="00CB0047" w:rsidRDefault="00CB0047" w:rsidP="00CB0047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 xml:space="preserve">ÚJ </w:t>
      </w:r>
      <w:r>
        <w:rPr>
          <w:rFonts w:ascii="Arial Narrow" w:hAnsi="Arial Narrow"/>
          <w:sz w:val="22"/>
          <w:szCs w:val="22"/>
          <w:u w:val="single"/>
        </w:rPr>
        <w:t>používa kategóriu tzv.  drobného dlhodobého hmotného majetku</w:t>
      </w:r>
      <w:r>
        <w:rPr>
          <w:rFonts w:ascii="Arial Narrow" w:hAnsi="Arial Narrow"/>
          <w:sz w:val="22"/>
          <w:szCs w:val="22"/>
        </w:rPr>
        <w:t xml:space="preserve"> - položky pod 1 700 eur jednotkovej ceny so životnosťou nad jeden r</w:t>
      </w:r>
      <w:r w:rsidR="00806435">
        <w:rPr>
          <w:rFonts w:ascii="Arial Narrow" w:hAnsi="Arial Narrow"/>
          <w:sz w:val="22"/>
          <w:szCs w:val="22"/>
        </w:rPr>
        <w:t>ok (§ 13/6 PU) , viď účet 501.02  6198,29</w:t>
      </w:r>
      <w:r>
        <w:rPr>
          <w:rFonts w:ascii="Arial Narrow" w:hAnsi="Arial Narrow"/>
          <w:sz w:val="22"/>
          <w:szCs w:val="22"/>
        </w:rPr>
        <w:t xml:space="preserve"> EUR. </w:t>
      </w:r>
    </w:p>
    <w:p w:rsidR="00CB0047" w:rsidRDefault="00CB0047" w:rsidP="00CB0047">
      <w:pPr>
        <w:numPr>
          <w:ilvl w:val="0"/>
          <w:numId w:val="2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>
        <w:rPr>
          <w:rFonts w:ascii="Arial Narrow" w:hAnsi="Arial Narrow" w:cs="Arial Narrow"/>
          <w:sz w:val="22"/>
          <w:szCs w:val="22"/>
        </w:rPr>
        <w:t xml:space="preserve"> do odpisovaného dlhodobého majetku – technické zhodnotenie pod 1 700 eur za účtovné obdobie (§ 21/3 PU; § 29/2 ZDP).</w:t>
      </w:r>
    </w:p>
    <w:p w:rsidR="00CB0047" w:rsidRDefault="00CB0047" w:rsidP="00CB0047">
      <w:pPr>
        <w:numPr>
          <w:ilvl w:val="0"/>
          <w:numId w:val="2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ÚJ </w:t>
      </w:r>
      <w:r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>
        <w:rPr>
          <w:rFonts w:ascii="Arial Narrow" w:hAnsi="Arial Narrow" w:cs="Arial Narrow"/>
          <w:sz w:val="22"/>
          <w:szCs w:val="22"/>
        </w:rPr>
        <w:t xml:space="preserve"> do obstarávacej ceny odpisovaného dlhodobého hmotného majetku alebo dlhodobého nehmotného majetku (§ 34/1 PU; § 35/2/h PU).</w:t>
      </w:r>
    </w:p>
    <w:p w:rsidR="00CB0047" w:rsidRDefault="00CB0047" w:rsidP="00CB004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B0047" w:rsidRDefault="00CB0047" w:rsidP="00CB0047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nie je obsahová náplň.</w:t>
      </w:r>
    </w:p>
    <w:p w:rsidR="00CB0047" w:rsidRDefault="00CB0047" w:rsidP="00CB0047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CB0047" w:rsidRDefault="00CB0047" w:rsidP="00CB0047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5) </w:t>
      </w:r>
      <w:r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rokov. Účtovná jednotka môže uviesť aj informácie o oprave </w:t>
      </w:r>
      <w:r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 -</w:t>
      </w:r>
      <w:r>
        <w:rPr>
          <w:rFonts w:ascii="Arial Narrow" w:hAnsi="Arial Narrow" w:cs="Arial Narrow"/>
          <w:bCs w:val="0"/>
          <w:sz w:val="22"/>
          <w:szCs w:val="22"/>
        </w:rPr>
        <w:t xml:space="preserve"> nebolo účtované. </w:t>
      </w:r>
    </w:p>
    <w:p w:rsidR="00CB0047" w:rsidRDefault="00CB0047" w:rsidP="00CB004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B0047" w:rsidRDefault="00CB0047" w:rsidP="00CB0047">
      <w:pPr>
        <w:jc w:val="both"/>
        <w:rPr>
          <w:rFonts w:ascii="Arial Narrow" w:hAnsi="Arial Narrow" w:cs="Arial Narrow"/>
          <w:sz w:val="22"/>
          <w:szCs w:val="22"/>
        </w:rPr>
      </w:pPr>
    </w:p>
    <w:p w:rsidR="00CB0047" w:rsidRDefault="00CB0047" w:rsidP="00CB0047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>
        <w:rPr>
          <w:rFonts w:ascii="Arial Narrow" w:hAnsi="Arial Narrow" w:cs="Arial Narrow"/>
          <w:b/>
          <w:bCs/>
          <w:sz w:val="22"/>
          <w:szCs w:val="22"/>
          <w:u w:val="single"/>
        </w:rPr>
        <w:t>Článok IV – INFORMÁCIE, KTORÉ VYSVETĽUJÚ A DOPĹŇAJÚ SÚVAHU A VÝKAZ ZISKOV A STRÁT</w:t>
      </w:r>
    </w:p>
    <w:p w:rsidR="00CB0047" w:rsidRDefault="00CB0047" w:rsidP="00CB004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B0047" w:rsidRDefault="00CB0047" w:rsidP="00CB0047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CB0047" w:rsidRDefault="00CB0047" w:rsidP="00CB0047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CB0047" w:rsidRDefault="00CB0047" w:rsidP="00CB0047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CB0047" w:rsidRDefault="00CB0047" w:rsidP="00CB0047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lastRenderedPageBreak/>
        <w:t>Článok V – INFORMÁCIE O INÝCH AKTÍVACH A INÝCH PASÍVACH</w:t>
      </w:r>
    </w:p>
    <w:p w:rsidR="00CB0047" w:rsidRDefault="00CB0047" w:rsidP="00CB004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Nie je obsahová náplň pre uvedenie informácií.</w:t>
      </w:r>
    </w:p>
    <w:p w:rsidR="00A623D8" w:rsidRDefault="00A623D8" w:rsidP="00A623D8">
      <w:pPr>
        <w:pStyle w:val="Obyajntext"/>
      </w:pPr>
      <w:r>
        <w:t xml:space="preserve">Po </w:t>
      </w:r>
      <w:proofErr w:type="spellStart"/>
      <w:r>
        <w:t>závierkovom</w:t>
      </w:r>
      <w:proofErr w:type="spellEnd"/>
      <w:r>
        <w:t xml:space="preserve"> dni - do dňa zostavenia účtovnej závierky (t.j. do dňa podpísania výkazov podľa</w:t>
      </w:r>
    </w:p>
    <w:p w:rsidR="00A623D8" w:rsidRDefault="00A623D8" w:rsidP="00A623D8">
      <w:pPr>
        <w:pStyle w:val="Obyajntext"/>
      </w:pPr>
      <w:r>
        <w:t xml:space="preserve"> par. 17/5 </w:t>
      </w:r>
      <w:proofErr w:type="spellStart"/>
      <w:r>
        <w:t>ZoU</w:t>
      </w:r>
      <w:proofErr w:type="spellEnd"/>
      <w:r>
        <w:t>) nenastali významné udalosti, ktoré nie sú  zohľadnené v súvahe alebo vo výkaze ziskov a strát.</w:t>
      </w:r>
    </w:p>
    <w:p w:rsidR="00A623D8" w:rsidRDefault="00A623D8" w:rsidP="00CB004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B0047" w:rsidRDefault="00CB0047" w:rsidP="00CB004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CB0047" w:rsidRDefault="00CB0047" w:rsidP="00CB004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 – UDALOSTI, KTORÉ NASTALI PO ZÁVIERKOVOM DNI</w:t>
      </w:r>
    </w:p>
    <w:p w:rsidR="00CB0047" w:rsidRDefault="00CB0047" w:rsidP="00CB004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CB0047" w:rsidRDefault="00CB0047" w:rsidP="00CB004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CB0047" w:rsidRDefault="00CB0047" w:rsidP="00CB004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v čase po </w:t>
      </w:r>
      <w:proofErr w:type="spellStart"/>
      <w:r>
        <w:rPr>
          <w:rFonts w:ascii="Arial Narrow" w:hAnsi="Arial Narrow" w:cs="Arial Narrow"/>
          <w:sz w:val="22"/>
          <w:szCs w:val="22"/>
        </w:rPr>
        <w:t>závierkovom</w:t>
      </w:r>
      <w:proofErr w:type="spellEnd"/>
      <w:r>
        <w:rPr>
          <w:rFonts w:ascii="Arial Narrow" w:hAnsi="Arial Narrow" w:cs="Arial Narrow"/>
          <w:sz w:val="22"/>
          <w:szCs w:val="22"/>
        </w:rPr>
        <w:t xml:space="preserve"> dni - do dňa zostavenia účtovnej závierky (t.j. do dňa podpísania výkazov podľa § 17/5 </w:t>
      </w:r>
      <w:proofErr w:type="spellStart"/>
      <w:r>
        <w:rPr>
          <w:rFonts w:ascii="Arial Narrow" w:hAnsi="Arial Narrow" w:cs="Arial Narrow"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sz w:val="22"/>
          <w:szCs w:val="22"/>
        </w:rPr>
        <w:t>)  nenastali významné udalosti,   ktoré sú zohľadnené v súvahe alebo vo výkaze ziskov a strát.</w:t>
      </w:r>
    </w:p>
    <w:p w:rsidR="00CB0047" w:rsidRDefault="00CB0047" w:rsidP="00CB0047">
      <w:pPr>
        <w:jc w:val="both"/>
        <w:rPr>
          <w:rFonts w:ascii="Arial Narrow" w:hAnsi="Arial Narrow" w:cs="Arial Narrow"/>
          <w:sz w:val="22"/>
          <w:szCs w:val="22"/>
        </w:rPr>
      </w:pPr>
    </w:p>
    <w:p w:rsidR="00CB0047" w:rsidRDefault="00CB0047" w:rsidP="00CB004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CB0047" w:rsidRDefault="00CB0047" w:rsidP="00CB004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CB0047" w:rsidRDefault="00CB0047" w:rsidP="00CB0047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Článok VII – OSTATNÉ INFORMÁCIE</w:t>
      </w:r>
    </w:p>
    <w:p w:rsidR="00CB0047" w:rsidRDefault="00CB0047" w:rsidP="00CB0047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CB0047" w:rsidRDefault="00CB0047" w:rsidP="00CB0047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>1) Informácie o výlučnom práve poskytovať služby vo verejnom záujme: nie sú</w:t>
      </w:r>
    </w:p>
    <w:p w:rsidR="00CB0047" w:rsidRDefault="00CB0047" w:rsidP="00CB0047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2) Informácie o osobitnej kategórii priemyselnej výroby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nie sú </w:t>
      </w:r>
    </w:p>
    <w:p w:rsidR="00CB0047" w:rsidRDefault="00CB0047" w:rsidP="00CB0047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3) Informácie o finančných vzťahoch s orgánmi verejnej moci (§ 23d/6 </w:t>
      </w:r>
      <w:proofErr w:type="spellStart"/>
      <w:r>
        <w:rPr>
          <w:rFonts w:ascii="Arial Narrow" w:hAnsi="Arial Narrow" w:cs="Arial Narrow"/>
          <w:bCs/>
          <w:sz w:val="22"/>
          <w:szCs w:val="22"/>
        </w:rPr>
        <w:t>ZoU</w:t>
      </w:r>
      <w:proofErr w:type="spellEnd"/>
      <w:r>
        <w:rPr>
          <w:rFonts w:ascii="Arial Narrow" w:hAnsi="Arial Narrow" w:cs="Arial Narrow"/>
          <w:bCs/>
          <w:sz w:val="22"/>
          <w:szCs w:val="22"/>
        </w:rPr>
        <w:t xml:space="preserve">): nie sú </w:t>
      </w:r>
    </w:p>
    <w:p w:rsidR="00304744" w:rsidRDefault="00304744"/>
    <w:sectPr w:rsidR="00304744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6758A" w:rsidRDefault="00F6758A" w:rsidP="00806435">
      <w:r>
        <w:separator/>
      </w:r>
    </w:p>
  </w:endnote>
  <w:endnote w:type="continuationSeparator" w:id="0">
    <w:p w:rsidR="00F6758A" w:rsidRDefault="00F6758A" w:rsidP="008064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52481186"/>
      <w:docPartObj>
        <w:docPartGallery w:val="Page Numbers (Bottom of Page)"/>
        <w:docPartUnique/>
      </w:docPartObj>
    </w:sdtPr>
    <w:sdtEndPr/>
    <w:sdtContent>
      <w:p w:rsidR="00806435" w:rsidRDefault="00806435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95083">
          <w:rPr>
            <w:noProof/>
          </w:rPr>
          <w:t>2</w:t>
        </w:r>
        <w:r>
          <w:fldChar w:fldCharType="end"/>
        </w:r>
      </w:p>
    </w:sdtContent>
  </w:sdt>
  <w:p w:rsidR="00806435" w:rsidRDefault="00806435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6758A" w:rsidRDefault="00F6758A" w:rsidP="00806435">
      <w:r>
        <w:separator/>
      </w:r>
    </w:p>
  </w:footnote>
  <w:footnote w:type="continuationSeparator" w:id="0">
    <w:p w:rsidR="00F6758A" w:rsidRDefault="00F6758A" w:rsidP="008064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047"/>
    <w:rsid w:val="002467DF"/>
    <w:rsid w:val="00304744"/>
    <w:rsid w:val="003C28F7"/>
    <w:rsid w:val="00806435"/>
    <w:rsid w:val="00A623D8"/>
    <w:rsid w:val="00AE2512"/>
    <w:rsid w:val="00B316B7"/>
    <w:rsid w:val="00B95083"/>
    <w:rsid w:val="00BF1E51"/>
    <w:rsid w:val="00CB0047"/>
    <w:rsid w:val="00F675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B00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CB0047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semiHidden/>
    <w:rsid w:val="00CB004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CB0047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B004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A623D8"/>
    <w:rPr>
      <w:rFonts w:ascii="Calibri" w:hAnsi="Calibri" w:cs="Consolas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A623D8"/>
    <w:rPr>
      <w:rFonts w:ascii="Calibri" w:eastAsia="Times New Roman" w:hAnsi="Calibri" w:cs="Consolas"/>
      <w:szCs w:val="21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0643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643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0643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6435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CB004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Nadpis2">
    <w:name w:val="heading 2"/>
    <w:basedOn w:val="Normlny"/>
    <w:next w:val="Normlny"/>
    <w:link w:val="Nadpis2Char"/>
    <w:semiHidden/>
    <w:unhideWhenUsed/>
    <w:qFormat/>
    <w:rsid w:val="00CB0047"/>
    <w:pPr>
      <w:keepNext/>
      <w:spacing w:after="120"/>
      <w:jc w:val="center"/>
      <w:outlineLvl w:val="1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2Char">
    <w:name w:val="Nadpis 2 Char"/>
    <w:basedOn w:val="Predvolenpsmoodseku"/>
    <w:link w:val="Nadpis2"/>
    <w:semiHidden/>
    <w:rsid w:val="00CB0047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Zkladntext">
    <w:name w:val="Body Text"/>
    <w:basedOn w:val="Normlny"/>
    <w:link w:val="ZkladntextChar"/>
    <w:uiPriority w:val="1"/>
    <w:unhideWhenUsed/>
    <w:qFormat/>
    <w:rsid w:val="00CB0047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basedOn w:val="Predvolenpsmoodseku"/>
    <w:link w:val="Zkladntext"/>
    <w:uiPriority w:val="1"/>
    <w:rsid w:val="00CB0047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Obyajntext">
    <w:name w:val="Plain Text"/>
    <w:basedOn w:val="Normlny"/>
    <w:link w:val="ObyajntextChar"/>
    <w:uiPriority w:val="99"/>
    <w:semiHidden/>
    <w:unhideWhenUsed/>
    <w:rsid w:val="00A623D8"/>
    <w:rPr>
      <w:rFonts w:ascii="Calibri" w:hAnsi="Calibri" w:cs="Consolas"/>
      <w:sz w:val="22"/>
      <w:szCs w:val="21"/>
    </w:rPr>
  </w:style>
  <w:style w:type="character" w:customStyle="1" w:styleId="ObyajntextChar">
    <w:name w:val="Obyčajný text Char"/>
    <w:basedOn w:val="Predvolenpsmoodseku"/>
    <w:link w:val="Obyajntext"/>
    <w:uiPriority w:val="99"/>
    <w:semiHidden/>
    <w:rsid w:val="00A623D8"/>
    <w:rPr>
      <w:rFonts w:ascii="Calibri" w:eastAsia="Times New Roman" w:hAnsi="Calibri" w:cs="Consolas"/>
      <w:szCs w:val="21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80643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06435"/>
    <w:rPr>
      <w:rFonts w:ascii="Times New Roman" w:eastAsia="Times New Roman" w:hAnsi="Times New Roman" w:cs="Times New Roman"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80643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06435"/>
    <w:rPr>
      <w:rFonts w:ascii="Times New Roman" w:eastAsia="Times New Roman" w:hAnsi="Times New Roman" w:cs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89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26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4</Pages>
  <Words>1383</Words>
  <Characters>7884</Characters>
  <Application>Microsoft Office Word</Application>
  <DocSecurity>0</DocSecurity>
  <Lines>65</Lines>
  <Paragraphs>18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Ekonomix</dc:creator>
  <cp:lastModifiedBy>Ekonomix</cp:lastModifiedBy>
  <cp:revision>4</cp:revision>
  <dcterms:created xsi:type="dcterms:W3CDTF">2017-03-28T10:34:00Z</dcterms:created>
  <dcterms:modified xsi:type="dcterms:W3CDTF">2018-03-27T18:54:00Z</dcterms:modified>
</cp:coreProperties>
</file>