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tyles.xml" ContentType="application/vnd.openxmlformats-officedocument.wordprocessingml.styles+xml"/>
  <Override PartName="/word/theme/theme1.xml" ContentType="application/vnd.openxmlformats-officedocument.theme+xml"/>
  <Override PartName="/word/document.xml" ContentType="application/vnd.openxmlformats-officedocument.wordprocessingml.document.main+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Normal"/>
        <w:spacing w:lineRule="auto" w:line="240" w:before="0" w:after="0"/>
        <w:ind w:left="142" w:right="0" w:hanging="0"/>
        <w:jc w:val="center"/>
        <w:rPr>
          <w:rFonts w:cs="Arial" w:ascii="Arial" w:hAnsi="Arial"/>
          <w:b/>
          <w:color w:val="000000"/>
        </w:rPr>
      </w:pPr>
      <w:r>
        <w:rPr>
          <w:rFonts w:cs="Arial" w:ascii="Arial" w:hAnsi="Arial"/>
          <w:b/>
          <w:color w:val="000000"/>
        </w:rPr>
        <w:t>Článok I</w:t>
      </w:r>
    </w:p>
    <w:p>
      <w:pPr>
        <w:pStyle w:val="Normal"/>
        <w:spacing w:lineRule="auto" w:line="240" w:before="0" w:after="0"/>
        <w:ind w:left="142" w:right="0" w:hanging="0"/>
        <w:jc w:val="center"/>
        <w:rPr>
          <w:rFonts w:cs="Arial" w:ascii="Arial" w:hAnsi="Arial"/>
          <w:b/>
          <w:color w:val="000000"/>
        </w:rPr>
      </w:pPr>
      <w:r>
        <w:rPr>
          <w:rFonts w:cs="Arial" w:ascii="Arial" w:hAnsi="Arial"/>
          <w:b/>
          <w:color w:val="000000"/>
        </w:rPr>
        <w:t>Všeobecné informácie</w:t>
      </w:r>
    </w:p>
    <w:p>
      <w:pPr>
        <w:pStyle w:val="Normal"/>
        <w:spacing w:lineRule="auto" w:line="240"/>
        <w:ind w:left="142" w:right="0" w:hanging="0"/>
        <w:jc w:val="center"/>
        <w:rPr>
          <w:rFonts w:cs="Arial" w:ascii="Arial" w:hAnsi="Arial"/>
          <w:b/>
          <w:sz w:val="20"/>
          <w:szCs w:val="20"/>
        </w:rPr>
      </w:pPr>
      <w:r>
        <w:rPr>
          <w:rFonts w:cs="Arial" w:ascii="Arial" w:hAnsi="Arial"/>
          <w:b/>
          <w:sz w:val="20"/>
          <w:szCs w:val="20"/>
        </w:rPr>
      </w:r>
    </w:p>
    <w:p>
      <w:pPr>
        <w:pStyle w:val="Normal"/>
        <w:spacing w:lineRule="auto" w:line="240"/>
        <w:ind w:left="142" w:right="0" w:hanging="0"/>
        <w:jc w:val="center"/>
        <w:rPr>
          <w:rFonts w:cs="Arial" w:ascii="Arial" w:hAnsi="Arial"/>
          <w:b/>
          <w:sz w:val="20"/>
          <w:szCs w:val="20"/>
        </w:rPr>
      </w:pPr>
      <w:r>
        <w:rPr>
          <w:rFonts w:cs="Arial" w:ascii="Arial" w:hAnsi="Arial"/>
          <w:b/>
          <w:sz w:val="20"/>
          <w:szCs w:val="20"/>
        </w:rPr>
      </w:r>
    </w:p>
    <w:p>
      <w:pPr>
        <w:pStyle w:val="Normal"/>
        <w:spacing w:lineRule="auto" w:line="240" w:before="0" w:after="0"/>
        <w:ind w:left="142" w:right="0" w:hanging="0"/>
        <w:jc w:val="both"/>
        <w:rPr>
          <w:rFonts w:cs="Arial" w:ascii="Arial" w:hAnsi="Arial"/>
          <w:sz w:val="20"/>
          <w:szCs w:val="20"/>
        </w:rPr>
      </w:pPr>
      <w:r>
        <w:rPr>
          <w:rFonts w:cs="Arial" w:ascii="Arial" w:hAnsi="Arial"/>
          <w:b/>
          <w:sz w:val="20"/>
          <w:szCs w:val="20"/>
        </w:rPr>
        <w:t xml:space="preserve">I.1 </w:t>
      </w:r>
      <w:r>
        <w:rPr>
          <w:rFonts w:cs="Arial" w:ascii="Arial" w:hAnsi="Arial"/>
          <w:sz w:val="20"/>
          <w:szCs w:val="20"/>
        </w:rPr>
        <w:t>Obchodné meno účtovnej jednotky:</w:t>
      </w:r>
      <w:r>
        <w:rPr>
          <w:rFonts w:cs="Arial" w:ascii="Arial" w:hAnsi="Arial"/>
          <w:b/>
          <w:sz w:val="20"/>
          <w:szCs w:val="20"/>
        </w:rPr>
        <w:t xml:space="preserve">  </w:t>
      </w:r>
      <w:r>
        <w:rPr>
          <w:rFonts w:cs="Arial" w:ascii="Arial" w:hAnsi="Arial"/>
          <w:sz w:val="20"/>
          <w:szCs w:val="20"/>
        </w:rPr>
        <w:t>GIRTABO TRADING, s.r.o.</w:t>
      </w:r>
    </w:p>
    <w:p>
      <w:pPr>
        <w:pStyle w:val="ListParagraph"/>
        <w:spacing w:lineRule="auto" w:line="240"/>
        <w:ind w:left="142" w:right="0" w:firstLine="284"/>
        <w:jc w:val="both"/>
        <w:rPr>
          <w:rFonts w:cs="Arial" w:ascii="Arial" w:hAnsi="Arial"/>
          <w:sz w:val="20"/>
          <w:szCs w:val="20"/>
        </w:rPr>
      </w:pPr>
      <w:r>
        <w:rPr>
          <w:rFonts w:cs="Arial" w:ascii="Arial" w:hAnsi="Arial"/>
          <w:sz w:val="20"/>
          <w:szCs w:val="20"/>
        </w:rPr>
        <w:t xml:space="preserve">Sídlo účtovnej jednotky:   </w:t>
      </w:r>
      <w:r>
        <w:rPr>
          <w:rFonts w:cs="Arial" w:ascii="Arial" w:hAnsi="Arial"/>
          <w:b/>
          <w:sz w:val="20"/>
          <w:szCs w:val="20"/>
        </w:rPr>
        <w:t xml:space="preserve">                 </w:t>
      </w:r>
      <w:r>
        <w:rPr>
          <w:rFonts w:cs="Arial" w:ascii="Arial" w:hAnsi="Arial"/>
          <w:sz w:val="20"/>
          <w:szCs w:val="20"/>
        </w:rPr>
        <w:t>Štefánikova 57, Poprad</w:t>
      </w:r>
    </w:p>
    <w:p>
      <w:pPr>
        <w:pStyle w:val="ListParagraph"/>
        <w:spacing w:lineRule="auto" w:line="240"/>
        <w:ind w:left="142" w:right="0" w:hanging="0"/>
        <w:jc w:val="both"/>
        <w:rPr>
          <w:rFonts w:cs="Arial" w:ascii="Arial" w:hAnsi="Arial"/>
          <w:sz w:val="20"/>
          <w:szCs w:val="20"/>
        </w:rPr>
      </w:pPr>
      <w:r>
        <w:rPr>
          <w:rFonts w:cs="Arial" w:ascii="Arial" w:hAnsi="Arial"/>
          <w:sz w:val="20"/>
          <w:szCs w:val="20"/>
        </w:rPr>
      </w:r>
    </w:p>
    <w:p>
      <w:pPr>
        <w:pStyle w:val="ListParagraph"/>
        <w:spacing w:lineRule="auto" w:line="240"/>
        <w:ind w:left="142" w:right="0" w:firstLine="284"/>
        <w:jc w:val="both"/>
        <w:rPr>
          <w:rFonts w:cs="Arial" w:ascii="Arial" w:hAnsi="Arial"/>
          <w:sz w:val="20"/>
          <w:szCs w:val="20"/>
        </w:rPr>
      </w:pPr>
      <w:r>
        <w:rPr>
          <w:rFonts w:cs="Arial" w:ascii="Arial" w:hAnsi="Arial"/>
          <w:sz w:val="20"/>
          <w:szCs w:val="20"/>
        </w:rPr>
        <w:t>Opis hospodárskej činnosti účtovnej jednotky:</w:t>
      </w:r>
    </w:p>
    <w:p>
      <w:pPr>
        <w:pStyle w:val="Normal"/>
        <w:ind w:left="142" w:right="0" w:firstLine="284"/>
        <w:jc w:val="both"/>
        <w:rPr>
          <w:rFonts w:cs="Arial" w:ascii="Arial" w:hAnsi="Arial"/>
          <w:sz w:val="20"/>
          <w:szCs w:val="20"/>
        </w:rPr>
      </w:pPr>
      <w:r>
        <w:rPr>
          <w:rFonts w:cs="Arial" w:ascii="Arial" w:hAnsi="Arial"/>
          <w:sz w:val="20"/>
          <w:szCs w:val="20"/>
        </w:rPr>
        <w:t>veľkoobchod s potravinárskym tovarom – predaj alkoholu, tabakových výrobkov a cigariet,</w:t>
      </w:r>
    </w:p>
    <w:p>
      <w:pPr>
        <w:pStyle w:val="Normal"/>
        <w:spacing w:lineRule="auto" w:line="240"/>
        <w:ind w:left="142" w:right="0" w:firstLine="284"/>
        <w:jc w:val="both"/>
        <w:rPr>
          <w:rFonts w:cs="Arial" w:ascii="Arial" w:hAnsi="Arial"/>
          <w:sz w:val="20"/>
          <w:szCs w:val="20"/>
        </w:rPr>
      </w:pPr>
      <w:r>
        <w:rPr>
          <w:rFonts w:cs="Arial" w:ascii="Arial" w:hAnsi="Arial"/>
          <w:sz w:val="20"/>
          <w:szCs w:val="20"/>
        </w:rPr>
        <w:t>cukroviniek a nápojov.</w:t>
      </w:r>
    </w:p>
    <w:p>
      <w:pPr>
        <w:pStyle w:val="ListParagraph"/>
        <w:spacing w:lineRule="auto" w:line="240"/>
        <w:ind w:left="142" w:right="0" w:firstLine="284"/>
        <w:jc w:val="both"/>
        <w:rPr>
          <w:rFonts w:cs="Arial" w:ascii="Arial" w:hAnsi="Arial"/>
          <w:b/>
          <w:sz w:val="20"/>
          <w:szCs w:val="20"/>
        </w:rPr>
      </w:pPr>
      <w:r>
        <w:rPr>
          <w:rFonts w:cs="Arial" w:ascii="Arial" w:hAnsi="Arial"/>
          <w:sz w:val="20"/>
          <w:szCs w:val="20"/>
        </w:rPr>
        <w:t xml:space="preserve">Dátum vzniku : </w:t>
      </w:r>
      <w:r>
        <w:rPr>
          <w:rFonts w:cs="Arial" w:ascii="Arial" w:hAnsi="Arial"/>
          <w:b/>
          <w:sz w:val="20"/>
          <w:szCs w:val="20"/>
        </w:rPr>
        <w:t xml:space="preserve"> </w:t>
      </w:r>
    </w:p>
    <w:p>
      <w:pPr>
        <w:pStyle w:val="ListParagraph"/>
        <w:spacing w:lineRule="auto" w:line="240"/>
        <w:ind w:left="142" w:right="0" w:firstLine="284"/>
        <w:jc w:val="both"/>
        <w:rPr>
          <w:rFonts w:cs="Arial" w:ascii="Arial" w:hAnsi="Arial"/>
          <w:sz w:val="20"/>
          <w:szCs w:val="20"/>
        </w:rPr>
      </w:pPr>
      <w:r>
        <w:rPr>
          <w:rFonts w:cs="Arial" w:ascii="Arial" w:hAnsi="Arial"/>
          <w:bCs/>
          <w:sz w:val="20"/>
          <w:szCs w:val="20"/>
        </w:rPr>
        <w:t>s</w:t>
      </w:r>
      <w:r>
        <w:rPr>
          <w:rFonts w:cs="Arial" w:ascii="Arial" w:hAnsi="Arial"/>
          <w:sz w:val="20"/>
          <w:szCs w:val="20"/>
        </w:rPr>
        <w:t>poločnosť vznikla zápisom do OR OS Prešov dňa 5.4.2000, oddiel Sro, Vložka číslo: 12122/P</w:t>
      </w:r>
    </w:p>
    <w:p>
      <w:pPr>
        <w:pStyle w:val="ListParagraph"/>
        <w:spacing w:lineRule="auto" w:line="240"/>
        <w:ind w:left="142" w:right="0" w:hanging="0"/>
        <w:jc w:val="both"/>
        <w:rPr>
          <w:rFonts w:cs="Arial" w:ascii="Arial" w:hAnsi="Arial"/>
          <w:b/>
        </w:rPr>
      </w:pPr>
      <w:r>
        <w:rPr>
          <w:rFonts w:cs="Arial" w:ascii="Arial" w:hAnsi="Arial"/>
          <w:b/>
        </w:rPr>
      </w:r>
    </w:p>
    <w:p>
      <w:pPr>
        <w:pStyle w:val="ListParagraph"/>
        <w:spacing w:lineRule="auto" w:line="240"/>
        <w:ind w:left="142" w:right="0" w:hanging="0"/>
        <w:jc w:val="both"/>
        <w:rPr>
          <w:rFonts w:cs="Arial" w:ascii="Arial" w:hAnsi="Arial"/>
          <w:b/>
        </w:rPr>
      </w:pPr>
      <w:r>
        <w:rPr>
          <w:rFonts w:cs="Arial" w:ascii="Arial" w:hAnsi="Arial"/>
          <w:b/>
        </w:rPr>
        <w:t xml:space="preserve">            </w:t>
      </w:r>
    </w:p>
    <w:p>
      <w:pPr>
        <w:pStyle w:val="ListParagraph"/>
        <w:spacing w:lineRule="auto" w:line="240"/>
        <w:ind w:left="142" w:right="0" w:hanging="0"/>
        <w:jc w:val="both"/>
        <w:rPr>
          <w:rFonts w:cs="Arial" w:ascii="Arial" w:hAnsi="Arial"/>
          <w:b/>
          <w:bCs/>
        </w:rPr>
      </w:pPr>
      <w:r>
        <w:rPr>
          <w:rFonts w:cs="Arial" w:ascii="Arial" w:hAnsi="Arial"/>
          <w:b/>
          <w:bCs/>
        </w:rPr>
        <w:tab/>
      </w:r>
    </w:p>
    <w:p>
      <w:pPr>
        <w:pStyle w:val="ListParagraph"/>
        <w:spacing w:lineRule="auto" w:line="240"/>
        <w:ind w:left="142" w:right="0" w:firstLine="284"/>
        <w:jc w:val="both"/>
        <w:rPr>
          <w:rFonts w:cs="Arial" w:ascii="Arial" w:hAnsi="Arial"/>
          <w:sz w:val="20"/>
          <w:szCs w:val="20"/>
        </w:rPr>
      </w:pPr>
      <w:r>
        <w:rPr>
          <w:rFonts w:cs="Arial" w:ascii="Arial" w:hAnsi="Arial"/>
          <w:sz w:val="20"/>
          <w:szCs w:val="20"/>
        </w:rPr>
        <w:t>Bežné obdobie (BO) :                                 od 1.1.2017                       do 31.12.2017</w:t>
      </w:r>
    </w:p>
    <w:p>
      <w:pPr>
        <w:pStyle w:val="ListParagraph"/>
        <w:spacing w:lineRule="auto" w:line="240"/>
        <w:ind w:left="142" w:right="0" w:firstLine="284"/>
        <w:jc w:val="both"/>
        <w:rPr>
          <w:rFonts w:cs="Arial" w:ascii="Arial" w:hAnsi="Arial"/>
          <w:sz w:val="20"/>
          <w:szCs w:val="20"/>
        </w:rPr>
      </w:pPr>
      <w:r>
        <w:rPr>
          <w:rFonts w:cs="Arial" w:ascii="Arial" w:hAnsi="Arial"/>
          <w:sz w:val="20"/>
          <w:szCs w:val="20"/>
        </w:rPr>
        <w:t xml:space="preserve">Predchádzajúce obdobie (PO) :                 od 1.1.2016  </w:t>
        <w:tab/>
        <w:tab/>
        <w:t xml:space="preserve">       do 31.12.2016</w:t>
      </w:r>
    </w:p>
    <w:p>
      <w:pPr>
        <w:pStyle w:val="ListParagraph"/>
        <w:spacing w:lineRule="auto" w:line="240"/>
        <w:ind w:left="142" w:right="0" w:firstLine="284"/>
        <w:jc w:val="both"/>
        <w:rPr/>
      </w:pPr>
      <w:r>
        <w:rPr/>
      </w:r>
    </w:p>
    <w:p>
      <w:pPr>
        <w:pStyle w:val="ListParagraph"/>
        <w:spacing w:lineRule="auto" w:line="240"/>
        <w:ind w:left="142" w:right="0" w:hanging="0"/>
        <w:jc w:val="both"/>
        <w:rPr>
          <w:rFonts w:cs="Times New Roman" w:ascii="Times New Roman" w:hAnsi="Times New Roman"/>
        </w:rPr>
      </w:pPr>
      <w:r>
        <w:rPr>
          <w:rFonts w:cs="Times New Roman" w:ascii="Times New Roman" w:hAnsi="Times New Roman"/>
        </w:rPr>
      </w:r>
    </w:p>
    <w:p>
      <w:pPr>
        <w:pStyle w:val="ListParagraph"/>
        <w:spacing w:lineRule="auto" w:line="240"/>
        <w:ind w:left="142" w:right="0" w:hanging="0"/>
        <w:jc w:val="both"/>
        <w:rPr>
          <w:rFonts w:cs="Arial" w:ascii="Arial" w:hAnsi="Arial"/>
          <w:b/>
          <w:sz w:val="20"/>
          <w:szCs w:val="20"/>
        </w:rPr>
      </w:pPr>
      <w:r>
        <w:rPr>
          <w:rFonts w:cs="Arial" w:ascii="Arial" w:hAnsi="Arial"/>
          <w:b/>
          <w:sz w:val="20"/>
          <w:szCs w:val="20"/>
        </w:rPr>
        <w:t>I.2</w:t>
        <w:tab/>
        <w:t>Dátum schválenia účtovnej závierky za bezprostredne predchádzajúce účtovné obdobie:</w:t>
      </w:r>
    </w:p>
    <w:p>
      <w:pPr>
        <w:pStyle w:val="ListParagraph"/>
        <w:spacing w:lineRule="auto" w:line="240"/>
        <w:ind w:left="142" w:right="0" w:hanging="0"/>
        <w:jc w:val="both"/>
        <w:rPr>
          <w:rFonts w:cs="Arial" w:ascii="Arial" w:hAnsi="Arial"/>
          <w:b/>
        </w:rPr>
      </w:pPr>
      <w:r>
        <w:rPr>
          <w:rFonts w:cs="Arial" w:ascii="Arial" w:hAnsi="Arial"/>
          <w:b/>
        </w:rPr>
      </w:r>
    </w:p>
    <w:p>
      <w:pPr>
        <w:pStyle w:val="Normal"/>
        <w:spacing w:before="0" w:after="0"/>
        <w:ind w:left="426" w:right="0" w:hanging="0"/>
        <w:jc w:val="both"/>
        <w:rPr>
          <w:rFonts w:cs="Arial" w:ascii="Arial" w:hAnsi="Arial"/>
          <w:sz w:val="20"/>
          <w:szCs w:val="20"/>
        </w:rPr>
      </w:pPr>
      <w:r>
        <w:rPr>
          <w:rFonts w:cs="Arial" w:ascii="Arial" w:hAnsi="Arial"/>
          <w:sz w:val="20"/>
          <w:szCs w:val="20"/>
        </w:rPr>
        <w:t xml:space="preserve">     </w:t>
      </w:r>
      <w:r>
        <w:rPr>
          <w:rFonts w:cs="Arial" w:ascii="Arial" w:hAnsi="Arial"/>
          <w:sz w:val="20"/>
          <w:szCs w:val="20"/>
        </w:rPr>
        <w:t xml:space="preserve">Účtovná  závierka spoločnosti k 31.12. 2016, t.j. za predchádzajúce účtovné obdobie od 1.1.2016 do 31.12.2016, bola </w:t>
      </w:r>
      <w:r>
        <w:rPr>
          <w:rFonts w:eastAsia="Arial" w:cs="Arial" w:ascii="Arial" w:hAnsi="Arial"/>
          <w:sz w:val="20"/>
          <w:szCs w:val="20"/>
        </w:rPr>
        <w:t xml:space="preserve"> </w:t>
      </w:r>
      <w:r>
        <w:rPr>
          <w:rFonts w:cs="Arial" w:ascii="Arial" w:hAnsi="Arial"/>
          <w:sz w:val="20"/>
          <w:szCs w:val="20"/>
        </w:rPr>
        <w:t>schválená valným zhromaždením Spoločnosti dňa 10.apríla 2017.</w:t>
      </w:r>
    </w:p>
    <w:p>
      <w:pPr>
        <w:pStyle w:val="Normal"/>
        <w:spacing w:before="0" w:after="0"/>
        <w:ind w:left="426" w:right="0" w:hanging="0"/>
        <w:jc w:val="both"/>
        <w:rPr>
          <w:rFonts w:cs="Arial" w:ascii="Arial" w:hAnsi="Arial"/>
          <w:sz w:val="20"/>
          <w:szCs w:val="20"/>
        </w:rPr>
      </w:pPr>
      <w:r>
        <w:rPr>
          <w:rFonts w:cs="Arial" w:ascii="Arial" w:hAnsi="Arial"/>
          <w:sz w:val="20"/>
          <w:szCs w:val="20"/>
        </w:rPr>
        <w:t xml:space="preserve">   </w:t>
      </w:r>
      <w:r>
        <w:rPr>
          <w:rFonts w:cs="Arial" w:ascii="Arial" w:hAnsi="Arial"/>
          <w:sz w:val="20"/>
          <w:szCs w:val="20"/>
        </w:rPr>
        <w:t xml:space="preserve">Valné zhromaždenie dňa 10.apríla.2017 schválilo Ing. Ľuboslavu Urbanovičovú Škrovinovú  – audítor SKAu licencia č.445 ako audítora na overenie účtovnej  závierky za účtovné obdobie od 1.januára 2017 do 31.decembra 2017.    </w:t>
      </w:r>
    </w:p>
    <w:p>
      <w:pPr>
        <w:pStyle w:val="Normal"/>
        <w:spacing w:before="0" w:after="0"/>
        <w:ind w:left="426" w:right="0" w:hanging="0"/>
        <w:jc w:val="both"/>
        <w:rPr>
          <w:rFonts w:cs="Arial" w:ascii="Arial" w:hAnsi="Arial"/>
          <w:sz w:val="20"/>
          <w:szCs w:val="20"/>
        </w:rPr>
      </w:pPr>
      <w:r>
        <w:rPr>
          <w:rFonts w:eastAsia="Arial" w:cs="Arial" w:ascii="Arial" w:hAnsi="Arial"/>
          <w:bCs/>
          <w:sz w:val="20"/>
          <w:szCs w:val="20"/>
        </w:rPr>
        <w:t xml:space="preserve">    </w:t>
      </w:r>
      <w:r>
        <w:rPr>
          <w:rFonts w:eastAsia="Arial" w:cs="Arial" w:ascii="Arial" w:hAnsi="Arial"/>
          <w:bCs/>
          <w:sz w:val="20"/>
          <w:szCs w:val="20"/>
        </w:rPr>
        <w:t>Ú</w:t>
      </w:r>
      <w:r>
        <w:rPr>
          <w:rFonts w:cs="Arial" w:ascii="Arial" w:hAnsi="Arial"/>
          <w:sz w:val="20"/>
          <w:szCs w:val="20"/>
        </w:rPr>
        <w:t>čtovná závierka za predchádzajúce obdobie bola zverejnená v registri účtovných závierok dňa  11.04.2017.</w:t>
      </w:r>
    </w:p>
    <w:p>
      <w:pPr>
        <w:pStyle w:val="Normal"/>
        <w:ind w:left="142" w:right="0" w:hanging="0"/>
        <w:rPr>
          <w:rFonts w:eastAsia="Arial" w:cs="Arial" w:ascii="Arial" w:hAnsi="Arial"/>
          <w:b/>
          <w:bCs/>
          <w:sz w:val="20"/>
          <w:szCs w:val="20"/>
        </w:rPr>
      </w:pPr>
      <w:r>
        <w:rPr>
          <w:rFonts w:eastAsia="Arial" w:cs="Arial" w:ascii="Arial" w:hAnsi="Arial"/>
          <w:b/>
          <w:bCs/>
          <w:sz w:val="20"/>
          <w:szCs w:val="20"/>
        </w:rPr>
        <w:t xml:space="preserve">   </w:t>
      </w:r>
    </w:p>
    <w:p>
      <w:pPr>
        <w:pStyle w:val="ListParagraph"/>
        <w:spacing w:lineRule="auto" w:line="240"/>
        <w:ind w:left="142" w:right="0" w:hanging="0"/>
        <w:jc w:val="both"/>
        <w:rPr>
          <w:rFonts w:cs="Times New Roman" w:ascii="Times New Roman" w:hAnsi="Times New Roman"/>
          <w:b/>
        </w:rPr>
      </w:pPr>
      <w:r>
        <w:rPr>
          <w:rFonts w:cs="Times New Roman" w:ascii="Times New Roman" w:hAnsi="Times New Roman"/>
          <w:b/>
        </w:rPr>
      </w:r>
    </w:p>
    <w:p>
      <w:pPr>
        <w:pStyle w:val="ListParagraph"/>
        <w:spacing w:lineRule="auto" w:line="240"/>
        <w:ind w:left="142" w:right="0" w:hanging="0"/>
        <w:jc w:val="both"/>
        <w:rPr>
          <w:rFonts w:cs="Times New Roman" w:ascii="Times New Roman" w:hAnsi="Times New Roman"/>
          <w:b/>
        </w:rPr>
      </w:pPr>
      <w:r>
        <w:rPr>
          <w:rFonts w:cs="Times New Roman" w:ascii="Times New Roman" w:hAnsi="Times New Roman"/>
          <w:b/>
        </w:rPr>
      </w:r>
    </w:p>
    <w:p>
      <w:pPr>
        <w:pStyle w:val="ListParagraph"/>
        <w:spacing w:lineRule="auto" w:line="240"/>
        <w:ind w:left="142" w:right="0" w:hanging="0"/>
        <w:jc w:val="both"/>
        <w:rPr>
          <w:rFonts w:cs="Arial" w:ascii="Arial" w:hAnsi="Arial"/>
          <w:b/>
        </w:rPr>
      </w:pPr>
      <w:r>
        <w:rPr>
          <w:rFonts w:cs="Arial" w:ascii="Arial" w:hAnsi="Arial"/>
          <w:b/>
        </w:rPr>
        <w:t>I.3</w:t>
        <w:tab/>
        <w:t xml:space="preserve"> Právny dôvod na zostavenie účtovnej závierky:</w:t>
      </w:r>
    </w:p>
    <w:p>
      <w:pPr>
        <w:pStyle w:val="ListParagraph"/>
        <w:spacing w:lineRule="auto" w:line="240" w:before="0" w:after="0"/>
        <w:ind w:left="142" w:right="0" w:hanging="0"/>
        <w:jc w:val="both"/>
        <w:rPr/>
      </w:pPr>
      <w:r>
        <w:rPr/>
      </w:r>
    </w:p>
    <w:p>
      <w:pPr>
        <w:pStyle w:val="ListParagraph"/>
        <w:spacing w:lineRule="auto" w:line="240" w:before="0" w:after="0"/>
        <w:ind w:left="142" w:right="0" w:hanging="0"/>
        <w:jc w:val="both"/>
        <w:rPr>
          <w:rFonts w:cs="Arial" w:ascii="Arial" w:hAnsi="Arial"/>
          <w:sz w:val="20"/>
          <w:szCs w:val="20"/>
        </w:rPr>
      </w:pPr>
      <w:r>
        <w:rPr>
          <w:rFonts w:cs="Times New Roman" w:ascii="Times New Roman" w:hAnsi="Times New Roman"/>
          <w:b/>
        </w:rPr>
        <w:t xml:space="preserve">             </w:t>
      </w:r>
      <w:r>
        <w:rPr>
          <w:rFonts w:cs="Arial" w:ascii="Arial" w:hAnsi="Arial"/>
          <w:sz w:val="20"/>
          <w:szCs w:val="20"/>
        </w:rPr>
        <w:t xml:space="preserve">Účtovná závierka Spoločnosti k 31.12.2017 je zostavená ako riadna účtovná závierka podľa    </w:t>
      </w:r>
    </w:p>
    <w:p>
      <w:pPr>
        <w:pStyle w:val="Normal"/>
        <w:spacing w:before="0" w:after="0"/>
        <w:ind w:left="142" w:right="0" w:hanging="0"/>
        <w:rPr>
          <w:rFonts w:cs="Arial" w:ascii="Arial" w:hAnsi="Arial"/>
          <w:sz w:val="20"/>
          <w:szCs w:val="20"/>
        </w:rPr>
      </w:pPr>
      <w:r>
        <w:rPr>
          <w:rFonts w:eastAsia="Arial" w:cs="Arial" w:ascii="Arial" w:hAnsi="Arial"/>
          <w:sz w:val="20"/>
          <w:szCs w:val="20"/>
        </w:rPr>
        <w:t xml:space="preserve">     </w:t>
      </w:r>
      <w:r>
        <w:rPr>
          <w:rFonts w:cs="Arial" w:ascii="Arial" w:hAnsi="Arial"/>
          <w:sz w:val="20"/>
          <w:szCs w:val="20"/>
        </w:rPr>
        <w:t xml:space="preserve">§ 17 ods.6 zákona č.431/2002 Z.Z. o účtovníctve v znení neskorších predpisov za účtovné     </w:t>
      </w:r>
    </w:p>
    <w:p>
      <w:pPr>
        <w:pStyle w:val="ListParagraph"/>
        <w:spacing w:lineRule="auto" w:line="240" w:before="0" w:after="0"/>
        <w:ind w:left="142" w:right="0" w:hanging="0"/>
        <w:jc w:val="both"/>
        <w:rPr>
          <w:rFonts w:cs="Arial" w:ascii="Arial" w:hAnsi="Arial"/>
          <w:sz w:val="20"/>
          <w:szCs w:val="20"/>
        </w:rPr>
      </w:pPr>
      <w:r>
        <w:rPr>
          <w:rFonts w:eastAsia="Arial" w:cs="Arial" w:ascii="Arial" w:hAnsi="Arial"/>
          <w:sz w:val="20"/>
          <w:szCs w:val="20"/>
        </w:rPr>
        <w:t xml:space="preserve">     </w:t>
      </w:r>
      <w:r>
        <w:rPr>
          <w:rFonts w:cs="Arial" w:ascii="Arial" w:hAnsi="Arial"/>
          <w:sz w:val="20"/>
          <w:szCs w:val="20"/>
        </w:rPr>
        <w:t>obdobie od 1.januára 2017 do 31.decembra 2017.</w:t>
      </w:r>
    </w:p>
    <w:p>
      <w:pPr>
        <w:pStyle w:val="ListParagraph"/>
        <w:tabs>
          <w:tab w:val="left" w:pos="1604" w:leader="none"/>
          <w:tab w:val="left" w:pos="2815" w:leader="none"/>
        </w:tabs>
        <w:spacing w:lineRule="auto" w:line="240"/>
        <w:ind w:left="142" w:right="0" w:hanging="0"/>
        <w:jc w:val="both"/>
        <w:rPr/>
      </w:pPr>
      <w:r>
        <w:rPr/>
      </w:r>
    </w:p>
    <w:p>
      <w:pPr>
        <w:pStyle w:val="ListParagraph"/>
        <w:spacing w:lineRule="auto" w:line="240"/>
        <w:ind w:left="142" w:right="0" w:hanging="0"/>
        <w:jc w:val="both"/>
        <w:rPr>
          <w:rFonts w:cs="Times New Roman" w:ascii="Times New Roman" w:hAnsi="Times New Roman"/>
          <w:b/>
        </w:rPr>
      </w:pPr>
      <w:r>
        <w:rPr>
          <w:rFonts w:cs="Times New Roman" w:ascii="Times New Roman" w:hAnsi="Times New Roman"/>
          <w:b/>
        </w:rPr>
      </w:r>
    </w:p>
    <w:p>
      <w:pPr>
        <w:pStyle w:val="ListParagraph"/>
        <w:spacing w:lineRule="auto" w:line="240"/>
        <w:ind w:left="142" w:right="0" w:hanging="0"/>
        <w:jc w:val="both"/>
        <w:rPr>
          <w:rFonts w:cs="Times New Roman" w:ascii="Times New Roman" w:hAnsi="Times New Roman"/>
          <w:b/>
        </w:rPr>
      </w:pPr>
      <w:r>
        <w:rPr>
          <w:rFonts w:cs="Times New Roman" w:ascii="Times New Roman" w:hAnsi="Times New Roman"/>
          <w:b/>
        </w:rPr>
      </w:r>
    </w:p>
    <w:p>
      <w:pPr>
        <w:pStyle w:val="Normal"/>
        <w:spacing w:lineRule="auto" w:line="240"/>
        <w:ind w:left="142" w:right="0" w:hanging="0"/>
        <w:jc w:val="both"/>
        <w:rPr>
          <w:rFonts w:cs="Arial" w:ascii="Arial" w:hAnsi="Arial"/>
          <w:b/>
        </w:rPr>
      </w:pPr>
      <w:r>
        <w:rPr>
          <w:rFonts w:cs="Arial" w:ascii="Arial" w:hAnsi="Arial"/>
          <w:b/>
        </w:rPr>
        <w:t>I.4 Informácie o skupine účtovných jednotiek, ak je účtovná jednotka jej súčasťou:</w:t>
      </w:r>
    </w:p>
    <w:p>
      <w:pPr>
        <w:pStyle w:val="Normal"/>
        <w:spacing w:lineRule="auto" w:line="240"/>
        <w:ind w:left="142" w:right="0" w:hanging="0"/>
        <w:jc w:val="both"/>
        <w:rPr/>
      </w:pPr>
      <w:r>
        <w:rPr/>
      </w:r>
    </w:p>
    <w:p>
      <w:pPr>
        <w:pStyle w:val="Normal"/>
        <w:spacing w:lineRule="auto" w:line="240" w:before="0" w:after="0"/>
        <w:ind w:left="142" w:right="0" w:firstLine="284"/>
        <w:jc w:val="both"/>
        <w:rPr>
          <w:rFonts w:cs="Arial" w:ascii="Arial" w:hAnsi="Arial"/>
          <w:b/>
          <w:sz w:val="20"/>
          <w:szCs w:val="20"/>
        </w:rPr>
      </w:pPr>
      <w:r>
        <w:rPr>
          <w:rFonts w:cs="Arial" w:ascii="Arial" w:hAnsi="Arial"/>
          <w:sz w:val="20"/>
          <w:szCs w:val="20"/>
        </w:rPr>
        <w:t>Spoločnosť nie je povinná zostavovať konsolidovanú účtovnú závierku, nie je materskou</w:t>
      </w:r>
      <w:r>
        <w:rPr>
          <w:rFonts w:cs="Arial" w:ascii="Arial" w:hAnsi="Arial"/>
          <w:b/>
          <w:sz w:val="20"/>
          <w:szCs w:val="20"/>
        </w:rPr>
        <w:t xml:space="preserve">   </w:t>
      </w:r>
    </w:p>
    <w:p>
      <w:pPr>
        <w:pStyle w:val="Normal"/>
        <w:spacing w:lineRule="auto" w:line="240" w:before="0" w:after="0"/>
        <w:ind w:left="142" w:right="0" w:firstLine="284"/>
        <w:jc w:val="both"/>
        <w:rPr>
          <w:rFonts w:cs="Arial" w:ascii="Arial" w:hAnsi="Arial"/>
          <w:sz w:val="20"/>
          <w:szCs w:val="20"/>
        </w:rPr>
      </w:pPr>
      <w:r>
        <w:rPr>
          <w:rFonts w:cs="Arial" w:ascii="Arial" w:hAnsi="Arial"/>
          <w:sz w:val="20"/>
          <w:szCs w:val="20"/>
        </w:rPr>
        <w:t>spoločnosťou a ani nie je súčasťou konsolidačného poľa žiadnej materskej spoločnosti.</w:t>
      </w:r>
    </w:p>
    <w:p>
      <w:pPr>
        <w:pStyle w:val="Normal"/>
        <w:spacing w:lineRule="auto" w:line="240"/>
        <w:jc w:val="both"/>
        <w:rPr/>
      </w:pPr>
      <w:r>
        <w:rPr/>
      </w:r>
    </w:p>
    <w:p>
      <w:pPr>
        <w:pStyle w:val="Normal"/>
        <w:spacing w:lineRule="auto" w:line="240"/>
        <w:jc w:val="both"/>
        <w:rPr/>
      </w:pPr>
      <w:r>
        <w:rPr/>
      </w:r>
    </w:p>
    <w:p>
      <w:pPr>
        <w:pStyle w:val="Normal"/>
        <w:spacing w:lineRule="auto" w:line="240"/>
        <w:jc w:val="both"/>
        <w:rPr/>
      </w:pPr>
      <w:r>
        <w:rPr/>
      </w:r>
    </w:p>
    <w:p>
      <w:pPr>
        <w:pStyle w:val="Normal"/>
        <w:spacing w:lineRule="auto" w:line="240"/>
        <w:ind w:left="142" w:right="0" w:hanging="0"/>
        <w:jc w:val="both"/>
        <w:rPr>
          <w:rFonts w:cs="Arial" w:ascii="Arial" w:hAnsi="Arial"/>
          <w:b/>
        </w:rPr>
      </w:pPr>
      <w:r>
        <w:rPr>
          <w:rFonts w:cs="Arial" w:ascii="Arial" w:hAnsi="Arial"/>
          <w:b/>
        </w:rPr>
        <w:t>I.5 Informácie o počte zamestnancov:</w:t>
      </w:r>
    </w:p>
    <w:p>
      <w:pPr>
        <w:pStyle w:val="Normal"/>
        <w:spacing w:lineRule="auto" w:line="240"/>
        <w:ind w:left="142" w:right="0" w:hanging="0"/>
        <w:jc w:val="both"/>
        <w:rPr>
          <w:rFonts w:cs="Times New Roman" w:ascii="Times New Roman" w:hAnsi="Times New Roman"/>
        </w:rPr>
      </w:pPr>
      <w:r>
        <w:rPr>
          <w:rFonts w:cs="Times New Roman" w:ascii="Times New Roman" w:hAnsi="Times New Roman"/>
        </w:rPr>
      </w:r>
      <w:r>
        <w:pict>
          <v:rect fillcolor="#FFFFFF" strokecolor="#000000" strokeweight="0pt" style="position:absolute;width:466.2pt;height:73pt;mso-wrap-distance-left:7.05pt;mso-wrap-distance-right:7.05pt;mso-wrap-distance-top:0pt;mso-wrap-distance-bottom:0pt;margin-top:2.05pt;margin-left:-7.75pt">
            <v:textbox inset="0in,0in,0in,0in">
              <w:txbxContent>
                <w:tbl>
                  <w:tblPr>
                    <w:jc w:val="left"/>
                    <w:tblInd w:w="20" w:type="dxa"/>
                    <w:tbl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blBorders>
                    <w:tblCellMar>
                      <w:top w:w="0" w:type="dxa"/>
                      <w:left w:w="-6" w:type="dxa"/>
                      <w:bottom w:w="0" w:type="dxa"/>
                      <w:right w:w="108" w:type="dxa"/>
                    </w:tblCellMar>
                  </w:tblPr>
                  <w:tblGrid>
                    <w:gridCol w:w="4123"/>
                    <w:gridCol w:w="2399"/>
                    <w:gridCol w:w="2802"/>
                  </w:tblGrid>
                  <w:tr>
                    <w:trPr>
                      <w:cantSplit w:val="false"/>
                    </w:trPr>
                    <w:tc>
                      <w:tcPr>
                        <w:tcW w:w="4123" w:type="dxa"/>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6" w:type="dxa"/>
                        </w:tcMar>
                        <w:vAlign w:val="center"/>
                      </w:tcPr>
                      <w:p>
                        <w:pPr>
                          <w:pStyle w:val="Obsahrmca"/>
                          <w:spacing w:before="0" w:after="0"/>
                          <w:jc w:val="center"/>
                          <w:rPr>
                            <w:rFonts w:cs="Times New Roman" w:ascii="Times New Roman" w:hAnsi="Times New Roman"/>
                            <w:b/>
                          </w:rPr>
                        </w:pPr>
                        <w:r>
                          <w:rPr>
                            <w:rFonts w:cs="Times New Roman" w:ascii="Times New Roman" w:hAnsi="Times New Roman"/>
                            <w:b/>
                          </w:rPr>
                          <w:t>Názov položky</w:t>
                        </w:r>
                      </w:p>
                    </w:tc>
                    <w:tc>
                      <w:tcPr>
                        <w:tcW w:w="2399"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Obsahrmca"/>
                          <w:spacing w:before="0" w:after="0"/>
                          <w:jc w:val="center"/>
                          <w:rPr>
                            <w:rFonts w:cs="Times New Roman" w:ascii="Times New Roman" w:hAnsi="Times New Roman"/>
                            <w:b/>
                          </w:rPr>
                        </w:pPr>
                        <w:r>
                          <w:rPr>
                            <w:rFonts w:cs="Times New Roman" w:ascii="Times New Roman" w:hAnsi="Times New Roman"/>
                            <w:b/>
                          </w:rPr>
                          <w:t>Bežné účtovné obdobie</w:t>
                        </w:r>
                      </w:p>
                    </w:tc>
                    <w:tc>
                      <w:tcPr>
                        <w:tcW w:w="2802" w:type="dxa"/>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tcPr>
                      <w:p>
                        <w:pPr>
                          <w:pStyle w:val="Obsahrmca"/>
                          <w:spacing w:before="0" w:after="0"/>
                          <w:jc w:val="center"/>
                          <w:rPr>
                            <w:rFonts w:cs="Times New Roman" w:ascii="Times New Roman" w:hAnsi="Times New Roman"/>
                            <w:b/>
                          </w:rPr>
                        </w:pPr>
                        <w:r>
                          <w:rPr>
                            <w:rFonts w:cs="Times New Roman" w:ascii="Times New Roman" w:hAnsi="Times New Roman"/>
                            <w:b/>
                          </w:rPr>
                          <w:t>Bezprostredne predchádzajúce účtovné obdobie</w:t>
                        </w:r>
                      </w:p>
                    </w:tc>
                  </w:tr>
                  <w:tr>
                    <w:trPr>
                      <w:trHeight w:val="454" w:hRule="atLeast"/>
                      <w:cantSplit w:val="false"/>
                    </w:trPr>
                    <w:tc>
                      <w:tcPr>
                        <w:tcW w:w="4123" w:type="dxa"/>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6" w:type="dxa"/>
                        </w:tcMar>
                      </w:tcPr>
                      <w:p>
                        <w:pPr>
                          <w:pStyle w:val="Obsahrmca"/>
                          <w:spacing w:before="0" w:after="0"/>
                          <w:rPr>
                            <w:rFonts w:cs="Times New Roman" w:ascii="Times New Roman" w:hAnsi="Times New Roman"/>
                          </w:rPr>
                        </w:pPr>
                        <w:r>
                          <w:rPr>
                            <w:rFonts w:cs="Times New Roman" w:ascii="Times New Roman" w:hAnsi="Times New Roman"/>
                          </w:rPr>
                          <w:t>Priemerný prepočítaný počet zamestnancov počas účtovného obdobia</w:t>
                        </w:r>
                      </w:p>
                    </w:tc>
                    <w:tc>
                      <w:tcPr>
                        <w:tcW w:w="2399"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tcPr>
                      <w:p>
                        <w:pPr>
                          <w:pStyle w:val="Obsahrmca"/>
                          <w:spacing w:before="0" w:after="0"/>
                          <w:jc w:val="center"/>
                          <w:rPr/>
                        </w:pPr>
                        <w:r>
                          <w:rPr/>
                          <w:t>15,7</w:t>
                        </w:r>
                      </w:p>
                    </w:tc>
                    <w:tc>
                      <w:tcPr>
                        <w:tcW w:w="2802" w:type="dxa"/>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tcPr>
                      <w:p>
                        <w:pPr>
                          <w:pStyle w:val="Obsahrmca"/>
                          <w:spacing w:before="0" w:after="0"/>
                          <w:jc w:val="center"/>
                          <w:rPr>
                            <w:rFonts w:cs="Times New Roman"/>
                          </w:rPr>
                        </w:pPr>
                        <w:r>
                          <w:rPr>
                            <w:rFonts w:cs="Times New Roman"/>
                          </w:rPr>
                          <w:t>16,3</w:t>
                        </w:r>
                      </w:p>
                    </w:tc>
                  </w:tr>
                </w:tbl>
                <w:p>
                  <w:pPr>
                    <w:pStyle w:val="Obsahrmca"/>
                    <w:spacing w:before="0" w:after="160"/>
                    <w:rPr/>
                  </w:pPr>
                  <w:r>
                    <w:rPr/>
                  </w:r>
                </w:p>
              </w:txbxContent>
            </v:textbox>
            <w10:wrap type="square"/>
          </v:rect>
        </w:pict>
      </w:r>
    </w:p>
    <w:p>
      <w:pPr>
        <w:pStyle w:val="Normal"/>
        <w:spacing w:lineRule="auto" w:line="240"/>
        <w:ind w:left="142" w:right="0" w:hanging="0"/>
        <w:rPr>
          <w:rFonts w:ascii="Arial" w:hAnsi="Arial"/>
          <w:color w:val="000000"/>
          <w:sz w:val="20"/>
          <w:szCs w:val="20"/>
        </w:rPr>
      </w:pPr>
      <w:r>
        <w:rPr>
          <w:rFonts w:ascii="Arial" w:hAnsi="Arial"/>
          <w:color w:val="000000"/>
          <w:sz w:val="20"/>
          <w:szCs w:val="20"/>
        </w:rPr>
        <w:t xml:space="preserve"> </w:t>
      </w:r>
    </w:p>
    <w:p>
      <w:pPr>
        <w:pStyle w:val="Normal"/>
        <w:spacing w:lineRule="auto" w:line="240"/>
        <w:ind w:left="142" w:right="0" w:hanging="0"/>
        <w:rPr/>
      </w:pPr>
      <w:r>
        <w:rPr/>
      </w:r>
    </w:p>
    <w:p>
      <w:pPr>
        <w:pStyle w:val="Normal"/>
        <w:spacing w:lineRule="auto" w:line="240"/>
        <w:ind w:left="142" w:right="0" w:hanging="0"/>
        <w:rPr>
          <w:rFonts w:ascii="Arial" w:hAnsi="Arial"/>
          <w:color w:val="000000"/>
          <w:sz w:val="20"/>
          <w:szCs w:val="20"/>
        </w:rPr>
      </w:pPr>
      <w:r>
        <w:rPr>
          <w:rFonts w:ascii="Arial" w:hAnsi="Arial"/>
          <w:color w:val="000000"/>
          <w:sz w:val="20"/>
          <w:szCs w:val="20"/>
        </w:rPr>
        <w:t>Z Úradu práce a sociálnych vecí a rodiny jej boli na základe podpory zamestnávania dlhodobo nezamestnaných  poskytnuté finančné  príspevky  na zamestnanie dvoch pracovníkov</w:t>
      </w:r>
    </w:p>
    <w:p>
      <w:pPr>
        <w:pStyle w:val="Normal"/>
        <w:spacing w:lineRule="auto" w:line="240"/>
        <w:ind w:left="142" w:right="0" w:hanging="0"/>
        <w:rPr/>
      </w:pPr>
      <w:r>
        <w:rPr/>
      </w:r>
    </w:p>
    <w:p>
      <w:pPr>
        <w:pStyle w:val="Normal"/>
        <w:spacing w:lineRule="auto" w:line="240"/>
        <w:ind w:left="142" w:right="0" w:hanging="0"/>
        <w:jc w:val="center"/>
        <w:rPr>
          <w:rFonts w:cs="Arial" w:ascii="Arial" w:hAnsi="Arial"/>
          <w:b/>
          <w:color w:val="000000"/>
        </w:rPr>
      </w:pPr>
      <w:r>
        <w:rPr>
          <w:rFonts w:cs="Arial" w:ascii="Arial" w:hAnsi="Arial"/>
          <w:b/>
          <w:color w:val="000000"/>
        </w:rPr>
        <w:t>Článok II</w:t>
        <w:tab/>
      </w:r>
    </w:p>
    <w:p>
      <w:pPr>
        <w:pStyle w:val="Normal"/>
        <w:spacing w:lineRule="auto" w:line="240"/>
        <w:ind w:left="142" w:right="0" w:hanging="0"/>
        <w:jc w:val="center"/>
        <w:rPr>
          <w:rFonts w:cs="Arial" w:ascii="Arial" w:hAnsi="Arial"/>
          <w:b/>
          <w:color w:val="000000"/>
        </w:rPr>
      </w:pPr>
      <w:r>
        <w:rPr>
          <w:rFonts w:cs="Arial" w:ascii="Arial" w:hAnsi="Arial"/>
          <w:b/>
          <w:color w:val="000000"/>
        </w:rPr>
        <w:t>Informácie o orgánoch spoločnosti</w:t>
      </w:r>
    </w:p>
    <w:p>
      <w:pPr>
        <w:pStyle w:val="Normal"/>
        <w:spacing w:lineRule="auto" w:line="240"/>
        <w:ind w:left="142" w:right="0" w:hanging="0"/>
        <w:rPr>
          <w:rFonts w:cs="Arial" w:ascii="Arial" w:hAnsi="Arial"/>
          <w:color w:val="000000"/>
          <w:sz w:val="20"/>
          <w:szCs w:val="20"/>
        </w:rPr>
      </w:pPr>
      <w:r>
        <w:rPr>
          <w:rFonts w:cs="Arial" w:ascii="Arial" w:hAnsi="Arial"/>
          <w:color w:val="000000"/>
          <w:sz w:val="20"/>
          <w:szCs w:val="20"/>
        </w:rPr>
        <w:t>Členom štatutárnych orgánov neboli v roku 2017 poskytnuté žiadne záruky, pôžičky a ani finančné prostriedky, ktoré by bolo treba vyúčtovať.</w:t>
      </w:r>
    </w:p>
    <w:p>
      <w:pPr>
        <w:pStyle w:val="Normal"/>
        <w:spacing w:lineRule="auto" w:line="240" w:before="0" w:after="0"/>
        <w:ind w:left="142" w:right="0" w:hanging="0"/>
        <w:jc w:val="both"/>
        <w:rPr>
          <w:color w:val="000000"/>
        </w:rPr>
      </w:pPr>
      <w:r>
        <w:rPr>
          <w:color w:val="000000"/>
        </w:rPr>
      </w:r>
    </w:p>
    <w:p>
      <w:pPr>
        <w:pStyle w:val="Normal"/>
        <w:spacing w:lineRule="auto" w:line="240"/>
        <w:ind w:left="142" w:right="0" w:hanging="0"/>
        <w:jc w:val="center"/>
        <w:rPr>
          <w:rFonts w:cs="Arial" w:ascii="Arial" w:hAnsi="Arial"/>
          <w:b/>
          <w:color w:val="000000"/>
        </w:rPr>
      </w:pPr>
      <w:r>
        <w:rPr>
          <w:rFonts w:cs="Arial" w:ascii="Arial" w:hAnsi="Arial"/>
          <w:b/>
          <w:color w:val="000000"/>
        </w:rPr>
        <w:t>Článok III</w:t>
        <w:tab/>
      </w:r>
    </w:p>
    <w:p>
      <w:pPr>
        <w:pStyle w:val="Normal"/>
        <w:spacing w:lineRule="auto" w:line="240"/>
        <w:ind w:left="142" w:right="0" w:hanging="0"/>
        <w:jc w:val="center"/>
        <w:rPr>
          <w:rFonts w:cs="Arial" w:ascii="Arial" w:hAnsi="Arial"/>
          <w:b/>
          <w:color w:val="000000"/>
        </w:rPr>
      </w:pPr>
      <w:r>
        <w:rPr>
          <w:rFonts w:cs="Arial" w:ascii="Arial" w:hAnsi="Arial"/>
          <w:b/>
          <w:color w:val="000000"/>
        </w:rPr>
        <w:t>Informácie o prijatých postupoch</w:t>
      </w:r>
    </w:p>
    <w:p>
      <w:pPr>
        <w:pStyle w:val="Normal"/>
        <w:spacing w:lineRule="auto" w:line="240"/>
        <w:ind w:left="142" w:right="0" w:hanging="0"/>
        <w:jc w:val="both"/>
        <w:rPr>
          <w:rFonts w:cs="Arial" w:ascii="Arial" w:hAnsi="Arial"/>
          <w:b/>
          <w:szCs w:val="24"/>
        </w:rPr>
      </w:pPr>
      <w:r>
        <w:rPr>
          <w:rFonts w:cs="Arial" w:ascii="Arial" w:hAnsi="Arial"/>
          <w:b/>
          <w:szCs w:val="24"/>
        </w:rPr>
        <w:t>III. 1 Účtovná jednotka bude nepretržite pokračovať vo svojej činnosti:</w:t>
      </w:r>
    </w:p>
    <w:p>
      <w:pPr>
        <w:pStyle w:val="Normal"/>
        <w:spacing w:lineRule="auto" w:line="240" w:before="0" w:after="360"/>
        <w:ind w:left="567" w:right="0" w:hanging="0"/>
        <w:rPr>
          <w:rFonts w:eastAsia="Arial" w:cs="Arial" w:ascii="Arial" w:hAnsi="Arial"/>
          <w:bCs/>
          <w:sz w:val="20"/>
          <w:szCs w:val="20"/>
        </w:rPr>
      </w:pPr>
      <w:r>
        <w:rPr>
          <w:rFonts w:cs="Arial" w:ascii="Arial" w:hAnsi="Arial"/>
          <w:bCs/>
          <w:sz w:val="20"/>
          <w:szCs w:val="20"/>
        </w:rPr>
        <w:t>Účtovná  závierka  spoločnosti k 31.12.2017  bola  zostavená za predpokladu nepretržitého</w:t>
      </w:r>
      <w:r>
        <w:rPr>
          <w:rFonts w:eastAsia="Arial" w:cs="Arial" w:ascii="Arial" w:hAnsi="Arial"/>
          <w:bCs/>
          <w:sz w:val="20"/>
          <w:szCs w:val="20"/>
        </w:rPr>
        <w:t xml:space="preserve"> trvania činnosti spoločnosti a v súlade s účtovnými predpismi platným v Slovenskej republike a správne a verne zobrazuje stav majetku a záväzkov, vlastné imanie, finančnú situáciu a výsledok hospodárenia. Súčasťou účtovnej závierky sú súvaha, výkaz ziskov a strát a poznámky.</w:t>
      </w:r>
    </w:p>
    <w:p>
      <w:pPr>
        <w:pStyle w:val="Normal"/>
        <w:spacing w:lineRule="auto" w:line="240" w:before="0" w:after="0"/>
        <w:ind w:left="142" w:right="0" w:hanging="0"/>
        <w:jc w:val="both"/>
        <w:rPr>
          <w:rFonts w:cs="Times New Roman" w:ascii="Times New Roman" w:hAnsi="Times New Roman"/>
          <w:b/>
          <w:szCs w:val="24"/>
        </w:rPr>
      </w:pPr>
      <w:r>
        <w:rPr>
          <w:rFonts w:cs="Arial" w:ascii="Arial" w:hAnsi="Arial"/>
          <w:b/>
          <w:szCs w:val="24"/>
        </w:rPr>
        <w:t>III. 2 Účtovné  zásady a metódy</w:t>
      </w:r>
      <w:r>
        <w:rPr>
          <w:rFonts w:cs="Times New Roman" w:ascii="Times New Roman" w:hAnsi="Times New Roman"/>
          <w:b/>
          <w:szCs w:val="24"/>
        </w:rPr>
        <w:t xml:space="preserve"> :</w:t>
      </w:r>
    </w:p>
    <w:p>
      <w:pPr>
        <w:pStyle w:val="Normal"/>
        <w:spacing w:lineRule="auto" w:line="240" w:before="0" w:after="0"/>
        <w:ind w:left="142" w:right="0" w:hanging="0"/>
        <w:jc w:val="both"/>
        <w:rPr/>
      </w:pPr>
      <w:r>
        <w:rPr/>
      </w:r>
    </w:p>
    <w:p>
      <w:pPr>
        <w:pStyle w:val="Normal"/>
        <w:spacing w:lineRule="auto" w:line="240" w:before="0" w:after="360"/>
        <w:ind w:left="567" w:right="0" w:hanging="0"/>
        <w:jc w:val="both"/>
        <w:rPr>
          <w:rFonts w:cs="Arial" w:ascii="Arial" w:hAnsi="Arial"/>
          <w:bCs/>
          <w:sz w:val="20"/>
          <w:szCs w:val="20"/>
        </w:rPr>
      </w:pPr>
      <w:r>
        <w:rPr>
          <w:rFonts w:cs="Arial" w:ascii="Arial" w:hAnsi="Arial"/>
          <w:bCs/>
          <w:sz w:val="20"/>
          <w:szCs w:val="20"/>
        </w:rPr>
        <w:t>Účtovné metódy a všeobecné účtovné zásady boli počas účtovného obdobie aplikované v rámci platného zákona o účtovníctve a platných postupov účtovania pre podvojné účtovníctvo.</w:t>
      </w:r>
    </w:p>
    <w:p>
      <w:pPr>
        <w:pStyle w:val="Normal"/>
        <w:ind w:left="142" w:right="0" w:hanging="0"/>
        <w:rPr>
          <w:rFonts w:cs="Arial" w:ascii="Arial" w:hAnsi="Arial"/>
          <w:sz w:val="20"/>
          <w:szCs w:val="20"/>
        </w:rPr>
      </w:pPr>
      <w:r>
        <w:rPr>
          <w:rFonts w:cs="Arial" w:ascii="Arial" w:hAnsi="Arial"/>
          <w:sz w:val="20"/>
          <w:szCs w:val="20"/>
        </w:rPr>
        <w:t>Všeobecné zásady:</w:t>
      </w:r>
    </w:p>
    <w:p>
      <w:pPr>
        <w:pStyle w:val="Normal"/>
        <w:numPr>
          <w:ilvl w:val="0"/>
          <w:numId w:val="1"/>
        </w:numPr>
        <w:tabs>
          <w:tab w:val="left" w:pos="426" w:leader="none"/>
        </w:tabs>
        <w:ind w:left="426" w:right="0" w:hanging="360"/>
        <w:rPr>
          <w:rFonts w:cs="Arial" w:ascii="Arial" w:hAnsi="Arial"/>
          <w:sz w:val="20"/>
          <w:szCs w:val="20"/>
        </w:rPr>
      </w:pPr>
      <w:r>
        <w:rPr>
          <w:rFonts w:cs="Arial" w:ascii="Arial" w:hAnsi="Arial"/>
          <w:sz w:val="20"/>
          <w:szCs w:val="20"/>
        </w:rPr>
        <w:t>Spoločnosť účtuje o skutočnostiach, ktoré sú predmetom účtovníctva do obdobia, s ktorým tieto časovo a vecne súvisia, ak túto zásadu nemožno dodržať, môže o nich účtovať aj v období, v ktorom uvedené skutočnosti zistila.</w:t>
      </w:r>
    </w:p>
    <w:p>
      <w:pPr>
        <w:pStyle w:val="Normal"/>
        <w:numPr>
          <w:ilvl w:val="0"/>
          <w:numId w:val="1"/>
        </w:numPr>
        <w:ind w:left="426" w:right="0" w:hanging="360"/>
        <w:rPr>
          <w:rFonts w:cs="Arial" w:ascii="Arial" w:hAnsi="Arial"/>
          <w:sz w:val="20"/>
          <w:szCs w:val="20"/>
        </w:rPr>
      </w:pPr>
      <w:r>
        <w:rPr>
          <w:rFonts w:cs="Arial" w:ascii="Arial" w:hAnsi="Arial"/>
          <w:sz w:val="20"/>
          <w:szCs w:val="20"/>
        </w:rPr>
        <w:t>Pri účtovaní o výsledku hospodárenia spoločnosť berie za základ všetky náklady a výnosy, ktoré sa vzťahujú na účtovné obdobie.</w:t>
      </w:r>
    </w:p>
    <w:p>
      <w:pPr>
        <w:pStyle w:val="Normal"/>
        <w:numPr>
          <w:ilvl w:val="0"/>
          <w:numId w:val="1"/>
        </w:numPr>
        <w:tabs>
          <w:tab w:val="left" w:pos="426" w:leader="none"/>
        </w:tabs>
        <w:ind w:left="426" w:right="0" w:hanging="360"/>
        <w:rPr>
          <w:rFonts w:cs="Arial" w:ascii="Arial" w:hAnsi="Arial"/>
          <w:sz w:val="20"/>
          <w:szCs w:val="20"/>
        </w:rPr>
      </w:pPr>
      <w:r>
        <w:rPr>
          <w:rFonts w:cs="Arial" w:ascii="Arial" w:hAnsi="Arial"/>
          <w:sz w:val="20"/>
          <w:szCs w:val="20"/>
        </w:rPr>
        <w:t>Ocenenie majetku a záväzkov v účtovníctve a účtovnej závierke je upravené o položky vyjadrujúce riziká, straty a znehodnotenia, ktoré boli známe ku dňu zostavenia účtovnej závierky - opravné položky, rezervy.</w:t>
      </w:r>
    </w:p>
    <w:p>
      <w:pPr>
        <w:pStyle w:val="Normal"/>
        <w:numPr>
          <w:ilvl w:val="0"/>
          <w:numId w:val="1"/>
        </w:numPr>
        <w:ind w:left="426" w:right="0" w:hanging="360"/>
        <w:rPr>
          <w:rFonts w:cs="Arial" w:ascii="Arial" w:hAnsi="Arial"/>
          <w:sz w:val="20"/>
          <w:szCs w:val="20"/>
        </w:rPr>
      </w:pPr>
      <w:r>
        <w:rPr>
          <w:rFonts w:cs="Arial" w:ascii="Arial" w:hAnsi="Arial"/>
          <w:sz w:val="20"/>
          <w:szCs w:val="20"/>
        </w:rPr>
        <w:t>Pokiaľ sa pri inventarizácii zásob zistí, že ich predajná cena znížená o náklady spojené s predajom je nižšia, ako cena použitá na ich ocenenie v účtovníctve, ocenia sa v účtovníctve touto nižšou cenou.</w:t>
      </w:r>
    </w:p>
    <w:p>
      <w:pPr>
        <w:pStyle w:val="Normal"/>
        <w:numPr>
          <w:ilvl w:val="0"/>
          <w:numId w:val="1"/>
        </w:numPr>
        <w:ind w:left="426" w:right="0" w:hanging="360"/>
        <w:rPr>
          <w:rFonts w:cs="Arial" w:ascii="Arial" w:hAnsi="Arial"/>
          <w:sz w:val="20"/>
          <w:szCs w:val="20"/>
        </w:rPr>
      </w:pPr>
      <w:bookmarkStart w:id="0" w:name="_GoBack"/>
      <w:bookmarkEnd w:id="0"/>
      <w:r>
        <w:rPr>
          <w:rFonts w:cs="Arial" w:ascii="Arial" w:hAnsi="Arial"/>
          <w:sz w:val="20"/>
          <w:szCs w:val="20"/>
        </w:rPr>
        <w:t xml:space="preserve">Majetok a záväzky sú vykazované v historických cenách, ak nie je v článku E. uvedené inak. </w:t>
      </w:r>
    </w:p>
    <w:p>
      <w:pPr>
        <w:pStyle w:val="Normal"/>
        <w:numPr>
          <w:ilvl w:val="0"/>
          <w:numId w:val="1"/>
        </w:numPr>
        <w:tabs>
          <w:tab w:val="left" w:pos="426" w:leader="none"/>
        </w:tabs>
        <w:ind w:left="426" w:right="0" w:hanging="360"/>
        <w:rPr>
          <w:rFonts w:cs="Arial" w:ascii="Arial" w:hAnsi="Arial"/>
          <w:sz w:val="20"/>
          <w:szCs w:val="20"/>
        </w:rPr>
      </w:pPr>
      <w:r>
        <w:rPr>
          <w:rFonts w:cs="Arial" w:ascii="Arial" w:hAnsi="Arial"/>
          <w:sz w:val="20"/>
          <w:szCs w:val="20"/>
        </w:rPr>
        <w:t>Ku dňu účtovnej závierky spoločnosť vykonala inventarizáciu majetku a záväzkov v súlade so zákonom o účtovníctve.</w:t>
      </w:r>
    </w:p>
    <w:p>
      <w:pPr>
        <w:pStyle w:val="Normal"/>
        <w:numPr>
          <w:ilvl w:val="0"/>
          <w:numId w:val="1"/>
        </w:numPr>
        <w:tabs>
          <w:tab w:val="left" w:pos="426" w:leader="none"/>
        </w:tabs>
        <w:ind w:left="426" w:right="0" w:hanging="360"/>
        <w:rPr>
          <w:rFonts w:cs="Arial" w:ascii="Arial" w:hAnsi="Arial"/>
          <w:sz w:val="20"/>
          <w:szCs w:val="20"/>
        </w:rPr>
      </w:pPr>
      <w:r>
        <w:rPr>
          <w:rFonts w:cs="Arial" w:ascii="Arial" w:hAnsi="Arial"/>
          <w:sz w:val="20"/>
          <w:szCs w:val="20"/>
        </w:rPr>
        <w:t>Pri rozlišovaní majetku a záväzkov na krátkodobé a dlhodobé sa za základné kritérium berie doba splatnosti.</w:t>
      </w:r>
    </w:p>
    <w:p>
      <w:pPr>
        <w:pStyle w:val="Normal"/>
        <w:numPr>
          <w:ilvl w:val="0"/>
          <w:numId w:val="1"/>
        </w:numPr>
        <w:tabs>
          <w:tab w:val="left" w:pos="426" w:leader="none"/>
        </w:tabs>
        <w:ind w:left="426" w:right="0" w:hanging="360"/>
        <w:rPr>
          <w:rFonts w:eastAsia="MS Gothic" w:cs="Times New Roman" w:ascii="Times New Roman" w:hAnsi="Times New Roman"/>
          <w:b/>
          <w:sz w:val="24"/>
          <w:szCs w:val="24"/>
        </w:rPr>
      </w:pPr>
      <w:r>
        <w:rPr>
          <w:rFonts w:cs="Arial" w:ascii="Arial" w:hAnsi="Arial"/>
          <w:sz w:val="20"/>
          <w:szCs w:val="20"/>
        </w:rPr>
        <w:t>Zostatky účtov, ktoré obsahuje súvaha  k 31.12. kalendárneho roka sú počiatočnými stavmi k 1.1. pre nasledujúci kalendárny rok - účtovné obdobie. Účtovným obdobím je kalendárny rok.</w:t>
      </w:r>
      <w:r>
        <w:rPr>
          <w:rFonts w:cs="Arial" w:ascii="Arial" w:hAnsi="Arial"/>
          <w:b/>
          <w:bCs/>
          <w:sz w:val="20"/>
          <w:szCs w:val="20"/>
        </w:rPr>
        <w:t xml:space="preserve">  </w:t>
      </w:r>
      <w:r>
        <w:rPr>
          <w:rFonts w:eastAsia="MS Gothic" w:cs="Times New Roman" w:ascii="Times New Roman" w:hAnsi="Times New Roman"/>
          <w:b/>
          <w:sz w:val="24"/>
          <w:szCs w:val="24"/>
        </w:rPr>
        <w:t xml:space="preserve">          </w:t>
      </w:r>
    </w:p>
    <w:p>
      <w:pPr>
        <w:pStyle w:val="Normal"/>
        <w:spacing w:lineRule="auto" w:line="240"/>
        <w:ind w:left="142" w:right="0" w:hanging="0"/>
        <w:jc w:val="both"/>
        <w:rPr>
          <w:rFonts w:eastAsia="MS Gothic" w:cs="Times New Roman" w:ascii="Times New Roman" w:hAnsi="Times New Roman"/>
          <w:b/>
        </w:rPr>
      </w:pPr>
      <w:r>
        <w:rPr>
          <w:rFonts w:eastAsia="MS Gothic" w:cs="Times New Roman" w:ascii="Times New Roman" w:hAnsi="Times New Roman"/>
          <w:b/>
        </w:rPr>
      </w:r>
    </w:p>
    <w:p>
      <w:pPr>
        <w:pStyle w:val="Normal"/>
        <w:spacing w:lineRule="auto" w:line="240"/>
        <w:ind w:left="142" w:right="0" w:hanging="0"/>
        <w:jc w:val="both"/>
        <w:rPr>
          <w:rFonts w:eastAsia="MS Gothic" w:cs="Arial" w:ascii="Arial" w:hAnsi="Arial"/>
          <w:b/>
        </w:rPr>
      </w:pPr>
      <w:r>
        <w:rPr>
          <w:rFonts w:eastAsia="MS Gothic" w:cs="Arial" w:ascii="Arial" w:hAnsi="Arial"/>
          <w:b/>
        </w:rPr>
        <w:t>III. 4 a)   Spôsob oceňovania jednotlivých zložiek majetku a záväzkov:</w:t>
      </w:r>
    </w:p>
    <w:p>
      <w:pPr>
        <w:pStyle w:val="Normal"/>
        <w:spacing w:lineRule="auto" w:line="240"/>
        <w:ind w:left="142" w:right="0" w:hanging="0"/>
        <w:jc w:val="both"/>
        <w:rPr/>
      </w:pPr>
      <w:r>
        <w:rPr/>
      </w:r>
    </w:p>
    <w:p>
      <w:pPr>
        <w:pStyle w:val="Normal"/>
        <w:spacing w:lineRule="auto" w:line="240"/>
        <w:ind w:left="142" w:right="0" w:hanging="0"/>
        <w:jc w:val="both"/>
        <w:rPr>
          <w:rFonts w:cs="Arial" w:ascii="Arial" w:hAnsi="Arial"/>
          <w:b/>
          <w:bCs/>
          <w:color w:val="000000"/>
          <w:sz w:val="20"/>
          <w:szCs w:val="20"/>
        </w:rPr>
      </w:pPr>
      <w:r>
        <w:rPr>
          <w:rFonts w:cs="Arial" w:ascii="Arial" w:hAnsi="Arial"/>
          <w:b/>
          <w:bCs/>
          <w:color w:val="000000"/>
          <w:sz w:val="20"/>
          <w:szCs w:val="20"/>
        </w:rPr>
        <w:t xml:space="preserve">Dlhodobý hmotný majetok obstaraný kúpou: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Dlhodobý majetok obstaraný kúpou sa oceňuje obstarávacou cenou, ktorá zahrňuje cenu obstarania a náklady súvisiace s obstaraním. Súčasťou obstarávacej ceny nie sú úroky z cudzích zdrojov, nakoľko obstarávanie je financované z vlastných zdrojov.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Do dlhodobého majetku patrí majetok, ku ktorému má účtovná jednotka vlastnícke právo.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Dlhodobý hmotný majetok, ktorého obstarávacia cena je 1700 € a nižšia sa účtuje priamo do spotreby.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Technické zhodnotenie dlhodobého majetku nie je technickým zhodnotením, ak neprevyšuje úhrnne sumu na príslušnom majetku 1 700 € za účtovné obdobie.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Dlhodobý hmotný majetok sa začína odpisovať v mesiaci jeho zaradenia do používania. </w:t>
      </w:r>
    </w:p>
    <w:p>
      <w:pPr>
        <w:pStyle w:val="Normal"/>
        <w:ind w:left="142" w:right="0" w:hanging="0"/>
        <w:rPr>
          <w:rFonts w:cs="Arial" w:ascii="Arial" w:hAnsi="Arial"/>
          <w:b/>
          <w:bCs/>
          <w:color w:val="000000"/>
          <w:sz w:val="20"/>
          <w:szCs w:val="20"/>
        </w:rPr>
      </w:pPr>
      <w:r>
        <w:rPr>
          <w:rFonts w:cs="Arial" w:ascii="Arial" w:hAnsi="Arial"/>
          <w:b/>
          <w:bCs/>
          <w:color w:val="000000"/>
          <w:sz w:val="20"/>
          <w:szCs w:val="20"/>
        </w:rPr>
        <w:t xml:space="preserve">Zásoby obstarané kúpou: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Nakupované zásoby sa oceňujú obstarávacou cenou, ktorá zahŕňa cenu obstarania a náklady súvisiace s obstaraním – vlastné obstarávacie náklady-aktivácia – vnútropodniková preprava tovaru. Nakupované zásoby sú pri úbytku - vyskladnení oceňované zloženým váženým aritmetickým priemerom z obstarávacích cien, ktorý je prepočítaný vždy pri novom prírastku príslušného druhu zásob. Vlastné obstarávacie náklady súvisiace s obstaraním tovaru sú rozpúšťané na konci mesiaca podľa vzorca na predaný objem tovaru – vnútropodniková preprava tovaru . </w:t>
      </w:r>
    </w:p>
    <w:p>
      <w:pPr>
        <w:pStyle w:val="Normal"/>
        <w:ind w:left="142" w:right="0" w:hanging="0"/>
        <w:rPr>
          <w:rFonts w:cs="Arial" w:ascii="Arial" w:hAnsi="Arial"/>
          <w:color w:val="000000"/>
          <w:sz w:val="20"/>
          <w:szCs w:val="20"/>
        </w:rPr>
      </w:pPr>
      <w:r>
        <w:rPr>
          <w:rFonts w:cs="Arial" w:ascii="Arial" w:hAnsi="Arial"/>
          <w:color w:val="000000"/>
          <w:sz w:val="20"/>
          <w:szCs w:val="20"/>
        </w:rPr>
        <w:t>Súčasťou ocenenia zásob sú aj poskytnuté zľavy dodávateľom, ktoré znižujú obstarávacie náklady tovaru.  Spoločnosť účtuje o obstaraní a úbytku zásob spôsobom A. Vnútorným predpisom nie sú stanovené normy prirodzených úbytkov zásob. Sledovanie pohybu zásob je rozčlenené do troch skupín alkohol, tabakový a cigaretový tovar, ostatný tovar, ktoré sa podľa uvedených skupín sledujú aj v nákladoch a tržbách. Okrem toho v zmysle zákona o spotrebnej dani z liehu sa na účtoch nákladov a výnosov za predaj tovaru sleduje predaj podľa distribútora, predajcu a konečného spotrebiteľa.</w:t>
      </w:r>
    </w:p>
    <w:p>
      <w:pPr>
        <w:pStyle w:val="Normal"/>
        <w:ind w:left="142" w:right="0" w:hanging="0"/>
        <w:rPr/>
      </w:pPr>
      <w:r>
        <w:rPr/>
      </w:r>
    </w:p>
    <w:p>
      <w:pPr>
        <w:pStyle w:val="Normal"/>
        <w:ind w:left="142" w:right="0" w:hanging="0"/>
        <w:rPr>
          <w:rFonts w:cs="Arial" w:ascii="Arial" w:hAnsi="Arial"/>
          <w:b/>
          <w:bCs/>
          <w:color w:val="000000"/>
          <w:sz w:val="20"/>
          <w:szCs w:val="20"/>
        </w:rPr>
      </w:pPr>
      <w:r>
        <w:rPr>
          <w:rFonts w:cs="Arial" w:ascii="Arial" w:hAnsi="Arial"/>
          <w:b/>
          <w:bCs/>
          <w:color w:val="000000"/>
          <w:sz w:val="20"/>
          <w:szCs w:val="20"/>
        </w:rPr>
        <w:t xml:space="preserve">Pohľadávky: </w:t>
      </w:r>
    </w:p>
    <w:p>
      <w:pPr>
        <w:pStyle w:val="Normal"/>
        <w:ind w:left="142" w:right="0" w:hanging="0"/>
        <w:rPr>
          <w:rFonts w:cs="Arial" w:ascii="Arial" w:hAnsi="Arial"/>
          <w:color w:val="000000"/>
          <w:sz w:val="20"/>
          <w:szCs w:val="20"/>
        </w:rPr>
      </w:pPr>
      <w:r>
        <w:rPr>
          <w:rFonts w:cs="Arial" w:ascii="Arial" w:hAnsi="Arial"/>
          <w:color w:val="000000"/>
          <w:sz w:val="20"/>
          <w:szCs w:val="20"/>
        </w:rPr>
        <w:t>Pohľadávky sa pri ich vzniku oceňujú ich menovitou hodnotou. Toto ocenenie sa znižuje o pochybné a nevymožiteľné pohľadávky prostredníctvom opravných položiek k pohľadávkam. Pri odplatnom nadobudnutí sa oceňujú obstarávacou cenou.</w:t>
      </w:r>
    </w:p>
    <w:p>
      <w:pPr>
        <w:pStyle w:val="Normal"/>
        <w:ind w:left="142" w:right="0" w:hanging="0"/>
        <w:rPr>
          <w:rFonts w:cs="Arial" w:ascii="Arial" w:hAnsi="Arial"/>
          <w:color w:val="000000"/>
          <w:sz w:val="20"/>
          <w:szCs w:val="20"/>
        </w:rPr>
      </w:pPr>
      <w:r>
        <w:rPr>
          <w:rFonts w:cs="Arial" w:ascii="Arial" w:hAnsi="Arial"/>
          <w:b/>
          <w:bCs/>
          <w:color w:val="000000"/>
          <w:sz w:val="20"/>
          <w:szCs w:val="20"/>
        </w:rPr>
        <w:t>Časové rozlíšenie na strane aktív súvahy</w:t>
      </w:r>
      <w:r>
        <w:rPr>
          <w:rFonts w:cs="Arial" w:ascii="Arial" w:hAnsi="Arial"/>
          <w:color w:val="000000"/>
          <w:sz w:val="20"/>
          <w:szCs w:val="20"/>
        </w:rPr>
        <w:t xml:space="preserve">: </w:t>
      </w:r>
    </w:p>
    <w:p>
      <w:pPr>
        <w:pStyle w:val="Normal"/>
        <w:ind w:left="142" w:right="0" w:hanging="0"/>
        <w:rPr>
          <w:rFonts w:cs="Arial" w:ascii="Arial" w:hAnsi="Arial"/>
          <w:color w:val="000000"/>
          <w:sz w:val="20"/>
          <w:szCs w:val="20"/>
        </w:rPr>
      </w:pPr>
      <w:r>
        <w:rPr>
          <w:rFonts w:cs="Arial" w:ascii="Arial" w:hAnsi="Arial"/>
          <w:color w:val="000000"/>
          <w:sz w:val="20"/>
          <w:szCs w:val="20"/>
        </w:rPr>
        <w:t>Vykazujú sa vo výške, ktorá zodpovedá zásadám vecnej a časovej súvislosti s účtovným obdobím, okrem nevýznamných nákladov ako sú telefónne poplatky a výnosov, ako sú úroky z krátkodobého termínovaného účtu, ktoré sa týkajú posledného a prvého mesiaca účtovného obdobia a pravidelne sa opakujú, spoločnosť časovo nerozlišuje. Taktiež časovo nerozlišuje povinné zmluvné poistenie pre prípad škody spôsobenej prevádzkou motorových vozidiel, nakoľko toto sa podľa zmluvy pravidelne opakuje od 31.12 bežného do 30.12. nasledujúceho a ide o malú nevýznamnú položku za jeden deň poistenia.</w:t>
      </w:r>
    </w:p>
    <w:p>
      <w:pPr>
        <w:pStyle w:val="Normal"/>
        <w:ind w:left="142" w:right="0" w:hanging="0"/>
        <w:rPr/>
      </w:pPr>
      <w:r>
        <w:rPr/>
      </w:r>
    </w:p>
    <w:p>
      <w:pPr>
        <w:pStyle w:val="Normal"/>
        <w:ind w:left="142" w:right="0" w:hanging="0"/>
        <w:rPr/>
      </w:pPr>
      <w:r>
        <w:rPr/>
      </w:r>
    </w:p>
    <w:p>
      <w:pPr>
        <w:pStyle w:val="Normal"/>
        <w:ind w:left="142" w:right="0" w:hanging="0"/>
        <w:rPr>
          <w:rFonts w:cs="Arial" w:ascii="Arial" w:hAnsi="Arial"/>
          <w:b/>
          <w:bCs/>
          <w:color w:val="000000"/>
          <w:sz w:val="20"/>
          <w:szCs w:val="20"/>
        </w:rPr>
      </w:pPr>
      <w:r>
        <w:rPr>
          <w:rFonts w:cs="Arial" w:ascii="Arial" w:hAnsi="Arial"/>
          <w:b/>
          <w:bCs/>
          <w:color w:val="000000"/>
          <w:sz w:val="20"/>
          <w:szCs w:val="20"/>
        </w:rPr>
        <w:t xml:space="preserve">Záväzky, vrátane rezerv </w:t>
      </w:r>
    </w:p>
    <w:p>
      <w:pPr>
        <w:pStyle w:val="Normal"/>
        <w:ind w:left="142" w:right="0" w:hanging="0"/>
        <w:rPr>
          <w:rFonts w:cs="Arial" w:ascii="Arial" w:hAnsi="Arial"/>
          <w:b/>
          <w:color w:val="000000"/>
          <w:sz w:val="20"/>
          <w:szCs w:val="20"/>
        </w:rPr>
      </w:pPr>
      <w:r>
        <w:rPr>
          <w:rFonts w:cs="Arial" w:ascii="Arial" w:hAnsi="Arial"/>
          <w:b/>
          <w:color w:val="000000"/>
          <w:sz w:val="20"/>
          <w:szCs w:val="20"/>
        </w:rPr>
        <w:t xml:space="preserve">Záväzky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Záväzky, vrátane úverov sa pri ich vzniku oceňujú ich menovitou hodnotou. Ak sa pri inventarizácii zistí, že suma záväzkov je iná ako ich výška v účtovníctve, uvedú sa záväzky v účtovníctve a v účtovnej závierke v tomto zistenom ocenení. </w:t>
      </w:r>
    </w:p>
    <w:p>
      <w:pPr>
        <w:pStyle w:val="Normal"/>
        <w:ind w:left="142" w:right="0" w:hanging="0"/>
        <w:rPr>
          <w:rFonts w:cs="Arial" w:ascii="Arial" w:hAnsi="Arial"/>
          <w:b/>
          <w:color w:val="000000"/>
          <w:sz w:val="20"/>
          <w:szCs w:val="20"/>
        </w:rPr>
      </w:pPr>
      <w:r>
        <w:rPr>
          <w:rFonts w:cs="Arial" w:ascii="Arial" w:hAnsi="Arial"/>
          <w:b/>
          <w:color w:val="000000"/>
          <w:sz w:val="20"/>
          <w:szCs w:val="20"/>
        </w:rPr>
        <w:t xml:space="preserve">Rezervy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Spoločnosť tvorí rezervy na predpokladané riziká, straty a zníženia hodnoty súvisiace so záväzkami s neurčitým časovým vymedzením alebo výškou. Oceňujú sa v očakávanej výške záväzku. </w:t>
      </w:r>
    </w:p>
    <w:p>
      <w:pPr>
        <w:pStyle w:val="Normal"/>
        <w:ind w:left="142" w:right="0" w:hanging="0"/>
        <w:rPr>
          <w:rFonts w:cs="Arial" w:ascii="Arial" w:hAnsi="Arial"/>
          <w:b/>
          <w:bCs/>
          <w:color w:val="000000"/>
          <w:sz w:val="20"/>
          <w:szCs w:val="20"/>
        </w:rPr>
      </w:pPr>
      <w:r>
        <w:rPr>
          <w:rFonts w:cs="Arial" w:ascii="Arial" w:hAnsi="Arial"/>
          <w:b/>
          <w:bCs/>
          <w:color w:val="000000"/>
          <w:sz w:val="20"/>
          <w:szCs w:val="20"/>
        </w:rPr>
        <w:t xml:space="preserve">Časové rozlíšenie sa strane pasív: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Vykazujú sa vo výške, ktorá zodpovedá zásadám vecnej a časovej súvislosti s účtovným obdobím. </w:t>
      </w:r>
    </w:p>
    <w:p>
      <w:pPr>
        <w:pStyle w:val="Normal"/>
        <w:ind w:left="142" w:right="0" w:hanging="0"/>
        <w:rPr>
          <w:rFonts w:cs="Arial" w:ascii="Arial" w:hAnsi="Arial"/>
          <w:color w:val="000000"/>
          <w:sz w:val="20"/>
          <w:szCs w:val="20"/>
        </w:rPr>
      </w:pPr>
      <w:r>
        <w:rPr>
          <w:rFonts w:cs="Arial" w:ascii="Arial" w:hAnsi="Arial"/>
          <w:b/>
          <w:bCs/>
          <w:color w:val="000000"/>
          <w:sz w:val="20"/>
          <w:szCs w:val="20"/>
        </w:rPr>
        <w:t>Daň z príjmov</w:t>
      </w:r>
      <w:r>
        <w:rPr>
          <w:rFonts w:cs="Arial" w:ascii="Arial" w:hAnsi="Arial"/>
          <w:color w:val="000000"/>
          <w:sz w:val="20"/>
          <w:szCs w:val="20"/>
        </w:rPr>
        <w:t xml:space="preserve"> splatná za bežné obdobie a za zdaňovacie obdobie (splatná) a daň z príjmov odloženú do budúcich účtovných období a zdaňovacích období (odložená daň z príjmov) : </w:t>
      </w:r>
    </w:p>
    <w:p>
      <w:pPr>
        <w:pStyle w:val="Normal"/>
        <w:ind w:left="142" w:right="0" w:hanging="0"/>
        <w:rPr>
          <w:rFonts w:cs="Arial" w:ascii="Arial" w:hAnsi="Arial"/>
          <w:color w:val="000000"/>
          <w:sz w:val="20"/>
          <w:szCs w:val="20"/>
        </w:rPr>
      </w:pPr>
      <w:r>
        <w:rPr>
          <w:rFonts w:cs="Arial" w:ascii="Arial" w:hAnsi="Arial"/>
          <w:b/>
          <w:color w:val="000000"/>
          <w:sz w:val="20"/>
          <w:szCs w:val="20"/>
        </w:rPr>
        <w:t xml:space="preserve">Splatná daň z príjmov – </w:t>
      </w:r>
      <w:r>
        <w:rPr>
          <w:rFonts w:cs="Arial" w:ascii="Arial" w:hAnsi="Arial"/>
          <w:color w:val="000000"/>
          <w:sz w:val="20"/>
          <w:szCs w:val="20"/>
        </w:rPr>
        <w:t xml:space="preserve">vypočíta sa zo základu dane z príjmov po transformácii účtovného výsledku hospodárenia na daňový základ a sadzby ustanovenej v zákone o daniach z príjmov. </w:t>
      </w:r>
    </w:p>
    <w:p>
      <w:pPr>
        <w:pStyle w:val="Normal"/>
        <w:ind w:left="142" w:right="0" w:hanging="0"/>
        <w:rPr>
          <w:rFonts w:cs="Arial" w:ascii="Arial" w:hAnsi="Arial"/>
          <w:b/>
          <w:color w:val="000000"/>
          <w:sz w:val="20"/>
          <w:szCs w:val="20"/>
        </w:rPr>
      </w:pPr>
      <w:r>
        <w:rPr>
          <w:rFonts w:cs="Arial" w:ascii="Arial" w:hAnsi="Arial"/>
          <w:b/>
          <w:color w:val="000000"/>
          <w:sz w:val="20"/>
          <w:szCs w:val="20"/>
        </w:rPr>
        <w:t xml:space="preserve">Odložená daň z príjmov </w:t>
      </w:r>
    </w:p>
    <w:p>
      <w:pPr>
        <w:pStyle w:val="Normal"/>
        <w:ind w:left="142" w:right="0" w:hanging="0"/>
        <w:rPr>
          <w:rFonts w:cs="Arial" w:ascii="Arial" w:hAnsi="Arial"/>
          <w:color w:val="000000"/>
          <w:sz w:val="20"/>
          <w:szCs w:val="20"/>
        </w:rPr>
      </w:pPr>
      <w:r>
        <w:rPr>
          <w:rFonts w:cs="Arial" w:ascii="Arial" w:hAnsi="Arial"/>
          <w:color w:val="000000"/>
          <w:sz w:val="20"/>
          <w:szCs w:val="20"/>
        </w:rPr>
        <w:t xml:space="preserve">Odložené dane - odložená daňová pohľadávka a odložený daňový záväzok sa vzťahujú na dočasné rozdiely medzi účtovnou hodnotou majetku a účtovnou hodnotou záväzkov vykázanou v súvahe a ich daňovou základňou. V súvahe sa vykazuje iba výsledný zostatok účtu 481, tzn. že sa samostatne nevykazuje daňová pohľadávka a daňový záväzok. Prepočítava sa sadzbou dane z príjmov platnou pre ďalšie zdaňovacie obdobie. O odloženej daňovej  pohľadávke spoločnosť účtuje s ohľadom na dosiahnutie dostatočného základu dane v budúcich účtovných obdobiach, ktorý by umožnil vyrovnanie odloženej daňovej pohľadávky, prípadne sa zníži hodnota zaúčtovanej odloženej daňovej pohľadávky.   </w:t>
      </w:r>
    </w:p>
    <w:p>
      <w:pPr>
        <w:pStyle w:val="Normal"/>
        <w:ind w:left="142" w:right="0" w:hanging="0"/>
        <w:rPr>
          <w:rFonts w:cs="Arial" w:ascii="Arial" w:hAnsi="Arial"/>
          <w:sz w:val="20"/>
          <w:szCs w:val="20"/>
        </w:rPr>
      </w:pPr>
      <w:r>
        <w:rPr>
          <w:rFonts w:cs="Arial" w:ascii="Arial" w:hAnsi="Arial"/>
          <w:sz w:val="20"/>
          <w:szCs w:val="20"/>
        </w:rPr>
        <w:t>Spoločnosť peňažné prostriedky a ceniny oceňuje ich menovitou hodnotou.</w:t>
      </w:r>
    </w:p>
    <w:p>
      <w:pPr>
        <w:pStyle w:val="Normal"/>
        <w:ind w:left="142" w:right="0" w:hanging="0"/>
        <w:rPr>
          <w:rFonts w:cs="Arial" w:ascii="Arial" w:hAnsi="Arial"/>
          <w:sz w:val="20"/>
          <w:szCs w:val="20"/>
        </w:rPr>
      </w:pPr>
      <w:r>
        <w:rPr>
          <w:rFonts w:cs="Arial" w:ascii="Arial" w:hAnsi="Arial"/>
          <w:sz w:val="20"/>
          <w:szCs w:val="20"/>
        </w:rPr>
        <w:t>V priebehu roka 2017 spoločnosť neprijala žiadny darovaný majetok a pri inventarizácii majetku nebol novo zistený majetok.</w:t>
      </w:r>
    </w:p>
    <w:p>
      <w:pPr>
        <w:pStyle w:val="Normal"/>
        <w:ind w:left="142" w:right="0" w:hanging="0"/>
        <w:rPr>
          <w:rFonts w:cs="Arial" w:ascii="Arial" w:hAnsi="Arial"/>
          <w:sz w:val="20"/>
          <w:szCs w:val="20"/>
        </w:rPr>
      </w:pPr>
      <w:r>
        <w:rPr>
          <w:rFonts w:cs="Arial" w:ascii="Arial" w:hAnsi="Arial"/>
          <w:sz w:val="20"/>
          <w:szCs w:val="20"/>
        </w:rPr>
        <w:t>Spoločnosť v roku 2017 nevlastnila a ani nenadobudla cenné papiere.</w:t>
      </w:r>
    </w:p>
    <w:p>
      <w:pPr>
        <w:pStyle w:val="Normal"/>
        <w:spacing w:lineRule="auto" w:line="240"/>
        <w:ind w:left="142" w:right="0" w:hanging="0"/>
        <w:jc w:val="both"/>
        <w:rPr/>
      </w:pPr>
      <w:r>
        <w:rPr/>
      </w:r>
    </w:p>
    <w:p>
      <w:pPr>
        <w:pStyle w:val="Normal"/>
        <w:spacing w:lineRule="auto" w:line="240"/>
        <w:jc w:val="both"/>
        <w:rPr/>
      </w:pPr>
      <w:r>
        <w:rPr/>
      </w:r>
    </w:p>
    <w:p>
      <w:pPr>
        <w:pStyle w:val="Normal"/>
        <w:spacing w:lineRule="auto" w:line="240"/>
        <w:ind w:left="142" w:right="0" w:hanging="0"/>
        <w:jc w:val="both"/>
        <w:rPr>
          <w:rFonts w:eastAsia="MS Gothic" w:cs="Arial" w:ascii="Arial" w:hAnsi="Arial"/>
          <w:b/>
        </w:rPr>
      </w:pPr>
      <w:r>
        <w:rPr>
          <w:rFonts w:eastAsia="MS Gothic" w:cs="Arial" w:ascii="Arial" w:hAnsi="Arial"/>
          <w:b/>
        </w:rPr>
        <w:t>III. 4 b)   Odhad zníženia hodnoty majetku a tvorba OP k majetku</w:t>
      </w:r>
    </w:p>
    <w:p>
      <w:pPr>
        <w:pStyle w:val="Normal"/>
        <w:spacing w:lineRule="auto" w:line="240"/>
        <w:jc w:val="both"/>
        <w:rPr/>
      </w:pPr>
      <w:r>
        <w:rPr/>
      </w:r>
    </w:p>
    <w:p>
      <w:pPr>
        <w:pStyle w:val="Normal"/>
        <w:spacing w:lineRule="auto" w:line="240"/>
        <w:ind w:left="142" w:right="0" w:hanging="0"/>
        <w:jc w:val="both"/>
        <w:rPr>
          <w:rFonts w:eastAsia="MS Gothic" w:cs="Arial" w:ascii="Arial" w:hAnsi="Arial"/>
          <w:sz w:val="20"/>
          <w:szCs w:val="20"/>
        </w:rPr>
      </w:pPr>
      <w:r>
        <w:rPr>
          <w:rFonts w:eastAsia="MS Gothic" w:cs="Arial" w:ascii="Arial" w:hAnsi="Arial"/>
          <w:sz w:val="20"/>
          <w:szCs w:val="20"/>
        </w:rPr>
        <w:t>V roku 2017 neboli vytvorené opravné položky k pohľadávkam. K  iným druhom majetku neboli tvorené opravné položky. Bola zrušená opravná položka ILS Reality vo výške 1927,75 € po neúspešnom vymáhaní pre nemajetnosť.</w:t>
      </w:r>
    </w:p>
    <w:p>
      <w:pPr>
        <w:pStyle w:val="Normal"/>
        <w:spacing w:lineRule="auto" w:line="240"/>
        <w:ind w:left="142" w:right="0" w:hanging="0"/>
        <w:jc w:val="both"/>
        <w:rPr/>
      </w:pPr>
      <w:r>
        <w:rPr/>
      </w:r>
    </w:p>
    <w:p>
      <w:pPr>
        <w:pStyle w:val="Normal"/>
        <w:spacing w:lineRule="auto" w:line="240"/>
        <w:ind w:left="142" w:right="0" w:hanging="0"/>
        <w:jc w:val="both"/>
        <w:rPr/>
      </w:pPr>
      <w:r>
        <w:rPr/>
      </w:r>
    </w:p>
    <w:p>
      <w:pPr>
        <w:pStyle w:val="Normal"/>
        <w:spacing w:lineRule="auto" w:line="240"/>
        <w:ind w:left="142" w:right="0" w:hanging="0"/>
        <w:jc w:val="both"/>
        <w:rPr/>
      </w:pPr>
      <w:r>
        <w:rPr/>
      </w:r>
    </w:p>
    <w:p>
      <w:pPr>
        <w:pStyle w:val="Normal"/>
        <w:spacing w:lineRule="auto" w:line="240"/>
        <w:ind w:left="142" w:right="0" w:hanging="0"/>
        <w:jc w:val="both"/>
        <w:rPr>
          <w:rFonts w:eastAsia="MS Gothic" w:cs="Times New Roman" w:ascii="Times New Roman" w:hAnsi="Times New Roman"/>
          <w:b w:val="false"/>
          <w:bCs w:val="false"/>
          <w:sz w:val="24"/>
          <w:szCs w:val="24"/>
        </w:rPr>
      </w:pPr>
      <w:r>
        <w:rPr>
          <w:rFonts w:eastAsia="MS Gothic" w:cs="Times New Roman" w:ascii="Times New Roman" w:hAnsi="Times New Roman"/>
          <w:b w:val="false"/>
          <w:bCs w:val="false"/>
          <w:sz w:val="24"/>
          <w:szCs w:val="24"/>
        </w:rPr>
        <w:t xml:space="preserve"> </w:t>
      </w:r>
    </w:p>
    <w:p>
      <w:pPr>
        <w:pStyle w:val="Normal"/>
        <w:spacing w:lineRule="auto" w:line="240"/>
        <w:ind w:left="0" w:right="0" w:hanging="0"/>
        <w:jc w:val="both"/>
        <w:rPr>
          <w:rFonts w:eastAsia="MS Gothic" w:cs="Arial" w:ascii="Arial" w:hAnsi="Arial"/>
          <w:b/>
          <w:bCs/>
          <w:sz w:val="20"/>
          <w:szCs w:val="20"/>
        </w:rPr>
      </w:pPr>
      <w:r>
        <w:rPr>
          <w:rFonts w:eastAsia="MS Gothic" w:cs="Arial" w:ascii="Arial" w:hAnsi="Arial"/>
          <w:b/>
          <w:bCs/>
          <w:sz w:val="20"/>
          <w:szCs w:val="20"/>
        </w:rPr>
        <w:t xml:space="preserve"> </w:t>
      </w:r>
    </w:p>
    <w:p>
      <w:pPr>
        <w:pStyle w:val="Normal"/>
        <w:spacing w:lineRule="auto" w:line="240"/>
        <w:ind w:left="142" w:right="0" w:hanging="0"/>
        <w:jc w:val="both"/>
        <w:rPr/>
      </w:pPr>
      <w:r>
        <w:rPr/>
      </w:r>
    </w:p>
    <w:tbl>
      <w:tblPr>
        <w:jc w:val="left"/>
        <w:tblInd w:w="114" w:type="dxa"/>
        <w:tbl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blBorders>
        <w:tblCellMar>
          <w:top w:w="0" w:type="dxa"/>
          <w:left w:w="-21" w:type="dxa"/>
          <w:bottom w:w="0" w:type="dxa"/>
          <w:right w:w="70" w:type="dxa"/>
        </w:tblCellMar>
      </w:tblPr>
      <w:tblGrid>
        <w:gridCol w:w="2811"/>
        <w:gridCol w:w="2902"/>
        <w:gridCol w:w="3450"/>
      </w:tblGrid>
      <w:tr>
        <w:trPr>
          <w:trHeight w:val="735" w:hRule="atLeast"/>
          <w:cantSplit w:val="false"/>
        </w:trPr>
        <w:tc>
          <w:tcPr>
            <w:tcW w:w="2811" w:type="dxa"/>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Charakteristika majetku</w:t>
            </w:r>
          </w:p>
        </w:tc>
        <w:tc>
          <w:tcPr>
            <w:tcW w:w="2902"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Odhad zníženia hodnoty majetku</w:t>
            </w:r>
          </w:p>
        </w:tc>
        <w:tc>
          <w:tcPr>
            <w:tcW w:w="3450" w:type="dxa"/>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Vytvorená OP</w:t>
            </w:r>
          </w:p>
        </w:tc>
      </w:tr>
      <w:tr>
        <w:trPr>
          <w:trHeight w:val="390" w:hRule="atLeast"/>
          <w:cantSplit w:val="false"/>
        </w:trPr>
        <w:tc>
          <w:tcPr>
            <w:tcW w:w="2811" w:type="dxa"/>
            <w:tcBorders>
              <w:top w:val="single" w:sz="18" w:space="0" w:color="00000A"/>
              <w:left w:val="single" w:sz="18" w:space="0" w:color="00000A"/>
              <w:bottom w:val="single" w:sz="4" w:space="0" w:color="00000A"/>
              <w:insideH w:val="single" w:sz="4" w:space="0" w:color="00000A"/>
              <w:right w:val="single" w:sz="12" w:space="0" w:color="00000A"/>
              <w:insideV w:val="single" w:sz="12" w:space="0" w:color="00000A"/>
            </w:tcBorders>
            <w:shd w:fill="FFFFFF" w:val="clear"/>
            <w:tcMar>
              <w:left w:w="-21" w:type="dxa"/>
            </w:tcMar>
            <w:vAlign w:val="bottom"/>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 </w:t>
            </w:r>
            <w:r>
              <w:rPr>
                <w:rFonts w:eastAsia="Times New Roman" w:cs="Times New Roman" w:ascii="Times New Roman" w:hAnsi="Times New Roman"/>
                <w:color w:val="000000"/>
                <w:lang w:eastAsia="sk-SK"/>
              </w:rPr>
              <w:t>Pohľadávky z obch.styku</w:t>
            </w:r>
          </w:p>
        </w:tc>
        <w:tc>
          <w:tcPr>
            <w:tcW w:w="2902" w:type="dxa"/>
            <w:tcBorders>
              <w:top w:val="single" w:sz="18" w:space="0" w:color="00000A"/>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4" w:type="dxa"/>
            </w:tcMar>
            <w:vAlign w:val="bottom"/>
          </w:tcPr>
          <w:p>
            <w:pPr>
              <w:pStyle w:val="Normal"/>
              <w:spacing w:lineRule="auto" w:line="240" w:before="0" w:after="0"/>
              <w:ind w:left="142" w:right="0" w:hanging="0"/>
              <w:jc w:val="center"/>
              <w:rPr/>
            </w:pPr>
            <w:r>
              <w:rPr/>
            </w:r>
          </w:p>
        </w:tc>
        <w:tc>
          <w:tcPr>
            <w:tcW w:w="3450" w:type="dxa"/>
            <w:tcBorders>
              <w:top w:val="single" w:sz="18" w:space="0" w:color="00000A"/>
              <w:left w:val="single" w:sz="12" w:space="0" w:color="00000A"/>
              <w:bottom w:val="single" w:sz="4" w:space="0" w:color="00000A"/>
              <w:insideH w:val="single" w:sz="4" w:space="0" w:color="00000A"/>
              <w:right w:val="single" w:sz="18" w:space="0" w:color="00000A"/>
              <w:insideV w:val="single" w:sz="18" w:space="0" w:color="00000A"/>
            </w:tcBorders>
            <w:shd w:fill="FFFFFF" w:val="clear"/>
            <w:tcMar>
              <w:left w:w="-14" w:type="dxa"/>
            </w:tcMar>
            <w:vAlign w:val="bottom"/>
          </w:tcPr>
          <w:p>
            <w:pPr>
              <w:pStyle w:val="Normal"/>
              <w:spacing w:lineRule="auto" w:line="240" w:before="0" w:after="0"/>
              <w:ind w:left="142" w:right="0" w:hanging="0"/>
              <w:jc w:val="center"/>
              <w:rPr/>
            </w:pPr>
            <w:r>
              <w:rPr/>
            </w:r>
          </w:p>
        </w:tc>
      </w:tr>
    </w:tbl>
    <w:p>
      <w:pPr>
        <w:pStyle w:val="Normal"/>
        <w:spacing w:lineRule="auto" w:line="240"/>
        <w:ind w:left="142" w:right="0" w:hanging="0"/>
        <w:jc w:val="both"/>
        <w:rPr>
          <w:rFonts w:cs="Times New Roman" w:ascii="Times New Roman" w:hAnsi="Times New Roman"/>
          <w:sz w:val="24"/>
          <w:szCs w:val="24"/>
        </w:rPr>
      </w:pPr>
      <w:r>
        <w:rPr>
          <w:rFonts w:cs="Times New Roman" w:ascii="Times New Roman" w:hAnsi="Times New Roman"/>
          <w:sz w:val="24"/>
          <w:szCs w:val="24"/>
        </w:rPr>
      </w:r>
    </w:p>
    <w:p>
      <w:pPr>
        <w:pStyle w:val="Normal"/>
        <w:spacing w:lineRule="auto" w:line="240"/>
        <w:ind w:left="142" w:right="0" w:hanging="0"/>
        <w:jc w:val="both"/>
        <w:rPr>
          <w:rFonts w:cs="Times New Roman" w:ascii="Arial" w:hAnsi="Arial"/>
          <w:b w:val="false"/>
          <w:bCs w:val="false"/>
          <w:sz w:val="20"/>
          <w:szCs w:val="20"/>
        </w:rPr>
      </w:pPr>
      <w:r>
        <w:rPr>
          <w:rFonts w:cs="Times New Roman" w:ascii="Arial" w:hAnsi="Arial"/>
          <w:b w:val="false"/>
          <w:bCs w:val="false"/>
          <w:sz w:val="20"/>
          <w:szCs w:val="20"/>
        </w:rPr>
        <w:t xml:space="preserve"> </w:t>
      </w:r>
      <w:r>
        <w:rPr>
          <w:rFonts w:cs="Times New Roman" w:ascii="Arial" w:hAnsi="Arial"/>
          <w:b w:val="false"/>
          <w:bCs w:val="false"/>
          <w:sz w:val="20"/>
          <w:szCs w:val="20"/>
        </w:rPr>
        <w:t>Predpokladáme, že v nasledujúcom účtovnom období dôjde k odpisu nadobudnutých pohľadávok vo výške 70 585 €, (opravná položka 2 118 €).</w:t>
      </w:r>
    </w:p>
    <w:p>
      <w:pPr>
        <w:pStyle w:val="Normal"/>
        <w:spacing w:lineRule="auto" w:line="240"/>
        <w:ind w:left="142" w:right="0" w:hanging="0"/>
        <w:jc w:val="both"/>
        <w:rPr>
          <w:rFonts w:ascii="Arial" w:hAnsi="Arial"/>
          <w:b w:val="false"/>
          <w:bCs w:val="false"/>
          <w:sz w:val="20"/>
          <w:szCs w:val="20"/>
        </w:rPr>
      </w:pPr>
      <w:r>
        <w:rPr>
          <w:rFonts w:ascii="Arial" w:hAnsi="Arial"/>
          <w:b w:val="false"/>
          <w:bCs w:val="false"/>
          <w:sz w:val="20"/>
          <w:szCs w:val="20"/>
        </w:rPr>
      </w:r>
    </w:p>
    <w:p>
      <w:pPr>
        <w:pStyle w:val="Normal"/>
        <w:spacing w:lineRule="auto" w:line="240"/>
        <w:ind w:left="0" w:right="0" w:hanging="0"/>
        <w:jc w:val="both"/>
        <w:rPr>
          <w:rFonts w:eastAsia="MS Gothic" w:cs="Times New Roman" w:ascii="Times New Roman" w:hAnsi="Times New Roman"/>
          <w:b/>
        </w:rPr>
      </w:pPr>
      <w:r>
        <w:rPr>
          <w:rFonts w:eastAsia="MS Gothic" w:cs="Times New Roman" w:ascii="Times New Roman" w:hAnsi="Times New Roman"/>
          <w:b/>
        </w:rPr>
        <w:t xml:space="preserve"> </w:t>
      </w:r>
      <w:r>
        <w:rPr>
          <w:rFonts w:eastAsia="MS Gothic" w:cs="Times New Roman" w:ascii="Times New Roman" w:hAnsi="Times New Roman"/>
          <w:b/>
        </w:rPr>
        <w:t>III. 4 g)     Spôsob zostavenia odpisového plánu dlhodobého majetku</w:t>
      </w:r>
    </w:p>
    <w:p>
      <w:pPr>
        <w:pStyle w:val="Normal"/>
        <w:spacing w:lineRule="auto" w:line="240"/>
        <w:ind w:left="142" w:right="0" w:hanging="0"/>
        <w:jc w:val="both"/>
        <w:rPr>
          <w:rFonts w:cs="Times New Roman" w:ascii="Times New Roman" w:hAnsi="Times New Roman"/>
          <w:szCs w:val="24"/>
        </w:rPr>
      </w:pPr>
      <w:r>
        <w:rPr>
          <w:rFonts w:cs="Times New Roman" w:ascii="Times New Roman" w:hAnsi="Times New Roman"/>
          <w:szCs w:val="24"/>
        </w:rPr>
        <w:t xml:space="preserve">Spoločnosť má zostavený odpisový plán ako podklad pre vyčíslenie oprávok odpisovaného hmotného majetku v priebehu jeho používania na základe </w:t>
      </w:r>
      <w:r>
        <w:rPr>
          <w:rFonts w:eastAsia="MS Gothic" w:cs="Times New Roman" w:ascii="Times New Roman" w:hAnsi="Times New Roman"/>
          <w:szCs w:val="24"/>
        </w:rPr>
        <w:t xml:space="preserve"> predpokladaného opotrebenia zaraďovaného majetku zodpovedajúceho bežným podmienkam jeho používania :</w:t>
      </w:r>
      <w:r>
        <w:rPr>
          <w:rFonts w:cs="Times New Roman" w:ascii="Times New Roman" w:hAnsi="Times New Roman"/>
          <w:szCs w:val="24"/>
        </w:rPr>
        <w:t xml:space="preserve"> </w:t>
      </w:r>
    </w:p>
    <w:p>
      <w:pPr>
        <w:pStyle w:val="Normal"/>
        <w:spacing w:lineRule="auto" w:line="240"/>
        <w:ind w:left="142" w:right="0" w:hanging="0"/>
        <w:jc w:val="both"/>
        <w:rPr/>
      </w:pPr>
      <w:r>
        <w:rPr/>
      </w:r>
    </w:p>
    <w:tbl>
      <w:tblPr>
        <w:jc w:val="left"/>
        <w:tblInd w:w="-125" w:type="dxa"/>
        <w:tbl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blBorders>
        <w:tblCellMar>
          <w:top w:w="0" w:type="dxa"/>
          <w:left w:w="-15" w:type="dxa"/>
          <w:bottom w:w="0" w:type="dxa"/>
          <w:right w:w="108" w:type="dxa"/>
        </w:tblCellMar>
      </w:tblPr>
      <w:tblGrid>
        <w:gridCol w:w="2802"/>
        <w:gridCol w:w="2256"/>
        <w:gridCol w:w="1966"/>
        <w:gridCol w:w="2302"/>
      </w:tblGrid>
      <w:tr>
        <w:trPr>
          <w:cantSplit w:val="false"/>
        </w:trPr>
        <w:tc>
          <w:tcPr>
            <w:tcW w:w="2802" w:type="dxa"/>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15" w:type="dxa"/>
            </w:tcMar>
          </w:tcPr>
          <w:p>
            <w:pPr>
              <w:pStyle w:val="Normal"/>
              <w:spacing w:before="0" w:after="0"/>
              <w:ind w:left="142" w:right="0" w:hanging="0"/>
              <w:jc w:val="center"/>
              <w:rPr>
                <w:rFonts w:cs="Times New Roman" w:ascii="Times New Roman" w:hAnsi="Times New Roman"/>
                <w:b/>
                <w:szCs w:val="24"/>
              </w:rPr>
            </w:pPr>
            <w:r>
              <w:rPr>
                <w:rFonts w:cs="Times New Roman" w:ascii="Times New Roman" w:hAnsi="Times New Roman"/>
                <w:b/>
                <w:szCs w:val="24"/>
              </w:rPr>
              <w:t>Druh majetku</w:t>
            </w:r>
          </w:p>
        </w:tc>
        <w:tc>
          <w:tcPr>
            <w:tcW w:w="2256"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ascii="Times New Roman" w:hAnsi="Times New Roman"/>
                <w:b/>
                <w:szCs w:val="24"/>
              </w:rPr>
            </w:pPr>
            <w:r>
              <w:rPr>
                <w:rFonts w:cs="Times New Roman" w:ascii="Times New Roman" w:hAnsi="Times New Roman"/>
                <w:b/>
                <w:szCs w:val="24"/>
              </w:rPr>
              <w:t>Doba odpisovania</w:t>
            </w:r>
          </w:p>
        </w:tc>
        <w:tc>
          <w:tcPr>
            <w:tcW w:w="1966"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ascii="Times New Roman" w:hAnsi="Times New Roman"/>
                <w:b/>
                <w:szCs w:val="24"/>
              </w:rPr>
            </w:pPr>
            <w:r>
              <w:rPr>
                <w:rFonts w:cs="Times New Roman" w:ascii="Times New Roman" w:hAnsi="Times New Roman"/>
                <w:b/>
                <w:szCs w:val="24"/>
              </w:rPr>
              <w:t>Sadzba odpisov v %</w:t>
            </w:r>
          </w:p>
        </w:tc>
        <w:tc>
          <w:tcPr>
            <w:tcW w:w="2302" w:type="dxa"/>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8" w:type="dxa"/>
            </w:tcMar>
          </w:tcPr>
          <w:p>
            <w:pPr>
              <w:pStyle w:val="Normal"/>
              <w:spacing w:before="0" w:after="0"/>
              <w:ind w:left="142" w:right="0" w:hanging="0"/>
              <w:jc w:val="center"/>
              <w:rPr>
                <w:rFonts w:cs="Times New Roman" w:ascii="Times New Roman" w:hAnsi="Times New Roman"/>
                <w:b/>
                <w:szCs w:val="24"/>
              </w:rPr>
            </w:pPr>
            <w:r>
              <w:rPr>
                <w:rFonts w:cs="Times New Roman" w:ascii="Times New Roman" w:hAnsi="Times New Roman"/>
                <w:b/>
                <w:szCs w:val="24"/>
              </w:rPr>
              <w:t>Odpisová metóda</w:t>
            </w:r>
          </w:p>
        </w:tc>
      </w:tr>
      <w:tr>
        <w:trPr>
          <w:trHeight w:val="340" w:hRule="atLeast"/>
          <w:cantSplit w:val="false"/>
        </w:trPr>
        <w:tc>
          <w:tcPr>
            <w:tcW w:w="2802" w:type="dxa"/>
            <w:tcBorders>
              <w:top w:val="single" w:sz="18" w:space="0" w:color="00000A"/>
              <w:left w:val="single" w:sz="18" w:space="0" w:color="00000A"/>
              <w:bottom w:val="single" w:sz="6" w:space="0" w:color="00000A"/>
              <w:insideH w:val="single" w:sz="6" w:space="0" w:color="00000A"/>
              <w:right w:val="single" w:sz="12" w:space="0" w:color="00000A"/>
              <w:insideV w:val="single" w:sz="12" w:space="0" w:color="00000A"/>
            </w:tcBorders>
            <w:shd w:fill="FFFFFF" w:val="clear"/>
            <w:tcMar>
              <w:left w:w="-15" w:type="dxa"/>
            </w:tcMar>
          </w:tcPr>
          <w:p>
            <w:pPr>
              <w:pStyle w:val="Normal"/>
              <w:spacing w:before="0" w:after="0"/>
              <w:ind w:left="142" w:right="0" w:hanging="0"/>
              <w:jc w:val="both"/>
              <w:rPr>
                <w:rFonts w:cs="Times New Roman" w:ascii="Times New Roman" w:hAnsi="Times New Roman"/>
                <w:sz w:val="21"/>
                <w:szCs w:val="21"/>
              </w:rPr>
            </w:pPr>
            <w:r>
              <w:rPr>
                <w:rFonts w:cs="Times New Roman" w:ascii="Times New Roman" w:hAnsi="Times New Roman"/>
                <w:sz w:val="21"/>
                <w:szCs w:val="21"/>
              </w:rPr>
              <w:t>Stroje, prístroje a zariadenia</w:t>
            </w:r>
          </w:p>
        </w:tc>
        <w:tc>
          <w:tcPr>
            <w:tcW w:w="2256" w:type="dxa"/>
            <w:tcBorders>
              <w:top w:val="single" w:sz="18"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sz w:val="21"/>
                <w:szCs w:val="21"/>
              </w:rPr>
            </w:pPr>
            <w:r>
              <w:rPr>
                <w:rFonts w:cs="Times New Roman"/>
                <w:sz w:val="21"/>
                <w:szCs w:val="21"/>
              </w:rPr>
              <w:t>6</w:t>
            </w:r>
          </w:p>
        </w:tc>
        <w:tc>
          <w:tcPr>
            <w:tcW w:w="1966" w:type="dxa"/>
            <w:tcBorders>
              <w:top w:val="single" w:sz="18"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sz w:val="21"/>
                <w:szCs w:val="21"/>
              </w:rPr>
            </w:pPr>
            <w:r>
              <w:rPr>
                <w:rFonts w:cs="Times New Roman"/>
                <w:sz w:val="21"/>
                <w:szCs w:val="21"/>
              </w:rPr>
              <w:t>16,67</w:t>
            </w:r>
          </w:p>
        </w:tc>
        <w:tc>
          <w:tcPr>
            <w:tcW w:w="2302" w:type="dxa"/>
            <w:tcBorders>
              <w:top w:val="single" w:sz="18" w:space="0" w:color="00000A"/>
              <w:left w:val="single" w:sz="12" w:space="0" w:color="00000A"/>
              <w:bottom w:val="single" w:sz="6" w:space="0" w:color="00000A"/>
              <w:insideH w:val="single" w:sz="6" w:space="0" w:color="00000A"/>
              <w:right w:val="single" w:sz="18" w:space="0" w:color="00000A"/>
              <w:insideV w:val="single" w:sz="18" w:space="0" w:color="00000A"/>
            </w:tcBorders>
            <w:shd w:fill="FFFFFF" w:val="clear"/>
            <w:tcMar>
              <w:left w:w="-8" w:type="dxa"/>
            </w:tcMar>
          </w:tcPr>
          <w:p>
            <w:pPr>
              <w:pStyle w:val="Normal"/>
              <w:spacing w:before="0" w:after="0"/>
              <w:ind w:left="142" w:right="0" w:hanging="0"/>
              <w:jc w:val="center"/>
              <w:rPr>
                <w:rFonts w:cs="Times New Roman"/>
                <w:sz w:val="21"/>
                <w:szCs w:val="21"/>
              </w:rPr>
            </w:pPr>
            <w:r>
              <w:rPr>
                <w:rFonts w:cs="Times New Roman"/>
                <w:sz w:val="21"/>
                <w:szCs w:val="21"/>
              </w:rPr>
              <w:t>rovnomerná</w:t>
            </w:r>
          </w:p>
        </w:tc>
      </w:tr>
      <w:tr>
        <w:trPr>
          <w:trHeight w:val="340" w:hRule="atLeast"/>
          <w:cantSplit w:val="false"/>
        </w:trPr>
        <w:tc>
          <w:tcPr>
            <w:tcW w:w="2802" w:type="dxa"/>
            <w:tcBorders>
              <w:top w:val="single" w:sz="6" w:space="0" w:color="00000A"/>
              <w:left w:val="single" w:sz="18" w:space="0" w:color="00000A"/>
              <w:bottom w:val="single" w:sz="6" w:space="0" w:color="00000A"/>
              <w:insideH w:val="single" w:sz="6" w:space="0" w:color="00000A"/>
              <w:right w:val="single" w:sz="12" w:space="0" w:color="00000A"/>
              <w:insideV w:val="single" w:sz="12" w:space="0" w:color="00000A"/>
            </w:tcBorders>
            <w:shd w:fill="FFFFFF" w:val="clear"/>
            <w:tcMar>
              <w:left w:w="-15" w:type="dxa"/>
            </w:tcMar>
          </w:tcPr>
          <w:p>
            <w:pPr>
              <w:pStyle w:val="Normal"/>
              <w:spacing w:before="0" w:after="0"/>
              <w:ind w:left="142" w:right="0" w:hanging="0"/>
              <w:jc w:val="both"/>
              <w:rPr>
                <w:rFonts w:cs="Times New Roman" w:ascii="Times New Roman" w:hAnsi="Times New Roman"/>
              </w:rPr>
            </w:pPr>
            <w:r>
              <w:rPr>
                <w:rFonts w:cs="Times New Roman" w:ascii="Times New Roman" w:hAnsi="Times New Roman"/>
              </w:rPr>
              <w:t>Dopravné prostriedky</w:t>
            </w:r>
          </w:p>
        </w:tc>
        <w:tc>
          <w:tcPr>
            <w:tcW w:w="225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4</w:t>
            </w:r>
          </w:p>
        </w:tc>
        <w:tc>
          <w:tcPr>
            <w:tcW w:w="196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25</w:t>
            </w:r>
          </w:p>
        </w:tc>
        <w:tc>
          <w:tcPr>
            <w:tcW w:w="2302" w:type="dxa"/>
            <w:tcBorders>
              <w:top w:val="single" w:sz="6" w:space="0" w:color="00000A"/>
              <w:left w:val="single" w:sz="12" w:space="0" w:color="00000A"/>
              <w:bottom w:val="single" w:sz="6" w:space="0" w:color="00000A"/>
              <w:insideH w:val="single" w:sz="6" w:space="0" w:color="00000A"/>
              <w:right w:val="single" w:sz="18" w:space="0" w:color="00000A"/>
              <w:insideV w:val="single" w:sz="18"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rovnomerná</w:t>
            </w:r>
          </w:p>
        </w:tc>
      </w:tr>
      <w:tr>
        <w:trPr>
          <w:trHeight w:val="340" w:hRule="atLeast"/>
          <w:cantSplit w:val="false"/>
        </w:trPr>
        <w:tc>
          <w:tcPr>
            <w:tcW w:w="2802" w:type="dxa"/>
            <w:tcBorders>
              <w:top w:val="single" w:sz="6" w:space="0" w:color="00000A"/>
              <w:left w:val="single" w:sz="18" w:space="0" w:color="00000A"/>
              <w:bottom w:val="single" w:sz="6" w:space="0" w:color="00000A"/>
              <w:insideH w:val="single" w:sz="6" w:space="0" w:color="00000A"/>
              <w:right w:val="single" w:sz="12" w:space="0" w:color="00000A"/>
              <w:insideV w:val="single" w:sz="12" w:space="0" w:color="00000A"/>
            </w:tcBorders>
            <w:shd w:fill="FFFFFF" w:val="clear"/>
            <w:tcMar>
              <w:left w:w="-15" w:type="dxa"/>
            </w:tcMar>
          </w:tcPr>
          <w:p>
            <w:pPr>
              <w:pStyle w:val="Normal"/>
              <w:spacing w:before="0" w:after="0"/>
              <w:ind w:left="142" w:right="0" w:hanging="0"/>
              <w:jc w:val="both"/>
              <w:rPr>
                <w:rFonts w:cs="Times New Roman" w:ascii="Times New Roman" w:hAnsi="Times New Roman"/>
              </w:rPr>
            </w:pPr>
            <w:r>
              <w:rPr>
                <w:rFonts w:cs="Times New Roman" w:ascii="Times New Roman" w:hAnsi="Times New Roman"/>
              </w:rPr>
              <w:t>Počítače</w:t>
            </w:r>
          </w:p>
        </w:tc>
        <w:tc>
          <w:tcPr>
            <w:tcW w:w="225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4</w:t>
            </w:r>
          </w:p>
        </w:tc>
        <w:tc>
          <w:tcPr>
            <w:tcW w:w="196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25</w:t>
            </w:r>
          </w:p>
        </w:tc>
        <w:tc>
          <w:tcPr>
            <w:tcW w:w="2302" w:type="dxa"/>
            <w:tcBorders>
              <w:top w:val="single" w:sz="6" w:space="0" w:color="00000A"/>
              <w:left w:val="single" w:sz="12" w:space="0" w:color="00000A"/>
              <w:bottom w:val="single" w:sz="6" w:space="0" w:color="00000A"/>
              <w:insideH w:val="single" w:sz="6" w:space="0" w:color="00000A"/>
              <w:right w:val="single" w:sz="18" w:space="0" w:color="00000A"/>
              <w:insideV w:val="single" w:sz="18"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rovnomerná</w:t>
            </w:r>
          </w:p>
        </w:tc>
      </w:tr>
      <w:tr>
        <w:trPr>
          <w:trHeight w:val="340" w:hRule="atLeast"/>
          <w:cantSplit w:val="false"/>
        </w:trPr>
        <w:tc>
          <w:tcPr>
            <w:tcW w:w="2802" w:type="dxa"/>
            <w:tcBorders>
              <w:top w:val="single" w:sz="6" w:space="0" w:color="00000A"/>
              <w:left w:val="single" w:sz="18" w:space="0" w:color="00000A"/>
              <w:bottom w:val="single" w:sz="6" w:space="0" w:color="00000A"/>
              <w:insideH w:val="single" w:sz="6" w:space="0" w:color="00000A"/>
              <w:right w:val="single" w:sz="12" w:space="0" w:color="00000A"/>
              <w:insideV w:val="single" w:sz="12" w:space="0" w:color="00000A"/>
            </w:tcBorders>
            <w:shd w:fill="FFFFFF" w:val="clear"/>
            <w:tcMar>
              <w:left w:w="-15" w:type="dxa"/>
            </w:tcMar>
          </w:tcPr>
          <w:p>
            <w:pPr>
              <w:pStyle w:val="Normal"/>
              <w:spacing w:before="0" w:after="0"/>
              <w:ind w:left="142" w:right="0" w:hanging="0"/>
              <w:jc w:val="both"/>
              <w:rPr>
                <w:rFonts w:cs="Times New Roman" w:ascii="Times New Roman" w:hAnsi="Times New Roman"/>
              </w:rPr>
            </w:pPr>
            <w:r>
              <w:rPr>
                <w:rFonts w:cs="Times New Roman" w:ascii="Times New Roman" w:hAnsi="Times New Roman"/>
              </w:rPr>
              <w:t>Budovy</w:t>
            </w:r>
          </w:p>
        </w:tc>
        <w:tc>
          <w:tcPr>
            <w:tcW w:w="225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40</w:t>
            </w:r>
          </w:p>
        </w:tc>
        <w:tc>
          <w:tcPr>
            <w:tcW w:w="1966" w:type="dxa"/>
            <w:tcBorders>
              <w:top w:val="single" w:sz="6" w:space="0" w:color="00000A"/>
              <w:left w:val="single" w:sz="12" w:space="0" w:color="00000A"/>
              <w:bottom w:val="single" w:sz="6" w:space="0" w:color="00000A"/>
              <w:insideH w:val="single" w:sz="6"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2,5</w:t>
            </w:r>
          </w:p>
        </w:tc>
        <w:tc>
          <w:tcPr>
            <w:tcW w:w="2302" w:type="dxa"/>
            <w:tcBorders>
              <w:top w:val="single" w:sz="6" w:space="0" w:color="00000A"/>
              <w:left w:val="single" w:sz="12" w:space="0" w:color="00000A"/>
              <w:bottom w:val="single" w:sz="6" w:space="0" w:color="00000A"/>
              <w:insideH w:val="single" w:sz="6" w:space="0" w:color="00000A"/>
              <w:right w:val="single" w:sz="18" w:space="0" w:color="00000A"/>
              <w:insideV w:val="single" w:sz="18"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rovnomerná</w:t>
            </w:r>
          </w:p>
        </w:tc>
      </w:tr>
      <w:tr>
        <w:trPr>
          <w:trHeight w:val="340" w:hRule="atLeast"/>
          <w:cantSplit w:val="false"/>
        </w:trPr>
        <w:tc>
          <w:tcPr>
            <w:tcW w:w="2802" w:type="dxa"/>
            <w:tcBorders>
              <w:top w:val="single" w:sz="6"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15" w:type="dxa"/>
            </w:tcMar>
          </w:tcPr>
          <w:p>
            <w:pPr>
              <w:pStyle w:val="Normal"/>
              <w:spacing w:before="0" w:after="0"/>
              <w:ind w:left="142" w:right="0" w:hanging="0"/>
              <w:jc w:val="both"/>
              <w:rPr>
                <w:rFonts w:cs="Times New Roman" w:ascii="Times New Roman" w:hAnsi="Times New Roman"/>
              </w:rPr>
            </w:pPr>
            <w:r>
              <w:rPr>
                <w:rFonts w:cs="Times New Roman" w:ascii="Times New Roman" w:hAnsi="Times New Roman"/>
              </w:rPr>
              <w:t>Drobné stavby</w:t>
            </w:r>
          </w:p>
        </w:tc>
        <w:tc>
          <w:tcPr>
            <w:tcW w:w="2256" w:type="dxa"/>
            <w:tcBorders>
              <w:top w:val="single" w:sz="6"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12</w:t>
            </w:r>
          </w:p>
        </w:tc>
        <w:tc>
          <w:tcPr>
            <w:tcW w:w="1966" w:type="dxa"/>
            <w:tcBorders>
              <w:top w:val="single" w:sz="6"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8,33</w:t>
            </w:r>
          </w:p>
        </w:tc>
        <w:tc>
          <w:tcPr>
            <w:tcW w:w="2302" w:type="dxa"/>
            <w:tcBorders>
              <w:top w:val="single" w:sz="6"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8" w:type="dxa"/>
            </w:tcMar>
          </w:tcPr>
          <w:p>
            <w:pPr>
              <w:pStyle w:val="Normal"/>
              <w:spacing w:before="0" w:after="0"/>
              <w:ind w:left="142" w:right="0" w:hanging="0"/>
              <w:jc w:val="center"/>
              <w:rPr>
                <w:rFonts w:cs="Times New Roman"/>
              </w:rPr>
            </w:pPr>
            <w:r>
              <w:rPr>
                <w:rFonts w:cs="Times New Roman"/>
              </w:rPr>
              <w:t>rovnomerná</w:t>
            </w:r>
          </w:p>
        </w:tc>
      </w:tr>
    </w:tbl>
    <w:p>
      <w:pPr>
        <w:pStyle w:val="Normal"/>
        <w:spacing w:lineRule="auto" w:line="240"/>
        <w:jc w:val="both"/>
        <w:rPr>
          <w:rFonts w:eastAsia="MS Gothic" w:cs="Arial" w:ascii="Arial" w:hAnsi="Arial"/>
          <w:b/>
          <w:sz w:val="20"/>
          <w:szCs w:val="20"/>
        </w:rPr>
      </w:pPr>
      <w:r>
        <w:rPr>
          <w:rFonts w:eastAsia="MS Gothic" w:cs="Arial" w:ascii="Arial" w:hAnsi="Arial"/>
          <w:b/>
          <w:sz w:val="20"/>
          <w:szCs w:val="20"/>
        </w:rPr>
        <w:tab/>
      </w:r>
    </w:p>
    <w:p>
      <w:pPr>
        <w:pStyle w:val="Normal"/>
        <w:spacing w:lineRule="auto" w:line="240"/>
        <w:ind w:left="0" w:right="0" w:hanging="0"/>
        <w:jc w:val="both"/>
        <w:rPr>
          <w:rFonts w:eastAsia="MS Gothic" w:cs="Arial" w:ascii="Arial" w:hAnsi="Arial"/>
          <w:sz w:val="20"/>
          <w:szCs w:val="20"/>
        </w:rPr>
      </w:pPr>
      <w:r>
        <w:rPr>
          <w:rFonts w:eastAsia="MS Gothic" w:cs="Arial" w:ascii="Arial" w:hAnsi="Arial"/>
          <w:sz w:val="20"/>
          <w:szCs w:val="20"/>
        </w:rPr>
        <w:t xml:space="preserve">Daňový odpis vychádza zo zákona o dani z príjmov. Majetok sa začína odpisovať v mesiaci jeho zaradenia do používania a po vykonaných úpravách vyplývajúcich zo zmeny daňového zákona sa účtovné a daňové sadzby pri rovnomerne odpisovanom majetku rovnajú. Účtovný odpis sa zaokrúhľuje na dve desatinné miesta, ročný daňový odpis na celé €.  </w:t>
      </w:r>
    </w:p>
    <w:p>
      <w:pPr>
        <w:pStyle w:val="Normal"/>
        <w:spacing w:lineRule="auto" w:line="240"/>
        <w:ind w:left="0" w:right="0" w:hanging="0"/>
        <w:jc w:val="both"/>
        <w:rPr>
          <w:rFonts w:eastAsia="MS Gothic" w:cs="Arial" w:ascii="Arial" w:hAnsi="Arial"/>
          <w:sz w:val="20"/>
          <w:szCs w:val="20"/>
        </w:rPr>
      </w:pPr>
      <w:r>
        <w:rPr>
          <w:rFonts w:eastAsia="MS Gothic" w:cs="Arial" w:ascii="Arial" w:hAnsi="Arial"/>
          <w:sz w:val="20"/>
          <w:szCs w:val="20"/>
        </w:rPr>
        <w:t>V roku 2017 účtovná jednotka vyradila predajom 1 nákladný automobil, 2 osobné automobily. Zároveň sme v roku 2017 zakúpili 1 osobný automobil, 1 nákladný automobil.</w:t>
      </w:r>
    </w:p>
    <w:p>
      <w:pPr>
        <w:pStyle w:val="Normal"/>
        <w:spacing w:lineRule="auto" w:line="240"/>
        <w:ind w:left="142" w:right="0" w:hanging="0"/>
        <w:jc w:val="both"/>
        <w:rPr/>
      </w:pPr>
      <w:r>
        <w:rPr/>
      </w:r>
    </w:p>
    <w:p>
      <w:pPr>
        <w:pStyle w:val="Normal"/>
        <w:spacing w:lineRule="auto" w:line="240"/>
        <w:ind w:left="142" w:right="0" w:hanging="0"/>
        <w:jc w:val="both"/>
        <w:rPr>
          <w:rFonts w:ascii="Arial" w:hAnsi="Arial"/>
          <w:b/>
          <w:bCs/>
          <w:sz w:val="20"/>
          <w:szCs w:val="20"/>
        </w:rPr>
      </w:pPr>
      <w:r>
        <w:rPr>
          <w:rFonts w:ascii="Arial" w:hAnsi="Arial"/>
          <w:b/>
          <w:bCs/>
          <w:sz w:val="20"/>
          <w:szCs w:val="20"/>
        </w:rPr>
        <w:t>III. 4 h) Informácia o poskytnutých dotáciách</w:t>
      </w:r>
    </w:p>
    <w:p>
      <w:pPr>
        <w:pStyle w:val="Normal"/>
        <w:spacing w:lineRule="auto" w:line="240"/>
        <w:ind w:left="142" w:right="0" w:hanging="0"/>
        <w:jc w:val="both"/>
        <w:rPr>
          <w:rFonts w:ascii="Arial" w:hAnsi="Arial"/>
          <w:b w:val="false"/>
          <w:bCs w:val="false"/>
          <w:sz w:val="20"/>
          <w:szCs w:val="20"/>
        </w:rPr>
      </w:pPr>
      <w:r>
        <w:rPr>
          <w:rFonts w:ascii="Arial" w:hAnsi="Arial"/>
          <w:b/>
          <w:bCs/>
          <w:sz w:val="20"/>
          <w:szCs w:val="20"/>
        </w:rPr>
        <w:t xml:space="preserve">   </w:t>
      </w:r>
      <w:r>
        <w:rPr>
          <w:rFonts w:ascii="Arial" w:hAnsi="Arial"/>
          <w:sz w:val="20"/>
          <w:szCs w:val="20"/>
        </w:rPr>
        <w:t xml:space="preserve">   </w:t>
      </w:r>
      <w:r>
        <w:rPr>
          <w:rFonts w:ascii="Arial" w:hAnsi="Arial"/>
          <w:sz w:val="20"/>
          <w:szCs w:val="20"/>
        </w:rPr>
        <w:t xml:space="preserve">V roku 2017 boli spoločnosti poskytnuté príspevky z Úradu práce, sociálnych vecí a rodiny na podporu zamestnávania dlhodobo nezamestnaných uchádzačov o zamestnanie vo výške 10 608,99 €. </w:t>
      </w:r>
      <w:r>
        <w:rPr>
          <w:rFonts w:ascii="Arial" w:hAnsi="Arial"/>
          <w:b w:val="false"/>
          <w:bCs w:val="false"/>
          <w:sz w:val="20"/>
          <w:szCs w:val="20"/>
        </w:rPr>
        <w:t xml:space="preserve">Príspevky sú poskytnuté na dobu 12 mesiacov s dobou udržania pracovného miesta 18 mesiacov na zamestnanie 2 pracovníkov. Ďalej to bol príspevok na mentorovanie 1 pracovníka na dobu 6 mesiacov v celkovej výške 441,06 €.   </w:t>
      </w:r>
    </w:p>
    <w:p>
      <w:pPr>
        <w:pStyle w:val="Normal"/>
        <w:spacing w:lineRule="auto" w:line="240"/>
        <w:ind w:left="142" w:right="0" w:hanging="0"/>
        <w:jc w:val="both"/>
        <w:rPr>
          <w:rFonts w:ascii="Arial" w:hAnsi="Arial"/>
          <w:sz w:val="20"/>
          <w:szCs w:val="20"/>
        </w:rPr>
      </w:pPr>
      <w:r>
        <w:rPr>
          <w:rFonts w:ascii="Arial" w:hAnsi="Arial"/>
          <w:sz w:val="20"/>
          <w:szCs w:val="20"/>
        </w:rPr>
        <w:t xml:space="preserve">     </w:t>
      </w:r>
      <w:r>
        <w:rPr>
          <w:rFonts w:ascii="Arial" w:hAnsi="Arial"/>
          <w:sz w:val="20"/>
          <w:szCs w:val="20"/>
        </w:rPr>
        <w:t>Reálne boli v roku 2017 príspevky zahrnuté do výnosov vo výške 6 480,15 €  eur, z toho  z príspevkov schválených a vyplatených na účet spoločnosti bolo 6 475,75 €.</w:t>
      </w:r>
    </w:p>
    <w:p>
      <w:pPr>
        <w:pStyle w:val="Normal"/>
        <w:spacing w:lineRule="auto" w:line="240"/>
        <w:ind w:left="142" w:right="0" w:hanging="0"/>
        <w:jc w:val="both"/>
        <w:rPr>
          <w:rFonts w:ascii="Arial" w:hAnsi="Arial"/>
          <w:sz w:val="20"/>
          <w:szCs w:val="20"/>
        </w:rPr>
      </w:pPr>
      <w:r>
        <w:rPr>
          <w:rFonts w:ascii="Arial" w:hAnsi="Arial"/>
          <w:sz w:val="20"/>
          <w:szCs w:val="20"/>
        </w:rPr>
        <w:t xml:space="preserve">  </w:t>
      </w:r>
    </w:p>
    <w:p>
      <w:pPr>
        <w:pStyle w:val="Normal"/>
        <w:spacing w:lineRule="auto" w:line="240"/>
        <w:ind w:left="142" w:right="0" w:hanging="0"/>
        <w:jc w:val="both"/>
        <w:rPr>
          <w:rFonts w:eastAsia="MS Gothic" w:cs="Arial" w:ascii="Arial" w:hAnsi="Arial"/>
          <w:b/>
          <w:sz w:val="20"/>
          <w:szCs w:val="20"/>
        </w:rPr>
      </w:pPr>
      <w:r>
        <w:rPr>
          <w:rFonts w:eastAsia="MS Gothic" w:cs="Arial" w:ascii="Arial" w:hAnsi="Arial"/>
          <w:b/>
          <w:sz w:val="20"/>
          <w:szCs w:val="20"/>
        </w:rPr>
        <w:t xml:space="preserve">III. 5 </w:t>
        <w:tab/>
        <w:t>Oprava významných a nevýznamných chýb minulých účtovných období vykonaných v bežnom účtovnom období:</w:t>
      </w:r>
    </w:p>
    <w:p>
      <w:pPr>
        <w:pStyle w:val="Normal"/>
        <w:spacing w:lineRule="auto" w:line="240"/>
        <w:ind w:left="142" w:right="0" w:hanging="0"/>
        <w:jc w:val="both"/>
        <w:rPr>
          <w:rFonts w:cs="Arial" w:ascii="Arial" w:hAnsi="Arial"/>
          <w:sz w:val="20"/>
          <w:szCs w:val="20"/>
        </w:rPr>
      </w:pPr>
      <w:r>
        <w:rPr>
          <w:rFonts w:cs="Arial" w:ascii="Arial" w:hAnsi="Arial"/>
          <w:sz w:val="20"/>
          <w:szCs w:val="20"/>
        </w:rPr>
      </w:r>
    </w:p>
    <w:p>
      <w:pPr>
        <w:pStyle w:val="Normal"/>
        <w:spacing w:lineRule="auto" w:line="240"/>
        <w:ind w:left="142" w:right="0" w:hanging="0"/>
        <w:jc w:val="both"/>
        <w:rPr>
          <w:rFonts w:eastAsia="MS Gothic" w:cs="Arial" w:ascii="Arial" w:hAnsi="Arial"/>
          <w:sz w:val="20"/>
          <w:szCs w:val="20"/>
        </w:rPr>
      </w:pPr>
      <w:r>
        <w:rPr>
          <w:rFonts w:eastAsia="MS Gothic" w:cs="Arial" w:ascii="Arial" w:hAnsi="Arial"/>
          <w:sz w:val="20"/>
          <w:szCs w:val="20"/>
        </w:rPr>
        <w:t>V roku 2017 účtovná jednotka nevykonala žiadnu opravu chýb minulých účtovných období.</w:t>
      </w:r>
    </w:p>
    <w:p>
      <w:pPr>
        <w:pStyle w:val="Normal"/>
        <w:spacing w:lineRule="auto" w:line="240" w:before="240" w:after="0"/>
        <w:ind w:left="142" w:right="0" w:hanging="0"/>
        <w:jc w:val="center"/>
        <w:rPr/>
      </w:pPr>
      <w:r>
        <w:rPr/>
      </w:r>
    </w:p>
    <w:p>
      <w:pPr>
        <w:pStyle w:val="Normal"/>
        <w:spacing w:lineRule="auto" w:line="240" w:before="240" w:after="0"/>
        <w:ind w:left="142" w:right="0" w:hanging="0"/>
        <w:jc w:val="center"/>
        <w:rPr/>
      </w:pPr>
      <w:r>
        <w:rPr/>
      </w:r>
    </w:p>
    <w:p>
      <w:pPr>
        <w:pStyle w:val="Normal"/>
        <w:spacing w:lineRule="auto" w:line="240" w:before="240" w:after="0"/>
        <w:ind w:left="142" w:right="0" w:hanging="0"/>
        <w:jc w:val="center"/>
        <w:rPr>
          <w:rFonts w:cs="Times New Roman" w:ascii="Times New Roman" w:hAnsi="Times New Roman"/>
          <w:b/>
          <w:color w:val="000000"/>
          <w:szCs w:val="24"/>
        </w:rPr>
      </w:pPr>
      <w:r>
        <w:rPr>
          <w:rFonts w:cs="Times New Roman" w:ascii="Times New Roman" w:hAnsi="Times New Roman"/>
          <w:b/>
          <w:color w:val="000000"/>
          <w:szCs w:val="24"/>
        </w:rPr>
        <w:t>Článok  IV</w:t>
      </w:r>
    </w:p>
    <w:p>
      <w:pPr>
        <w:pStyle w:val="Normal"/>
        <w:spacing w:lineRule="auto" w:line="240" w:before="240" w:after="0"/>
        <w:ind w:left="142" w:right="0" w:hanging="0"/>
        <w:jc w:val="center"/>
        <w:rPr>
          <w:rFonts w:cs="Times New Roman" w:ascii="Times New Roman" w:hAnsi="Times New Roman"/>
          <w:b/>
          <w:color w:val="000000"/>
          <w:szCs w:val="24"/>
        </w:rPr>
      </w:pPr>
      <w:r>
        <w:rPr>
          <w:rFonts w:cs="Times New Roman" w:ascii="Times New Roman" w:hAnsi="Times New Roman"/>
          <w:b/>
          <w:color w:val="000000"/>
          <w:szCs w:val="24"/>
        </w:rPr>
        <w:tab/>
        <w:t>Informácie, ktoré vysvetľujú a dopĺňajú súvahu a výkaz ziskov a strát</w:t>
      </w:r>
    </w:p>
    <w:p>
      <w:pPr>
        <w:pStyle w:val="Normal"/>
        <w:spacing w:lineRule="auto" w:line="240" w:before="0" w:after="0"/>
        <w:ind w:left="142" w:right="0" w:hanging="0"/>
        <w:jc w:val="center"/>
        <w:rPr>
          <w:rFonts w:cs="Times New Roman" w:ascii="Times New Roman" w:hAnsi="Times New Roman"/>
          <w:b/>
          <w:szCs w:val="24"/>
        </w:rPr>
      </w:pPr>
      <w:r>
        <w:rPr>
          <w:rFonts w:cs="Times New Roman" w:ascii="Times New Roman" w:hAnsi="Times New Roman"/>
          <w:b/>
          <w:szCs w:val="24"/>
        </w:rPr>
      </w:r>
    </w:p>
    <w:p>
      <w:pPr>
        <w:pStyle w:val="Normal"/>
        <w:spacing w:lineRule="auto" w:line="240"/>
        <w:ind w:left="142" w:right="0" w:hanging="0"/>
        <w:jc w:val="both"/>
        <w:rPr>
          <w:rFonts w:eastAsia="MS Gothic" w:cs="Times New Roman" w:ascii="Times New Roman" w:hAnsi="Times New Roman"/>
          <w:b/>
          <w:szCs w:val="24"/>
        </w:rPr>
      </w:pPr>
      <w:r>
        <w:rPr>
          <w:rFonts w:eastAsia="MS Gothic" w:cs="Times New Roman" w:ascii="Times New Roman" w:hAnsi="Times New Roman"/>
          <w:b/>
          <w:szCs w:val="24"/>
        </w:rPr>
      </w:r>
    </w:p>
    <w:p>
      <w:pPr>
        <w:pStyle w:val="Normal"/>
        <w:spacing w:lineRule="auto" w:line="240"/>
        <w:ind w:left="142" w:right="0" w:hanging="0"/>
        <w:jc w:val="both"/>
        <w:rPr>
          <w:rFonts w:eastAsia="MS Gothic" w:cs="Times New Roman" w:ascii="Times New Roman" w:hAnsi="Times New Roman"/>
          <w:b/>
        </w:rPr>
      </w:pPr>
      <w:r>
        <w:rPr>
          <w:rFonts w:eastAsia="MS Gothic" w:cs="Times New Roman" w:ascii="Times New Roman" w:hAnsi="Times New Roman"/>
          <w:b/>
        </w:rPr>
        <w:t>IV. 3 a)</w:t>
        <w:tab/>
        <w:t xml:space="preserve">Informácie o záväzkoch </w:t>
      </w:r>
    </w:p>
    <w:tbl>
      <w:tblPr>
        <w:jc w:val="left"/>
        <w:tblInd w:w="-66" w:type="dxa"/>
        <w:tbl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blBorders>
        <w:tblCellMar>
          <w:top w:w="0" w:type="dxa"/>
          <w:left w:w="-21" w:type="dxa"/>
          <w:bottom w:w="0" w:type="dxa"/>
          <w:right w:w="70" w:type="dxa"/>
        </w:tblCellMar>
      </w:tblPr>
      <w:tblGrid>
        <w:gridCol w:w="3210"/>
        <w:gridCol w:w="2975"/>
        <w:gridCol w:w="3156"/>
      </w:tblGrid>
      <w:tr>
        <w:trPr>
          <w:trHeight w:val="330" w:hRule="atLeast"/>
          <w:cantSplit w:val="false"/>
        </w:trPr>
        <w:tc>
          <w:tcPr>
            <w:tcW w:w="3210" w:type="dxa"/>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Názov položky</w:t>
            </w:r>
          </w:p>
        </w:tc>
        <w:tc>
          <w:tcPr>
            <w:tcW w:w="2975"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BO</w:t>
            </w:r>
          </w:p>
        </w:tc>
        <w:tc>
          <w:tcPr>
            <w:tcW w:w="3156" w:type="dxa"/>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PO</w:t>
            </w:r>
          </w:p>
        </w:tc>
      </w:tr>
      <w:tr>
        <w:trPr>
          <w:trHeight w:val="580" w:hRule="atLeast"/>
          <w:cantSplit w:val="false"/>
        </w:trPr>
        <w:tc>
          <w:tcPr>
            <w:tcW w:w="3210" w:type="dxa"/>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Záväzky so zostatkovou dobou splatnosti nad päť rokov</w:t>
            </w:r>
          </w:p>
        </w:tc>
        <w:tc>
          <w:tcPr>
            <w:tcW w:w="2975"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color w:val="2F75B5"/>
                <w:lang w:eastAsia="sk-SK"/>
              </w:rPr>
            </w:pPr>
            <w:r>
              <w:rPr>
                <w:rFonts w:eastAsia="Times New Roman" w:cs="Times New Roman"/>
                <w:color w:val="2F75B5"/>
                <w:lang w:eastAsia="sk-SK"/>
              </w:rPr>
              <w:t>0</w:t>
            </w:r>
          </w:p>
        </w:tc>
        <w:tc>
          <w:tcPr>
            <w:tcW w:w="3156" w:type="dxa"/>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jc w:val="center"/>
              <w:rPr/>
            </w:pPr>
            <w:r>
              <w:rPr/>
              <w:t>0</w:t>
            </w:r>
          </w:p>
        </w:tc>
      </w:tr>
    </w:tbl>
    <w:p>
      <w:pPr>
        <w:pStyle w:val="Normal"/>
        <w:spacing w:lineRule="auto" w:line="240" w:before="240" w:after="160"/>
        <w:jc w:val="both"/>
        <w:rPr/>
      </w:pPr>
      <w:r>
        <w:rPr/>
      </w:r>
    </w:p>
    <w:tbl>
      <w:tblPr>
        <w:jc w:val="left"/>
        <w:tblInd w:w="-66" w:type="dxa"/>
        <w:tbl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blBorders>
        <w:tblCellMar>
          <w:top w:w="0" w:type="dxa"/>
          <w:left w:w="-21" w:type="dxa"/>
          <w:bottom w:w="0" w:type="dxa"/>
          <w:right w:w="70" w:type="dxa"/>
        </w:tblCellMar>
      </w:tblPr>
      <w:tblGrid>
        <w:gridCol w:w="3210"/>
        <w:gridCol w:w="2975"/>
        <w:gridCol w:w="3156"/>
      </w:tblGrid>
      <w:tr>
        <w:trPr>
          <w:trHeight w:val="330" w:hRule="atLeast"/>
          <w:cantSplit w:val="false"/>
        </w:trPr>
        <w:tc>
          <w:tcPr>
            <w:tcW w:w="3210" w:type="dxa"/>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Názov položky</w:t>
            </w:r>
          </w:p>
        </w:tc>
        <w:tc>
          <w:tcPr>
            <w:tcW w:w="2975"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BO</w:t>
            </w:r>
          </w:p>
        </w:tc>
        <w:tc>
          <w:tcPr>
            <w:tcW w:w="3156" w:type="dxa"/>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PO</w:t>
            </w:r>
          </w:p>
        </w:tc>
      </w:tr>
      <w:tr>
        <w:trPr>
          <w:trHeight w:val="580" w:hRule="atLeast"/>
          <w:cantSplit w:val="false"/>
        </w:trPr>
        <w:tc>
          <w:tcPr>
            <w:tcW w:w="3210" w:type="dxa"/>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Záväzky so zostatkovou dobou splatnosti jeden až päť rokov</w:t>
            </w:r>
          </w:p>
        </w:tc>
        <w:tc>
          <w:tcPr>
            <w:tcW w:w="2975"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color w:val="000000"/>
                <w:lang w:eastAsia="sk-SK"/>
              </w:rPr>
            </w:pPr>
            <w:r>
              <w:rPr>
                <w:rFonts w:eastAsia="Times New Roman" w:cs="Times New Roman"/>
                <w:color w:val="000000"/>
                <w:lang w:eastAsia="sk-SK"/>
              </w:rPr>
              <w:t>4 022</w:t>
            </w:r>
          </w:p>
        </w:tc>
        <w:tc>
          <w:tcPr>
            <w:tcW w:w="3156" w:type="dxa"/>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color w:val="000000"/>
                <w:lang w:eastAsia="sk-SK"/>
              </w:rPr>
            </w:pPr>
            <w:r>
              <w:rPr>
                <w:rFonts w:eastAsia="Times New Roman" w:cs="Times New Roman"/>
                <w:color w:val="000000"/>
                <w:lang w:eastAsia="sk-SK"/>
              </w:rPr>
              <w:t>2 769</w:t>
            </w:r>
          </w:p>
        </w:tc>
      </w:tr>
      <w:tr>
        <w:trPr>
          <w:trHeight w:val="580" w:hRule="atLeast"/>
          <w:cantSplit w:val="false"/>
        </w:trPr>
        <w:tc>
          <w:tcPr>
            <w:tcW w:w="3210" w:type="dxa"/>
            <w:tcBorders>
              <w:top w:val="nil"/>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jc w:val="center"/>
              <w:rPr>
                <w:b/>
                <w:bCs/>
              </w:rPr>
            </w:pPr>
            <w:r>
              <w:rPr>
                <w:b/>
                <w:bCs/>
              </w:rPr>
              <w:t>Dlhodobé záväzky spolu :</w:t>
            </w:r>
          </w:p>
        </w:tc>
        <w:tc>
          <w:tcPr>
            <w:tcW w:w="2975" w:type="dxa"/>
            <w:tcBorders>
              <w:top w:val="nil"/>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b/>
                <w:bCs/>
              </w:rPr>
            </w:pPr>
            <w:r>
              <w:rPr>
                <w:b/>
                <w:bCs/>
              </w:rPr>
              <w:t>4 022</w:t>
            </w:r>
          </w:p>
        </w:tc>
        <w:tc>
          <w:tcPr>
            <w:tcW w:w="3156" w:type="dxa"/>
            <w:tcBorders>
              <w:top w:val="nil"/>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center"/>
              <w:rPr>
                <w:b/>
                <w:bCs/>
              </w:rPr>
            </w:pPr>
            <w:r>
              <w:rPr>
                <w:b/>
                <w:bCs/>
              </w:rPr>
              <w:t>2 769</w:t>
            </w:r>
          </w:p>
        </w:tc>
      </w:tr>
      <w:tr>
        <w:trPr>
          <w:trHeight w:val="580" w:hRule="atLeast"/>
          <w:cantSplit w:val="false"/>
        </w:trPr>
        <w:tc>
          <w:tcPr>
            <w:tcW w:w="3210" w:type="dxa"/>
            <w:tcBorders>
              <w:top w:val="nil"/>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Záväzky so zostatkovou dobou splatnosti do jedného roka vrátane</w:t>
            </w:r>
          </w:p>
        </w:tc>
        <w:tc>
          <w:tcPr>
            <w:tcW w:w="2975" w:type="dxa"/>
            <w:tcBorders>
              <w:top w:val="nil"/>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color w:val="000000"/>
                <w:lang w:eastAsia="sk-SK"/>
              </w:rPr>
            </w:pPr>
            <w:bookmarkStart w:id="1" w:name="__DdeLink__1263_1314335174"/>
            <w:r>
              <w:rPr>
                <w:rFonts w:eastAsia="Times New Roman" w:cs="Times New Roman"/>
                <w:color w:val="000000"/>
                <w:lang w:eastAsia="sk-SK"/>
              </w:rPr>
              <w:t xml:space="preserve">1 </w:t>
            </w:r>
            <w:bookmarkEnd w:id="1"/>
            <w:r>
              <w:rPr>
                <w:rFonts w:eastAsia="Times New Roman" w:cs="Times New Roman"/>
                <w:color w:val="000000"/>
                <w:lang w:eastAsia="sk-SK"/>
              </w:rPr>
              <w:t>542 583</w:t>
            </w:r>
          </w:p>
        </w:tc>
        <w:tc>
          <w:tcPr>
            <w:tcW w:w="3156" w:type="dxa"/>
            <w:tcBorders>
              <w:top w:val="nil"/>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color w:val="000000"/>
                <w:lang w:eastAsia="sk-SK"/>
              </w:rPr>
            </w:pPr>
            <w:r>
              <w:rPr>
                <w:rFonts w:eastAsia="Times New Roman" w:cs="Times New Roman"/>
                <w:color w:val="000000"/>
                <w:lang w:eastAsia="sk-SK"/>
              </w:rPr>
              <w:t>1 323 110</w:t>
            </w:r>
          </w:p>
        </w:tc>
      </w:tr>
      <w:tr>
        <w:trPr>
          <w:trHeight w:val="580" w:hRule="atLeast"/>
          <w:cantSplit w:val="false"/>
        </w:trPr>
        <w:tc>
          <w:tcPr>
            <w:tcW w:w="3210" w:type="dxa"/>
            <w:tcBorders>
              <w:top w:val="nil"/>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Záväzky po lehote splatnosti</w:t>
            </w:r>
          </w:p>
        </w:tc>
        <w:tc>
          <w:tcPr>
            <w:tcW w:w="2975" w:type="dxa"/>
            <w:tcBorders>
              <w:top w:val="nil"/>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pPr>
            <w:r>
              <w:rPr/>
            </w:r>
          </w:p>
        </w:tc>
        <w:tc>
          <w:tcPr>
            <w:tcW w:w="3156" w:type="dxa"/>
            <w:tcBorders>
              <w:top w:val="nil"/>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color w:val="000000"/>
                <w:lang w:eastAsia="sk-SK"/>
              </w:rPr>
            </w:pPr>
            <w:r>
              <w:rPr>
                <w:rFonts w:eastAsia="Times New Roman" w:cs="Times New Roman"/>
                <w:color w:val="000000"/>
                <w:lang w:eastAsia="sk-SK"/>
              </w:rPr>
              <w:t>85 792</w:t>
            </w:r>
          </w:p>
        </w:tc>
      </w:tr>
      <w:tr>
        <w:trPr>
          <w:trHeight w:val="580" w:hRule="atLeast"/>
          <w:cantSplit w:val="false"/>
        </w:trPr>
        <w:tc>
          <w:tcPr>
            <w:tcW w:w="3210" w:type="dxa"/>
            <w:tcBorders>
              <w:top w:val="nil"/>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Krátkodobé záväzky spolu :</w:t>
            </w:r>
          </w:p>
        </w:tc>
        <w:tc>
          <w:tcPr>
            <w:tcW w:w="2975" w:type="dxa"/>
            <w:tcBorders>
              <w:top w:val="nil"/>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b/>
                <w:bCs/>
                <w:color w:val="000000"/>
                <w:lang w:eastAsia="sk-SK"/>
              </w:rPr>
            </w:pPr>
            <w:r>
              <w:rPr>
                <w:rFonts w:eastAsia="Times New Roman" w:cs="Times New Roman"/>
                <w:b/>
                <w:bCs/>
                <w:color w:val="000000"/>
                <w:lang w:eastAsia="sk-SK"/>
              </w:rPr>
              <w:t>1 542 583</w:t>
            </w:r>
          </w:p>
        </w:tc>
        <w:tc>
          <w:tcPr>
            <w:tcW w:w="3156" w:type="dxa"/>
            <w:tcBorders>
              <w:top w:val="nil"/>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center"/>
              <w:rPr>
                <w:b/>
                <w:bCs/>
              </w:rPr>
            </w:pPr>
            <w:r>
              <w:rPr>
                <w:b/>
                <w:bCs/>
              </w:rPr>
              <w:t>1 408 902</w:t>
            </w:r>
          </w:p>
        </w:tc>
      </w:tr>
    </w:tbl>
    <w:p>
      <w:pPr>
        <w:pStyle w:val="Normal"/>
        <w:spacing w:lineRule="auto" w:line="240"/>
        <w:ind w:left="142" w:right="0" w:hanging="0"/>
        <w:jc w:val="both"/>
        <w:rPr>
          <w:rFonts w:eastAsia="MS Gothic" w:cs="Times New Roman" w:ascii="Times New Roman" w:hAnsi="Times New Roman"/>
          <w:b/>
          <w:sz w:val="24"/>
          <w:szCs w:val="24"/>
        </w:rPr>
      </w:pPr>
      <w:r>
        <w:rPr>
          <w:rFonts w:eastAsia="MS Gothic" w:cs="Times New Roman" w:ascii="Times New Roman" w:hAnsi="Times New Roman"/>
          <w:b/>
          <w:sz w:val="24"/>
          <w:szCs w:val="24"/>
        </w:rPr>
      </w:r>
    </w:p>
    <w:p>
      <w:pPr>
        <w:pStyle w:val="Normal"/>
        <w:spacing w:lineRule="auto" w:line="240"/>
        <w:ind w:left="142" w:right="0" w:hanging="0"/>
        <w:jc w:val="both"/>
        <w:rPr>
          <w:rFonts w:eastAsia="MS Gothic" w:cs="Times New Roman" w:ascii="Times New Roman" w:hAnsi="Times New Roman"/>
          <w:b/>
          <w:sz w:val="24"/>
          <w:szCs w:val="24"/>
        </w:rPr>
      </w:pPr>
      <w:r>
        <w:rPr>
          <w:rFonts w:eastAsia="MS Gothic" w:cs="Times New Roman" w:ascii="Times New Roman" w:hAnsi="Times New Roman"/>
          <w:b/>
          <w:sz w:val="24"/>
          <w:szCs w:val="24"/>
        </w:rPr>
      </w:r>
    </w:p>
    <w:p>
      <w:pPr>
        <w:pStyle w:val="Normal"/>
        <w:spacing w:lineRule="auto" w:line="240"/>
        <w:ind w:left="142" w:right="0" w:hanging="0"/>
        <w:jc w:val="both"/>
        <w:rPr>
          <w:rFonts w:eastAsia="MS Gothic" w:cs="Arial" w:ascii="Arial" w:hAnsi="Arial"/>
          <w:b w:val="false"/>
          <w:bCs w:val="false"/>
          <w:sz w:val="20"/>
          <w:szCs w:val="20"/>
        </w:rPr>
      </w:pPr>
      <w:r>
        <w:rPr>
          <w:rFonts w:eastAsia="MS Gothic" w:cs="Arial" w:ascii="Arial" w:hAnsi="Arial"/>
          <w:sz w:val="20"/>
          <w:szCs w:val="20"/>
        </w:rPr>
        <w:t xml:space="preserve">V dlhodobých záväzkoch so zostatkovou dobou splatnosti 1-5 rokov je vyčíslený -zostatok sociálneho fondu 420 € </w:t>
      </w:r>
      <w:r>
        <w:rPr>
          <w:rFonts w:eastAsia="MS Gothic" w:cs="Arial" w:ascii="Arial" w:hAnsi="Arial"/>
          <w:b w:val="false"/>
          <w:bCs w:val="false"/>
          <w:sz w:val="20"/>
          <w:szCs w:val="20"/>
        </w:rPr>
        <w:t>a  odložená daňová pohľadávka vo výške 3 602 €.</w:t>
      </w:r>
    </w:p>
    <w:p>
      <w:pPr>
        <w:pStyle w:val="Normal"/>
        <w:spacing w:lineRule="auto" w:line="240"/>
        <w:ind w:left="142" w:right="0" w:hanging="0"/>
        <w:jc w:val="both"/>
        <w:rPr>
          <w:rFonts w:eastAsia="MS Gothic" w:cs="Arial" w:ascii="Arial" w:hAnsi="Arial"/>
          <w:sz w:val="20"/>
          <w:szCs w:val="20"/>
        </w:rPr>
      </w:pPr>
      <w:r>
        <w:rPr>
          <w:rFonts w:eastAsia="MS Gothic" w:cs="Arial" w:ascii="Arial" w:hAnsi="Arial"/>
          <w:sz w:val="20"/>
          <w:szCs w:val="20"/>
        </w:rPr>
        <w:t>V krátkodobých záväzkoch tvoria záväzky z obchodného styku 1 523 242 €. Záväzky voči zamestnancom sú vo výške 8 890 €, sociálne, zdravotné poistenie vo výške 5 770 € a daňové  záväzky 956 €, zrážková daň z príjmov 3 725 €</w:t>
      </w:r>
    </w:p>
    <w:p>
      <w:pPr>
        <w:pStyle w:val="Normal"/>
        <w:spacing w:lineRule="auto" w:line="240"/>
        <w:ind w:left="142" w:right="0" w:hanging="0"/>
        <w:jc w:val="both"/>
        <w:rPr/>
      </w:pPr>
      <w:r>
        <w:rPr/>
      </w:r>
    </w:p>
    <w:p>
      <w:pPr>
        <w:pStyle w:val="Normal"/>
        <w:spacing w:lineRule="auto" w:line="240"/>
        <w:ind w:left="142" w:right="0" w:hanging="0"/>
        <w:jc w:val="both"/>
        <w:rPr>
          <w:rFonts w:eastAsia="MS Gothic" w:cs="Arial" w:ascii="Arial" w:hAnsi="Arial"/>
          <w:b/>
        </w:rPr>
      </w:pPr>
      <w:r>
        <w:rPr>
          <w:rFonts w:eastAsia="MS Gothic" w:cs="Arial" w:ascii="Arial" w:hAnsi="Arial"/>
          <w:b/>
        </w:rPr>
        <w:t>IV. 3 b)</w:t>
        <w:tab/>
        <w:t>Hodnota záväzkov zabezpečená záložným právom</w:t>
      </w:r>
    </w:p>
    <w:tbl>
      <w:tblPr>
        <w:jc w:val="left"/>
        <w:tblInd w:w="-66" w:type="dxa"/>
        <w:tblBorders>
          <w:top w:val="single" w:sz="18" w:space="0" w:color="000001"/>
          <w:left w:val="single" w:sz="18" w:space="0" w:color="000001"/>
          <w:bottom w:val="single" w:sz="12" w:space="0" w:color="000001"/>
          <w:insideH w:val="single" w:sz="12" w:space="0" w:color="000001"/>
          <w:right w:val="single" w:sz="12" w:space="0" w:color="000001"/>
          <w:insideV w:val="single" w:sz="12" w:space="0" w:color="000001"/>
        </w:tblBorders>
        <w:tblCellMar>
          <w:top w:w="0" w:type="dxa"/>
          <w:left w:w="-21" w:type="dxa"/>
          <w:bottom w:w="0" w:type="dxa"/>
          <w:right w:w="70" w:type="dxa"/>
        </w:tblCellMar>
      </w:tblPr>
      <w:tblGrid>
        <w:gridCol w:w="4773"/>
        <w:gridCol w:w="2397"/>
        <w:gridCol w:w="2171"/>
      </w:tblGrid>
      <w:tr>
        <w:trPr>
          <w:trHeight w:val="330" w:hRule="atLeast"/>
          <w:cantSplit w:val="false"/>
        </w:trPr>
        <w:tc>
          <w:tcPr>
            <w:tcW w:w="4773" w:type="dxa"/>
            <w:vMerge w:val="restart"/>
            <w:tcBorders>
              <w:top w:val="single" w:sz="18" w:space="0" w:color="000001"/>
              <w:left w:val="single" w:sz="18" w:space="0" w:color="000001"/>
              <w:bottom w:val="single" w:sz="12" w:space="0" w:color="000001"/>
              <w:insideH w:val="single" w:sz="12" w:space="0" w:color="000001"/>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jc w:val="center"/>
              <w:rPr>
                <w:rFonts w:eastAsia="Times New Roman" w:cs="Arial" w:ascii="Arial" w:hAnsi="Arial"/>
                <w:b/>
                <w:bCs/>
                <w:color w:val="000000"/>
                <w:sz w:val="20"/>
                <w:szCs w:val="20"/>
                <w:lang w:eastAsia="sk-SK"/>
              </w:rPr>
            </w:pPr>
            <w:r>
              <w:rPr>
                <w:rFonts w:eastAsia="Times New Roman" w:cs="Arial" w:ascii="Arial" w:hAnsi="Arial"/>
                <w:b/>
                <w:bCs/>
                <w:color w:val="000000"/>
                <w:sz w:val="20"/>
                <w:szCs w:val="20"/>
                <w:lang w:eastAsia="sk-SK"/>
              </w:rPr>
              <w:t>Druh formy zabezpečenia záväzku</w:t>
            </w:r>
          </w:p>
        </w:tc>
        <w:tc>
          <w:tcPr>
            <w:tcW w:w="4568" w:type="dxa"/>
            <w:gridSpan w:val="2"/>
            <w:tcBorders>
              <w:top w:val="single" w:sz="18" w:space="0" w:color="000001"/>
              <w:left w:val="single" w:sz="12" w:space="0" w:color="000001"/>
              <w:bottom w:val="single" w:sz="12" w:space="0" w:color="000001"/>
              <w:insideH w:val="single" w:sz="12"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center"/>
              <w:rPr>
                <w:rFonts w:eastAsia="Times New Roman" w:cs="Arial" w:ascii="Arial" w:hAnsi="Arial"/>
                <w:b/>
                <w:bCs/>
                <w:color w:val="000000"/>
                <w:sz w:val="20"/>
                <w:szCs w:val="20"/>
                <w:lang w:eastAsia="sk-SK"/>
              </w:rPr>
            </w:pPr>
            <w:r>
              <w:rPr>
                <w:rFonts w:eastAsia="Times New Roman" w:cs="Arial" w:ascii="Arial" w:hAnsi="Arial"/>
                <w:b/>
                <w:bCs/>
                <w:color w:val="000000"/>
                <w:sz w:val="20"/>
                <w:szCs w:val="20"/>
                <w:lang w:eastAsia="sk-SK"/>
              </w:rPr>
              <w:t>Hodnota záväzku zabezpečená</w:t>
            </w:r>
          </w:p>
        </w:tc>
      </w:tr>
      <w:tr>
        <w:trPr>
          <w:trHeight w:val="458" w:hRule="atLeast"/>
          <w:cantSplit w:val="false"/>
        </w:trPr>
        <w:tc>
          <w:tcPr>
            <w:tcW w:w="4773" w:type="dxa"/>
            <w:vMerge w:val="continue"/>
            <w:tcBorders>
              <w:top w:val="single" w:sz="12" w:space="0" w:color="000001"/>
              <w:left w:val="single" w:sz="18" w:space="0" w:color="000001"/>
              <w:bottom w:val="single" w:sz="18" w:space="0" w:color="000001"/>
              <w:insideH w:val="single" w:sz="18" w:space="0" w:color="000001"/>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Arial" w:ascii="Arial" w:hAnsi="Arial"/>
                <w:b/>
                <w:bCs/>
                <w:color w:val="000000"/>
                <w:sz w:val="20"/>
                <w:szCs w:val="20"/>
                <w:lang w:eastAsia="sk-SK"/>
              </w:rPr>
            </w:pPr>
            <w:r>
              <w:rPr>
                <w:rFonts w:eastAsia="Times New Roman" w:cs="Arial" w:ascii="Arial" w:hAnsi="Arial"/>
                <w:b/>
                <w:bCs/>
                <w:color w:val="000000"/>
                <w:sz w:val="20"/>
                <w:szCs w:val="20"/>
                <w:lang w:eastAsia="sk-SK"/>
              </w:rPr>
            </w:r>
          </w:p>
        </w:tc>
        <w:tc>
          <w:tcPr>
            <w:tcW w:w="2397" w:type="dxa"/>
            <w:tcBorders>
              <w:top w:val="single" w:sz="12" w:space="0" w:color="000001"/>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center"/>
              <w:rPr>
                <w:rFonts w:eastAsia="Times New Roman" w:cs="Arial" w:ascii="Arial" w:hAnsi="Arial"/>
                <w:b/>
                <w:bCs/>
                <w:color w:val="000000"/>
                <w:sz w:val="20"/>
                <w:szCs w:val="20"/>
                <w:lang w:eastAsia="sk-SK"/>
              </w:rPr>
            </w:pPr>
            <w:r>
              <w:rPr>
                <w:rFonts w:eastAsia="Times New Roman" w:cs="Arial" w:ascii="Arial" w:hAnsi="Arial"/>
                <w:b/>
                <w:bCs/>
                <w:color w:val="000000"/>
                <w:sz w:val="20"/>
                <w:szCs w:val="20"/>
                <w:lang w:eastAsia="sk-SK"/>
              </w:rPr>
              <w:t>Záložným právom</w:t>
            </w:r>
          </w:p>
        </w:tc>
        <w:tc>
          <w:tcPr>
            <w:tcW w:w="2171" w:type="dxa"/>
            <w:tcBorders>
              <w:top w:val="single" w:sz="12" w:space="0" w:color="000001"/>
              <w:left w:val="single" w:sz="12" w:space="0" w:color="000001"/>
              <w:bottom w:val="single" w:sz="18" w:space="0" w:color="000001"/>
              <w:insideH w:val="single" w:sz="1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center"/>
              <w:rPr>
                <w:rFonts w:eastAsia="Times New Roman" w:cs="Arial" w:ascii="Arial" w:hAnsi="Arial"/>
                <w:b/>
                <w:bCs/>
                <w:color w:val="000000"/>
                <w:sz w:val="20"/>
                <w:szCs w:val="20"/>
                <w:lang w:eastAsia="sk-SK"/>
              </w:rPr>
            </w:pPr>
            <w:r>
              <w:rPr>
                <w:rFonts w:eastAsia="Times New Roman" w:cs="Arial" w:ascii="Arial" w:hAnsi="Arial"/>
                <w:b/>
                <w:bCs/>
                <w:color w:val="000000"/>
                <w:sz w:val="20"/>
                <w:szCs w:val="20"/>
                <w:lang w:eastAsia="sk-SK"/>
              </w:rPr>
              <w:t>Inou formou zabezp.</w:t>
            </w:r>
          </w:p>
        </w:tc>
      </w:tr>
      <w:tr>
        <w:trPr>
          <w:trHeight w:val="330" w:hRule="atLeast"/>
          <w:cantSplit w:val="false"/>
        </w:trPr>
        <w:tc>
          <w:tcPr>
            <w:tcW w:w="4773" w:type="dxa"/>
            <w:tcBorders>
              <w:top w:val="single" w:sz="18" w:space="0" w:color="000001"/>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Arial" w:ascii="Arial" w:hAnsi="Arial"/>
                <w:b/>
                <w:bCs/>
                <w:color w:val="000000"/>
                <w:sz w:val="20"/>
                <w:szCs w:val="20"/>
                <w:lang w:eastAsia="sk-SK"/>
              </w:rPr>
            </w:pPr>
            <w:r>
              <w:rPr>
                <w:rFonts w:eastAsia="Times New Roman" w:cs="Arial" w:ascii="Arial" w:hAnsi="Arial"/>
                <w:b/>
                <w:bCs/>
                <w:color w:val="000000"/>
                <w:sz w:val="20"/>
                <w:szCs w:val="20"/>
                <w:lang w:eastAsia="sk-SK"/>
              </w:rPr>
              <w:t xml:space="preserve">Rámec bankových  záruk a úver </w:t>
            </w:r>
          </w:p>
        </w:tc>
        <w:tc>
          <w:tcPr>
            <w:tcW w:w="2397" w:type="dxa"/>
            <w:tcBorders>
              <w:top w:val="single" w:sz="18" w:space="0" w:color="000001"/>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14" w:type="dxa"/>
            </w:tcMar>
            <w:vAlign w:val="bottom"/>
          </w:tcPr>
          <w:p>
            <w:pPr>
              <w:pStyle w:val="Normal"/>
              <w:spacing w:lineRule="auto" w:line="240" w:before="0" w:after="0"/>
              <w:ind w:left="142" w:right="0" w:hanging="0"/>
              <w:rPr>
                <w:rFonts w:eastAsia="Times New Roman" w:cs="Arial" w:ascii="Arial" w:hAnsi="Arial"/>
                <w:b/>
                <w:bCs/>
                <w:color w:val="000000"/>
                <w:sz w:val="22"/>
                <w:szCs w:val="22"/>
                <w:lang w:eastAsia="sk-SK"/>
              </w:rPr>
            </w:pPr>
            <w:r>
              <w:rPr>
                <w:rFonts w:eastAsia="Times New Roman" w:cs="Arial"/>
                <w:b/>
                <w:bCs/>
                <w:color w:val="000000"/>
                <w:sz w:val="22"/>
                <w:szCs w:val="22"/>
                <w:lang w:eastAsia="sk-SK"/>
              </w:rPr>
              <w:t xml:space="preserve">  </w:t>
            </w:r>
            <w:r>
              <w:rPr>
                <w:rFonts w:eastAsia="Times New Roman" w:cs="Arial"/>
                <w:b/>
                <w:bCs/>
                <w:color w:val="000000"/>
                <w:sz w:val="22"/>
                <w:szCs w:val="22"/>
                <w:lang w:eastAsia="sk-SK"/>
              </w:rPr>
              <w:t>1 030 000 pohľadávky</w:t>
            </w:r>
            <w:r>
              <w:rPr>
                <w:rFonts w:eastAsia="Times New Roman" w:cs="Arial" w:ascii="Arial" w:hAnsi="Arial"/>
                <w:b/>
                <w:bCs/>
                <w:color w:val="000000"/>
                <w:sz w:val="22"/>
                <w:szCs w:val="22"/>
                <w:lang w:eastAsia="sk-SK"/>
              </w:rPr>
              <w:t xml:space="preserve">  </w:t>
            </w:r>
          </w:p>
        </w:tc>
        <w:tc>
          <w:tcPr>
            <w:tcW w:w="2171" w:type="dxa"/>
            <w:tcBorders>
              <w:top w:val="single" w:sz="18" w:space="0" w:color="000001"/>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center"/>
              <w:rPr>
                <w:rFonts w:eastAsia="Times New Roman" w:cs="Arial" w:ascii="Arial" w:hAnsi="Arial"/>
                <w:color w:val="000000"/>
                <w:sz w:val="20"/>
                <w:szCs w:val="20"/>
                <w:lang w:eastAsia="sk-SK"/>
              </w:rPr>
            </w:pPr>
            <w:r>
              <w:rPr>
                <w:rFonts w:eastAsia="Times New Roman" w:cs="Arial" w:ascii="Arial" w:hAnsi="Arial"/>
                <w:color w:val="000000"/>
                <w:sz w:val="20"/>
                <w:szCs w:val="20"/>
                <w:lang w:eastAsia="sk-SK"/>
              </w:rPr>
              <w:t>Bianko zmenky</w:t>
            </w:r>
          </w:p>
        </w:tc>
      </w:tr>
      <w:tr>
        <w:trPr>
          <w:trHeight w:val="330" w:hRule="atLeast"/>
          <w:cantSplit w:val="false"/>
        </w:trPr>
        <w:tc>
          <w:tcPr>
            <w:tcW w:w="4773"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Arial" w:ascii="Arial" w:hAnsi="Arial"/>
                <w:b/>
                <w:bCs/>
                <w:color w:val="000000"/>
                <w:sz w:val="20"/>
                <w:szCs w:val="20"/>
                <w:lang w:eastAsia="sk-SK"/>
              </w:rPr>
            </w:pPr>
            <w:r>
              <w:rPr>
                <w:rFonts w:eastAsia="Times New Roman" w:cs="Arial" w:ascii="Arial" w:hAnsi="Arial"/>
                <w:b/>
                <w:bCs/>
                <w:color w:val="000000"/>
                <w:sz w:val="20"/>
                <w:szCs w:val="20"/>
                <w:lang w:eastAsia="sk-SK"/>
              </w:rPr>
              <w:t> </w:t>
            </w:r>
          </w:p>
        </w:tc>
        <w:tc>
          <w:tcPr>
            <w:tcW w:w="2397" w:type="dxa"/>
            <w:tcBorders>
              <w:top w:val="single" w:sz="4" w:space="0" w:color="00000A"/>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14" w:type="dxa"/>
            </w:tcMar>
            <w:vAlign w:val="bottom"/>
          </w:tcPr>
          <w:p>
            <w:pPr>
              <w:pStyle w:val="Normal"/>
              <w:spacing w:lineRule="auto" w:line="240" w:before="0" w:after="0"/>
              <w:ind w:left="142" w:right="0" w:hanging="0"/>
              <w:jc w:val="right"/>
              <w:rPr>
                <w:rFonts w:cs="Arial" w:ascii="Arial" w:hAnsi="Arial"/>
                <w:color w:val="000000"/>
                <w:sz w:val="20"/>
                <w:szCs w:val="20"/>
              </w:rPr>
            </w:pPr>
            <w:r>
              <w:rPr>
                <w:rFonts w:cs="Arial" w:ascii="Arial" w:hAnsi="Arial"/>
                <w:color w:val="000000"/>
                <w:sz w:val="20"/>
                <w:szCs w:val="20"/>
              </w:rPr>
            </w:r>
          </w:p>
        </w:tc>
        <w:tc>
          <w:tcPr>
            <w:tcW w:w="2171" w:type="dxa"/>
            <w:tcBorders>
              <w:top w:val="single" w:sz="4" w:space="0" w:color="00000A"/>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center"/>
              <w:rPr>
                <w:rFonts w:eastAsia="Times New Roman" w:cs="Arial" w:ascii="Arial" w:hAnsi="Arial"/>
                <w:color w:val="000000"/>
                <w:sz w:val="20"/>
                <w:szCs w:val="20"/>
                <w:lang w:eastAsia="sk-SK"/>
              </w:rPr>
            </w:pPr>
            <w:r>
              <w:rPr>
                <w:rFonts w:eastAsia="Times New Roman" w:cs="Arial" w:ascii="Arial" w:hAnsi="Arial"/>
                <w:color w:val="000000"/>
                <w:sz w:val="20"/>
                <w:szCs w:val="20"/>
                <w:lang w:eastAsia="sk-SK"/>
              </w:rPr>
              <w:t>Ručiteľská listina</w:t>
            </w:r>
          </w:p>
        </w:tc>
      </w:tr>
      <w:tr>
        <w:trPr>
          <w:trHeight w:val="330" w:hRule="atLeast"/>
          <w:cantSplit w:val="false"/>
        </w:trPr>
        <w:tc>
          <w:tcPr>
            <w:tcW w:w="4773"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Arial" w:ascii="Arial" w:hAnsi="Arial"/>
                <w:b/>
                <w:bCs/>
                <w:color w:val="000000"/>
                <w:sz w:val="20"/>
                <w:szCs w:val="20"/>
                <w:lang w:eastAsia="sk-SK"/>
              </w:rPr>
            </w:pPr>
            <w:r>
              <w:rPr>
                <w:rFonts w:eastAsia="Times New Roman" w:cs="Arial" w:ascii="Arial" w:hAnsi="Arial"/>
                <w:b/>
                <w:bCs/>
                <w:color w:val="000000"/>
                <w:sz w:val="20"/>
                <w:szCs w:val="20"/>
                <w:lang w:eastAsia="sk-SK"/>
              </w:rPr>
              <w:t> </w:t>
            </w:r>
          </w:p>
        </w:tc>
        <w:tc>
          <w:tcPr>
            <w:tcW w:w="2397" w:type="dxa"/>
            <w:tcBorders>
              <w:top w:val="single" w:sz="4" w:space="0" w:color="00000A"/>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14" w:type="dxa"/>
            </w:tcMar>
            <w:vAlign w:val="bottom"/>
          </w:tcPr>
          <w:p>
            <w:pPr>
              <w:pStyle w:val="Normal"/>
              <w:spacing w:lineRule="auto" w:line="240" w:before="0" w:after="0"/>
              <w:ind w:left="142" w:right="0" w:hanging="0"/>
              <w:jc w:val="right"/>
              <w:rPr>
                <w:rFonts w:eastAsia="Times New Roman" w:cs="Arial" w:ascii="Arial" w:hAnsi="Arial"/>
                <w:b/>
                <w:bCs/>
                <w:color w:val="000000"/>
                <w:sz w:val="20"/>
                <w:szCs w:val="20"/>
                <w:lang w:eastAsia="sk-SK"/>
              </w:rPr>
            </w:pPr>
            <w:r>
              <w:rPr>
                <w:rFonts w:eastAsia="Times New Roman" w:cs="Arial" w:ascii="Arial" w:hAnsi="Arial"/>
                <w:b/>
                <w:bCs/>
                <w:color w:val="000000"/>
                <w:sz w:val="20"/>
                <w:szCs w:val="20"/>
                <w:lang w:eastAsia="sk-SK"/>
              </w:rPr>
              <w:t> </w:t>
            </w:r>
          </w:p>
        </w:tc>
        <w:tc>
          <w:tcPr>
            <w:tcW w:w="2171" w:type="dxa"/>
            <w:tcBorders>
              <w:top w:val="single" w:sz="4" w:space="0" w:color="00000A"/>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Arial" w:ascii="Arial" w:hAnsi="Arial"/>
                <w:color w:val="000000"/>
                <w:sz w:val="20"/>
                <w:szCs w:val="20"/>
                <w:lang w:eastAsia="sk-SK"/>
              </w:rPr>
            </w:pPr>
            <w:r>
              <w:rPr>
                <w:rFonts w:eastAsia="Times New Roman" w:cs="Arial" w:ascii="Arial" w:hAnsi="Arial"/>
                <w:color w:val="000000"/>
                <w:sz w:val="20"/>
                <w:szCs w:val="20"/>
                <w:lang w:eastAsia="sk-SK"/>
              </w:rPr>
              <w:t> </w:t>
            </w:r>
          </w:p>
        </w:tc>
      </w:tr>
      <w:tr>
        <w:trPr>
          <w:trHeight w:val="330" w:hRule="atLeast"/>
          <w:cantSplit w:val="false"/>
        </w:trPr>
        <w:tc>
          <w:tcPr>
            <w:tcW w:w="4773"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Arial" w:ascii="Arial" w:hAnsi="Arial"/>
                <w:b/>
                <w:bCs/>
                <w:color w:val="2F75B5"/>
                <w:lang w:eastAsia="sk-SK"/>
              </w:rPr>
            </w:pPr>
            <w:r>
              <w:rPr>
                <w:rFonts w:eastAsia="Times New Roman" w:cs="Arial" w:ascii="Arial" w:hAnsi="Arial"/>
                <w:b/>
                <w:bCs/>
                <w:color w:val="2F75B5"/>
                <w:lang w:eastAsia="sk-SK"/>
              </w:rPr>
              <w:t> </w:t>
            </w:r>
          </w:p>
        </w:tc>
        <w:tc>
          <w:tcPr>
            <w:tcW w:w="2397" w:type="dxa"/>
            <w:tcBorders>
              <w:top w:val="single" w:sz="4" w:space="0" w:color="00000A"/>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14" w:type="dxa"/>
            </w:tcMar>
            <w:vAlign w:val="bottom"/>
          </w:tcPr>
          <w:p>
            <w:pPr>
              <w:pStyle w:val="Normal"/>
              <w:spacing w:lineRule="auto" w:line="240" w:before="0" w:after="0"/>
              <w:ind w:left="142" w:right="0" w:hanging="0"/>
              <w:jc w:val="right"/>
              <w:rPr>
                <w:rFonts w:eastAsia="Times New Roman" w:cs="Arial" w:ascii="Arial" w:hAnsi="Arial"/>
                <w:b/>
                <w:bCs/>
                <w:color w:val="2F75B5"/>
                <w:lang w:eastAsia="sk-SK"/>
              </w:rPr>
            </w:pPr>
            <w:r>
              <w:rPr>
                <w:rFonts w:eastAsia="Times New Roman" w:cs="Arial" w:ascii="Arial" w:hAnsi="Arial"/>
                <w:b/>
                <w:bCs/>
                <w:color w:val="2F75B5"/>
                <w:lang w:eastAsia="sk-SK"/>
              </w:rPr>
              <w:t> </w:t>
            </w:r>
          </w:p>
        </w:tc>
        <w:tc>
          <w:tcPr>
            <w:tcW w:w="2171" w:type="dxa"/>
            <w:tcBorders>
              <w:top w:val="single" w:sz="4" w:space="0" w:color="00000A"/>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Arial" w:ascii="Arial" w:hAnsi="Arial"/>
                <w:color w:val="2F75B5"/>
                <w:lang w:eastAsia="sk-SK"/>
              </w:rPr>
            </w:pPr>
            <w:r>
              <w:rPr>
                <w:rFonts w:eastAsia="Times New Roman" w:cs="Arial" w:ascii="Arial" w:hAnsi="Arial"/>
                <w:color w:val="2F75B5"/>
                <w:lang w:eastAsia="sk-SK"/>
              </w:rPr>
              <w:t> </w:t>
            </w:r>
          </w:p>
        </w:tc>
      </w:tr>
      <w:tr>
        <w:trPr>
          <w:trHeight w:val="330" w:hRule="atLeast"/>
          <w:cantSplit w:val="false"/>
        </w:trPr>
        <w:tc>
          <w:tcPr>
            <w:tcW w:w="4773" w:type="dxa"/>
            <w:tcBorders>
              <w:top w:val="nil"/>
              <w:left w:val="single" w:sz="18" w:space="0" w:color="000001"/>
              <w:bottom w:val="single" w:sz="18" w:space="0" w:color="000001"/>
              <w:insideH w:val="single" w:sz="18" w:space="0" w:color="000001"/>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Arial" w:ascii="Arial" w:hAnsi="Arial"/>
                <w:b/>
                <w:bCs/>
                <w:color w:val="2F75B5"/>
                <w:lang w:eastAsia="sk-SK"/>
              </w:rPr>
            </w:pPr>
            <w:r>
              <w:rPr>
                <w:rFonts w:eastAsia="Times New Roman" w:cs="Arial" w:ascii="Arial" w:hAnsi="Arial"/>
                <w:b/>
                <w:bCs/>
                <w:color w:val="2F75B5"/>
                <w:lang w:eastAsia="sk-SK"/>
              </w:rPr>
              <w:t> </w:t>
            </w:r>
          </w:p>
        </w:tc>
        <w:tc>
          <w:tcPr>
            <w:tcW w:w="2397" w:type="dxa"/>
            <w:tcBorders>
              <w:top w:val="single" w:sz="4" w:space="0" w:color="00000A"/>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14" w:type="dxa"/>
            </w:tcMar>
            <w:vAlign w:val="bottom"/>
          </w:tcPr>
          <w:p>
            <w:pPr>
              <w:pStyle w:val="Normal"/>
              <w:spacing w:lineRule="auto" w:line="240" w:before="0" w:after="0"/>
              <w:ind w:left="142" w:right="0" w:hanging="0"/>
              <w:jc w:val="right"/>
              <w:rPr>
                <w:rFonts w:eastAsia="Times New Roman" w:cs="Arial" w:ascii="Arial" w:hAnsi="Arial"/>
                <w:b/>
                <w:bCs/>
                <w:color w:val="2F75B5"/>
                <w:lang w:eastAsia="sk-SK"/>
              </w:rPr>
            </w:pPr>
            <w:r>
              <w:rPr>
                <w:rFonts w:eastAsia="Times New Roman" w:cs="Arial" w:ascii="Arial" w:hAnsi="Arial"/>
                <w:b/>
                <w:bCs/>
                <w:color w:val="2F75B5"/>
                <w:lang w:eastAsia="sk-SK"/>
              </w:rPr>
              <w:t> </w:t>
            </w:r>
          </w:p>
        </w:tc>
        <w:tc>
          <w:tcPr>
            <w:tcW w:w="2171" w:type="dxa"/>
            <w:tcBorders>
              <w:top w:val="nil"/>
              <w:left w:val="single" w:sz="12" w:space="0" w:color="000001"/>
              <w:bottom w:val="single" w:sz="18" w:space="0" w:color="000001"/>
              <w:insideH w:val="single" w:sz="1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jc w:val="right"/>
              <w:rPr/>
            </w:pPr>
            <w:r>
              <w:rPr/>
            </w:r>
          </w:p>
        </w:tc>
      </w:tr>
    </w:tbl>
    <w:p>
      <w:pPr>
        <w:pStyle w:val="Normal"/>
        <w:spacing w:lineRule="auto" w:line="240"/>
        <w:jc w:val="both"/>
        <w:rPr/>
      </w:pPr>
      <w:r>
        <w:rPr/>
      </w:r>
    </w:p>
    <w:p>
      <w:pPr>
        <w:pStyle w:val="Normal"/>
        <w:spacing w:lineRule="auto" w:line="240"/>
        <w:jc w:val="both"/>
        <w:rPr>
          <w:rFonts w:eastAsia="MS Gothic" w:cs="Arial" w:ascii="Arial" w:hAnsi="Arial"/>
          <w:sz w:val="20"/>
          <w:szCs w:val="20"/>
        </w:rPr>
      </w:pPr>
      <w:r>
        <w:rPr>
          <w:rFonts w:eastAsia="MS Gothic" w:cs="Arial" w:ascii="Arial" w:hAnsi="Arial"/>
          <w:sz w:val="20"/>
          <w:szCs w:val="20"/>
        </w:rPr>
        <w:t>Dôležité informácie o záväzkoch zabezpečených záložným právom alebo inou formou zabezpečenia:</w:t>
      </w:r>
    </w:p>
    <w:p>
      <w:pPr>
        <w:pStyle w:val="Normal"/>
        <w:spacing w:lineRule="auto" w:line="240"/>
        <w:jc w:val="both"/>
        <w:rPr>
          <w:rFonts w:eastAsia="MS Gothic" w:cs="Arial" w:ascii="Arial" w:hAnsi="Arial"/>
          <w:sz w:val="20"/>
          <w:szCs w:val="20"/>
        </w:rPr>
      </w:pPr>
      <w:r>
        <w:rPr>
          <w:rFonts w:eastAsia="MS Gothic" w:cs="Arial" w:ascii="Arial" w:hAnsi="Arial"/>
          <w:sz w:val="20"/>
          <w:szCs w:val="20"/>
        </w:rPr>
        <w:t>Spoločnosť má na základe zmluvy o financovaní s VÚB zabezpečené záväzky voči VÚB do výšky 1 030 tis.€ formou zriadenia  záložného práva na pohľadávky - z toho na bankové záruky 830 tis.€ a na kontokorentný úver do výšky 200 tis.€. Okrem toho sú tieto záväzky zabezpečené záložným právom na nehnuteľnosť na základe ručiteľskej listiny na budovy a pozemky vo vlastníctve spoločníka, ako pristupujúceho dlžníka a bianko zmenkami.</w:t>
      </w:r>
    </w:p>
    <w:p>
      <w:pPr>
        <w:pStyle w:val="Normal"/>
        <w:spacing w:lineRule="auto" w:line="240"/>
        <w:ind w:left="142" w:right="0" w:hanging="0"/>
        <w:jc w:val="both"/>
        <w:rPr>
          <w:rFonts w:eastAsia="MS Gothic" w:cs="Arial" w:ascii="Arial" w:hAnsi="Arial"/>
          <w:b/>
        </w:rPr>
      </w:pPr>
      <w:r>
        <w:rPr>
          <w:rFonts w:eastAsia="MS Gothic" w:cs="Arial" w:ascii="Arial" w:hAnsi="Arial"/>
          <w:b/>
        </w:rPr>
      </w:r>
    </w:p>
    <w:p>
      <w:pPr>
        <w:pStyle w:val="Normal"/>
        <w:spacing w:lineRule="auto" w:line="240"/>
        <w:ind w:left="142" w:right="0" w:hanging="0"/>
        <w:jc w:val="both"/>
        <w:rPr>
          <w:rFonts w:eastAsia="MS Gothic" w:cs="Arial" w:ascii="Arial" w:hAnsi="Arial"/>
          <w:b/>
        </w:rPr>
      </w:pPr>
      <w:r>
        <w:rPr>
          <w:rFonts w:eastAsia="MS Gothic" w:cs="Arial" w:ascii="Arial" w:hAnsi="Arial"/>
          <w:b/>
        </w:rPr>
        <w:t>IV. 4   Informácia o vlastných akciách</w:t>
      </w:r>
    </w:p>
    <w:p>
      <w:pPr>
        <w:pStyle w:val="Normal"/>
        <w:spacing w:lineRule="auto" w:line="240"/>
        <w:ind w:left="142" w:right="0" w:hanging="0"/>
        <w:jc w:val="both"/>
        <w:rPr>
          <w:rFonts w:eastAsia="MS Gothic" w:cs="Arial" w:ascii="Arial" w:hAnsi="Arial"/>
          <w:b/>
          <w:sz w:val="20"/>
          <w:szCs w:val="20"/>
        </w:rPr>
      </w:pPr>
      <w:r>
        <w:rPr>
          <w:rFonts w:eastAsia="MS Gothic" w:cs="Arial" w:ascii="Arial" w:hAnsi="Arial"/>
          <w:b/>
        </w:rPr>
        <w:t xml:space="preserve">     </w:t>
      </w:r>
      <w:r>
        <w:rPr>
          <w:rFonts w:eastAsia="MS Gothic" w:cs="Arial" w:ascii="Arial" w:hAnsi="Arial"/>
          <w:sz w:val="20"/>
          <w:szCs w:val="20"/>
        </w:rPr>
        <w:t>Účtovná jednotka neúčtovala v roku 2017 o vlastných akciách.</w:t>
      </w:r>
      <w:r>
        <w:rPr>
          <w:rFonts w:eastAsia="MS Gothic" w:cs="Arial" w:ascii="Arial" w:hAnsi="Arial"/>
          <w:b/>
          <w:sz w:val="20"/>
          <w:szCs w:val="20"/>
        </w:rPr>
        <w:t xml:space="preserve">  </w:t>
      </w:r>
    </w:p>
    <w:p>
      <w:pPr>
        <w:pStyle w:val="Normal"/>
        <w:spacing w:lineRule="auto" w:line="240"/>
        <w:ind w:left="142" w:right="0" w:hanging="0"/>
        <w:jc w:val="both"/>
        <w:rPr>
          <w:rFonts w:eastAsia="MS Gothic" w:cs="Arial" w:ascii="Arial" w:hAnsi="Arial"/>
          <w:b/>
        </w:rPr>
      </w:pPr>
      <w:r>
        <w:rPr>
          <w:rFonts w:eastAsia="MS Gothic" w:cs="Arial" w:ascii="Arial" w:hAnsi="Arial"/>
          <w:b/>
        </w:rPr>
      </w:r>
    </w:p>
    <w:p>
      <w:pPr>
        <w:pStyle w:val="Normal"/>
        <w:spacing w:lineRule="auto" w:line="240"/>
        <w:ind w:left="142" w:right="0" w:hanging="0"/>
        <w:jc w:val="both"/>
        <w:rPr>
          <w:rFonts w:eastAsia="MS Gothic" w:cs="Arial" w:ascii="Arial" w:hAnsi="Arial"/>
          <w:b/>
        </w:rPr>
      </w:pPr>
      <w:r>
        <w:rPr>
          <w:rFonts w:eastAsia="MS Gothic" w:cs="Arial" w:ascii="Arial" w:hAnsi="Arial"/>
          <w:b/>
        </w:rPr>
        <w:t>IV. 5</w:t>
        <w:tab/>
        <w:t>Informácie o výnosoch a nákladoch, ktoré majú výnimočný rozsah alebo výskyt</w:t>
      </w:r>
    </w:p>
    <w:p>
      <w:pPr>
        <w:pStyle w:val="Normal"/>
        <w:spacing w:lineRule="auto" w:line="240"/>
        <w:ind w:left="142" w:right="0" w:hanging="0"/>
        <w:jc w:val="both"/>
        <w:rPr/>
      </w:pPr>
      <w:r>
        <w:rPr/>
      </w:r>
    </w:p>
    <w:tbl>
      <w:tblPr>
        <w:jc w:val="left"/>
        <w:tblInd w:w="0" w:type="dxa"/>
        <w:tblBorders>
          <w:top w:val="nil"/>
          <w:left w:val="nil"/>
          <w:bottom w:val="nil"/>
          <w:insideH w:val="nil"/>
          <w:right w:val="nil"/>
          <w:insideV w:val="nil"/>
        </w:tblBorders>
        <w:tblCellMar>
          <w:top w:w="0" w:type="dxa"/>
          <w:left w:w="70" w:type="dxa"/>
          <w:bottom w:w="0" w:type="dxa"/>
          <w:right w:w="70" w:type="dxa"/>
        </w:tblCellMar>
      </w:tblPr>
      <w:tblGrid>
        <w:gridCol w:w="1947"/>
        <w:gridCol w:w="1060"/>
        <w:gridCol w:w="769"/>
        <w:gridCol w:w="16"/>
        <w:gridCol w:w="1389"/>
        <w:gridCol w:w="1003"/>
        <w:gridCol w:w="78"/>
        <w:gridCol w:w="146"/>
        <w:gridCol w:w="1768"/>
        <w:gridCol w:w="960"/>
        <w:gridCol w:w="258"/>
      </w:tblGrid>
      <w:tr>
        <w:trPr>
          <w:trHeight w:val="330" w:hRule="atLeast"/>
          <w:cantSplit w:val="false"/>
        </w:trPr>
        <w:tc>
          <w:tcPr>
            <w:tcW w:w="1947" w:type="dxa"/>
            <w:tcBorders>
              <w:top w:val="nil"/>
              <w:left w:val="nil"/>
              <w:bottom w:val="nil"/>
              <w:insideH w:val="nil"/>
              <w:right w:val="nil"/>
              <w:insideV w:val="nil"/>
            </w:tcBorders>
            <w:shd w:fill="FFFFFF" w:val="clear"/>
            <w:vAlign w:val="center"/>
          </w:tcPr>
          <w:p>
            <w:pPr>
              <w:pStyle w:val="Normal"/>
              <w:spacing w:lineRule="auto" w:line="240" w:before="0" w:after="0"/>
              <w:ind w:left="142" w:right="0" w:hanging="0"/>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Tabuľka č. 1</w:t>
            </w:r>
          </w:p>
        </w:tc>
        <w:tc>
          <w:tcPr>
            <w:tcW w:w="1060" w:type="dxa"/>
            <w:tcBorders>
              <w:top w:val="nil"/>
              <w:left w:val="nil"/>
              <w:bottom w:val="nil"/>
              <w:insideH w:val="nil"/>
              <w:right w:val="nil"/>
              <w:insideV w:val="nil"/>
            </w:tcBorders>
            <w:shd w:fill="FFFFFF" w:val="clear"/>
            <w:vAlign w:val="center"/>
          </w:tcPr>
          <w:p>
            <w:pPr>
              <w:pStyle w:val="Normal"/>
              <w:spacing w:lineRule="auto" w:line="240" w:before="0" w:after="0"/>
              <w:ind w:left="142" w:right="0" w:hanging="0"/>
              <w:rPr>
                <w:rFonts w:eastAsia="Times New Roman" w:cs="Arial" w:ascii="Arial" w:hAnsi="Arial"/>
                <w:color w:val="000000"/>
                <w:lang w:eastAsia="sk-SK"/>
              </w:rPr>
            </w:pPr>
            <w:r>
              <w:rPr>
                <w:rFonts w:eastAsia="Times New Roman" w:cs="Arial" w:ascii="Arial" w:hAnsi="Arial"/>
                <w:color w:val="000000"/>
                <w:lang w:eastAsia="sk-SK"/>
              </w:rPr>
            </w:r>
          </w:p>
        </w:tc>
        <w:tc>
          <w:tcPr>
            <w:tcW w:w="769" w:type="dxa"/>
            <w:tcBorders>
              <w:top w:val="nil"/>
              <w:left w:val="nil"/>
              <w:bottom w:val="nil"/>
              <w:insideH w:val="nil"/>
              <w:right w:val="nil"/>
              <w:insideV w:val="nil"/>
            </w:tcBorders>
            <w:shd w:fill="FFFFFF" w:val="clear"/>
            <w:vAlign w:val="center"/>
          </w:tcPr>
          <w:p>
            <w:pPr>
              <w:pStyle w:val="Normal"/>
              <w:spacing w:lineRule="auto" w:line="240" w:before="0" w:after="0"/>
              <w:ind w:left="142" w:right="0" w:hanging="0"/>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1405" w:type="dxa"/>
            <w:gridSpan w:val="2"/>
            <w:tcBorders>
              <w:top w:val="nil"/>
              <w:left w:val="nil"/>
              <w:bottom w:val="nil"/>
              <w:insideH w:val="nil"/>
              <w:right w:val="nil"/>
              <w:insideV w:val="nil"/>
            </w:tcBorders>
            <w:shd w:fill="FFFFFF" w:val="clear"/>
          </w:tcPr>
          <w:p>
            <w:pPr>
              <w:pStyle w:val="Normal"/>
              <w:spacing w:lineRule="auto" w:line="240" w:before="0" w:after="0"/>
              <w:ind w:left="142" w:right="0" w:hanging="0"/>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1081" w:type="dxa"/>
            <w:gridSpan w:val="2"/>
            <w:tcBorders>
              <w:top w:val="nil"/>
              <w:left w:val="nil"/>
              <w:bottom w:val="nil"/>
              <w:insideH w:val="nil"/>
              <w:right w:val="nil"/>
              <w:insideV w:val="nil"/>
            </w:tcBorders>
            <w:shd w:fill="FFFFFF" w:val="clear"/>
          </w:tcPr>
          <w:p>
            <w:pPr>
              <w:pStyle w:val="Normal"/>
              <w:spacing w:lineRule="auto" w:line="240" w:before="0" w:after="0"/>
              <w:ind w:left="142" w:right="0" w:hanging="0"/>
              <w:jc w:val="center"/>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146" w:type="dxa"/>
            <w:tcBorders>
              <w:top w:val="nil"/>
              <w:left w:val="nil"/>
              <w:bottom w:val="nil"/>
              <w:insideH w:val="nil"/>
              <w:right w:val="nil"/>
              <w:insideV w:val="nil"/>
            </w:tcBorders>
            <w:shd w:fill="FFFFFF" w:val="clear"/>
          </w:tcPr>
          <w:p>
            <w:pPr>
              <w:pStyle w:val="Normal"/>
              <w:spacing w:lineRule="auto" w:line="240" w:before="0" w:after="0"/>
              <w:ind w:left="142" w:right="0" w:hanging="0"/>
              <w:jc w:val="center"/>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1768" w:type="dxa"/>
            <w:tcBorders>
              <w:top w:val="nil"/>
              <w:left w:val="nil"/>
              <w:bottom w:val="nil"/>
              <w:insideH w:val="nil"/>
              <w:right w:val="nil"/>
              <w:insideV w:val="nil"/>
            </w:tcBorders>
            <w:shd w:fill="FFFFFF" w:val="clear"/>
          </w:tcPr>
          <w:p>
            <w:pPr>
              <w:pStyle w:val="Normal"/>
              <w:spacing w:lineRule="auto" w:line="240" w:before="0" w:after="0"/>
              <w:ind w:left="142" w:right="0" w:hanging="0"/>
              <w:jc w:val="center"/>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960" w:type="dxa"/>
            <w:tcBorders>
              <w:top w:val="nil"/>
              <w:left w:val="nil"/>
              <w:bottom w:val="nil"/>
              <w:insideH w:val="nil"/>
              <w:right w:val="nil"/>
              <w:insideV w:val="nil"/>
            </w:tcBorders>
            <w:shd w:fill="FFFFFF" w:val="clear"/>
          </w:tcPr>
          <w:p>
            <w:pPr>
              <w:pStyle w:val="Normal"/>
              <w:spacing w:lineRule="auto" w:line="240" w:before="0" w:after="0"/>
              <w:ind w:left="142" w:right="0" w:hanging="0"/>
              <w:jc w:val="center"/>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258" w:type="dxa"/>
            <w:tcBorders>
              <w:top w:val="nil"/>
              <w:left w:val="nil"/>
              <w:bottom w:val="nil"/>
              <w:insideH w:val="nil"/>
              <w:right w:val="nil"/>
              <w:insideV w:val="nil"/>
            </w:tcBorders>
            <w:shd w:fill="FFFFFF" w:val="clear"/>
          </w:tcPr>
          <w:p>
            <w:pPr>
              <w:pStyle w:val="Normal"/>
              <w:spacing w:lineRule="auto" w:line="240" w:before="0" w:after="0"/>
              <w:ind w:left="142" w:right="0" w:hanging="0"/>
              <w:jc w:val="center"/>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r>
      <w:tr>
        <w:trPr>
          <w:trHeight w:val="975" w:hRule="atLeast"/>
          <w:cantSplit w:val="false"/>
        </w:trPr>
        <w:tc>
          <w:tcPr>
            <w:tcW w:w="3792" w:type="dxa"/>
            <w:gridSpan w:val="4"/>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Výnosy, ktoré majú výnimočný rozsah alebo výskyt-</w:t>
            </w:r>
          </w:p>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tržby z predaja tovaru</w:t>
            </w:r>
          </w:p>
        </w:tc>
        <w:tc>
          <w:tcPr>
            <w:tcW w:w="2392" w:type="dxa"/>
            <w:gridSpan w:val="2"/>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55"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Bežné účtovné obdobie</w:t>
            </w:r>
          </w:p>
        </w:tc>
        <w:tc>
          <w:tcPr>
            <w:tcW w:w="3210" w:type="dxa"/>
            <w:gridSpan w:val="5"/>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55"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Bezprostredne predchádzajúce účtovné obdobie</w:t>
            </w:r>
          </w:p>
        </w:tc>
      </w:tr>
      <w:tr>
        <w:trPr>
          <w:trHeight w:val="330" w:hRule="atLeast"/>
          <w:cantSplit w:val="false"/>
        </w:trPr>
        <w:tc>
          <w:tcPr>
            <w:tcW w:w="3792" w:type="dxa"/>
            <w:gridSpan w:val="4"/>
            <w:tcBorders>
              <w:top w:val="nil"/>
              <w:left w:val="single" w:sz="18" w:space="0" w:color="00000A"/>
              <w:bottom w:val="single" w:sz="4" w:space="0" w:color="00000A"/>
              <w:insideH w:val="single" w:sz="4"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 </w:t>
            </w:r>
            <w:r>
              <w:rPr>
                <w:rFonts w:eastAsia="Times New Roman" w:cs="Times New Roman" w:ascii="Times New Roman" w:hAnsi="Times New Roman"/>
                <w:color w:val="000000"/>
                <w:lang w:eastAsia="sk-SK"/>
              </w:rPr>
              <w:t>Predaj alkoholu -A</w:t>
            </w:r>
          </w:p>
        </w:tc>
        <w:tc>
          <w:tcPr>
            <w:tcW w:w="2392" w:type="dxa"/>
            <w:gridSpan w:val="2"/>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2 561 459</w:t>
            </w:r>
          </w:p>
        </w:tc>
        <w:tc>
          <w:tcPr>
            <w:tcW w:w="3210" w:type="dxa"/>
            <w:gridSpan w:val="5"/>
            <w:tcBorders>
              <w:top w:val="nil"/>
              <w:left w:val="single" w:sz="12" w:space="0" w:color="00000A"/>
              <w:bottom w:val="single" w:sz="4" w:space="0" w:color="00000A"/>
              <w:insideH w:val="single" w:sz="4" w:space="0" w:color="00000A"/>
              <w:right w:val="single" w:sz="18" w:space="0" w:color="00000A"/>
              <w:insideV w:val="single" w:sz="18" w:space="0" w:color="00000A"/>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 xml:space="preserve">3 194 325 </w:t>
            </w:r>
          </w:p>
        </w:tc>
      </w:tr>
      <w:tr>
        <w:trPr>
          <w:trHeight w:val="330" w:hRule="atLeast"/>
          <w:cantSplit w:val="false"/>
        </w:trPr>
        <w:tc>
          <w:tcPr>
            <w:tcW w:w="3792" w:type="dxa"/>
            <w:gridSpan w:val="4"/>
            <w:tcBorders>
              <w:top w:val="nil"/>
              <w:left w:val="single" w:sz="18" w:space="0" w:color="00000A"/>
              <w:bottom w:val="single" w:sz="4" w:space="0" w:color="00000A"/>
              <w:insideH w:val="single" w:sz="4"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 </w:t>
            </w:r>
            <w:r>
              <w:rPr>
                <w:rFonts w:eastAsia="Times New Roman" w:cs="Times New Roman" w:ascii="Times New Roman" w:hAnsi="Times New Roman"/>
                <w:color w:val="000000"/>
                <w:lang w:eastAsia="sk-SK"/>
              </w:rPr>
              <w:t>Predaj vína,cukroviniek a ost.tovaru B</w:t>
            </w:r>
          </w:p>
        </w:tc>
        <w:tc>
          <w:tcPr>
            <w:tcW w:w="2392" w:type="dxa"/>
            <w:gridSpan w:val="2"/>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275 736</w:t>
            </w:r>
          </w:p>
        </w:tc>
        <w:tc>
          <w:tcPr>
            <w:tcW w:w="3210" w:type="dxa"/>
            <w:gridSpan w:val="5"/>
            <w:tcBorders>
              <w:top w:val="nil"/>
              <w:left w:val="single" w:sz="12" w:space="0" w:color="00000A"/>
              <w:bottom w:val="single" w:sz="4" w:space="0" w:color="00000A"/>
              <w:insideH w:val="single" w:sz="4" w:space="0" w:color="00000A"/>
              <w:right w:val="single" w:sz="18" w:space="0" w:color="00000A"/>
              <w:insideV w:val="single" w:sz="18" w:space="0" w:color="00000A"/>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358 781 </w:t>
            </w:r>
          </w:p>
        </w:tc>
      </w:tr>
      <w:tr>
        <w:trPr>
          <w:trHeight w:val="330" w:hRule="atLeast"/>
          <w:cantSplit w:val="false"/>
        </w:trPr>
        <w:tc>
          <w:tcPr>
            <w:tcW w:w="3792" w:type="dxa"/>
            <w:gridSpan w:val="4"/>
            <w:tcBorders>
              <w:top w:val="nil"/>
              <w:left w:val="single" w:sz="18" w:space="0" w:color="00000A"/>
              <w:bottom w:val="single" w:sz="4" w:space="0" w:color="00000A"/>
              <w:insideH w:val="single" w:sz="4"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 </w:t>
            </w:r>
            <w:r>
              <w:rPr>
                <w:rFonts w:eastAsia="Times New Roman" w:cs="Times New Roman" w:ascii="Times New Roman" w:hAnsi="Times New Roman"/>
                <w:color w:val="000000"/>
                <w:lang w:eastAsia="sk-SK"/>
              </w:rPr>
              <w:t>Predaj cigariet a tabak.tovaru C</w:t>
            </w:r>
          </w:p>
        </w:tc>
        <w:tc>
          <w:tcPr>
            <w:tcW w:w="2392" w:type="dxa"/>
            <w:gridSpan w:val="2"/>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12 900 152</w:t>
            </w:r>
          </w:p>
        </w:tc>
        <w:tc>
          <w:tcPr>
            <w:tcW w:w="3210" w:type="dxa"/>
            <w:gridSpan w:val="5"/>
            <w:tcBorders>
              <w:top w:val="nil"/>
              <w:left w:val="single" w:sz="12" w:space="0" w:color="00000A"/>
              <w:bottom w:val="single" w:sz="4" w:space="0" w:color="00000A"/>
              <w:insideH w:val="single" w:sz="4" w:space="0" w:color="00000A"/>
              <w:right w:val="single" w:sz="18" w:space="0" w:color="00000A"/>
              <w:insideV w:val="single" w:sz="18" w:space="0" w:color="00000A"/>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13 611 670 </w:t>
            </w:r>
          </w:p>
        </w:tc>
      </w:tr>
      <w:tr>
        <w:trPr>
          <w:trHeight w:val="330" w:hRule="atLeast"/>
          <w:cantSplit w:val="false"/>
        </w:trPr>
        <w:tc>
          <w:tcPr>
            <w:tcW w:w="3792" w:type="dxa"/>
            <w:gridSpan w:val="4"/>
            <w:tcBorders>
              <w:top w:val="nil"/>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 </w:t>
            </w:r>
            <w:r>
              <w:rPr>
                <w:rFonts w:eastAsia="Times New Roman" w:cs="Times New Roman" w:ascii="Times New Roman" w:hAnsi="Times New Roman"/>
                <w:color w:val="000000"/>
                <w:lang w:eastAsia="sk-SK"/>
              </w:rPr>
              <w:t>Spolu</w:t>
            </w:r>
          </w:p>
        </w:tc>
        <w:tc>
          <w:tcPr>
            <w:tcW w:w="2392" w:type="dxa"/>
            <w:gridSpan w:val="2"/>
            <w:tcBorders>
              <w:top w:val="nil"/>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15 737 347</w:t>
            </w:r>
          </w:p>
        </w:tc>
        <w:tc>
          <w:tcPr>
            <w:tcW w:w="3210" w:type="dxa"/>
            <w:gridSpan w:val="5"/>
            <w:tcBorders>
              <w:top w:val="nil"/>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17 164 776 </w:t>
            </w:r>
          </w:p>
        </w:tc>
      </w:tr>
    </w:tbl>
    <w:p>
      <w:pPr>
        <w:pStyle w:val="Normal"/>
        <w:spacing w:lineRule="auto" w:line="240" w:before="240" w:after="160"/>
        <w:ind w:left="142" w:right="0" w:hanging="0"/>
        <w:jc w:val="both"/>
        <w:rPr>
          <w:rFonts w:eastAsia="MS Gothic" w:cs="Times New Roman" w:ascii="Times New Roman" w:hAnsi="Times New Roman"/>
          <w:b/>
          <w:sz w:val="24"/>
          <w:szCs w:val="24"/>
        </w:rPr>
      </w:pPr>
      <w:r>
        <w:rPr>
          <w:rFonts w:eastAsia="MS Gothic" w:cs="Times New Roman" w:ascii="Times New Roman" w:hAnsi="Times New Roman"/>
          <w:b/>
          <w:sz w:val="24"/>
          <w:szCs w:val="24"/>
        </w:rPr>
      </w:r>
    </w:p>
    <w:p>
      <w:pPr>
        <w:pStyle w:val="Normal"/>
        <w:spacing w:lineRule="auto" w:line="240" w:before="240" w:after="160"/>
        <w:ind w:left="142" w:right="0" w:hanging="0"/>
        <w:jc w:val="both"/>
        <w:rPr/>
      </w:pPr>
      <w:r>
        <w:rPr/>
      </w:r>
    </w:p>
    <w:p>
      <w:pPr>
        <w:pStyle w:val="Normal"/>
        <w:spacing w:lineRule="auto" w:line="240" w:before="240" w:after="160"/>
        <w:ind w:left="142" w:right="0" w:hanging="0"/>
        <w:jc w:val="both"/>
        <w:rPr>
          <w:rFonts w:eastAsia="MS Gothic" w:cs="Arial" w:ascii="Arial" w:hAnsi="Arial"/>
          <w:b/>
          <w:sz w:val="20"/>
          <w:szCs w:val="20"/>
        </w:rPr>
      </w:pPr>
      <w:r>
        <w:rPr>
          <w:rFonts w:eastAsia="MS Gothic" w:cs="Arial" w:ascii="Arial" w:hAnsi="Arial"/>
          <w:b/>
          <w:sz w:val="20"/>
          <w:szCs w:val="20"/>
        </w:rPr>
        <w:t>Popis ostatných významných výnosov:</w:t>
        <w:tab/>
        <w:tab/>
        <w:tab/>
        <w:t xml:space="preserve">   €</w:t>
        <w:tab/>
        <w:tab/>
        <w:tab/>
        <w:tab/>
        <w:tab/>
        <w:tab/>
        <w:tab/>
        <w:tab/>
        <w:tab/>
        <w:t>€</w:t>
      </w:r>
    </w:p>
    <w:p>
      <w:pPr>
        <w:pStyle w:val="Normal"/>
        <w:spacing w:lineRule="auto" w:line="240" w:before="240" w:after="160"/>
        <w:ind w:left="142" w:right="0" w:hanging="0"/>
        <w:jc w:val="both"/>
        <w:rPr>
          <w:rFonts w:eastAsia="MS Gothic" w:cs="Arial" w:ascii="Arial" w:hAnsi="Arial"/>
          <w:sz w:val="20"/>
          <w:szCs w:val="20"/>
        </w:rPr>
      </w:pPr>
      <w:r>
        <w:rPr>
          <w:rFonts w:eastAsia="MS Gothic" w:cs="Arial" w:ascii="Arial" w:hAnsi="Arial"/>
          <w:sz w:val="20"/>
          <w:szCs w:val="20"/>
        </w:rPr>
        <w:t>Aktivácia nákladov-vnútr.preprava</w:t>
        <w:tab/>
        <w:tab/>
        <w:tab/>
        <w:tab/>
        <w:tab/>
        <w:t xml:space="preserve"> 3 555</w:t>
        <w:tab/>
        <w:tab/>
        <w:tab/>
        <w:tab/>
        <w:tab/>
        <w:tab/>
        <w:tab/>
        <w:t xml:space="preserve">  3 558</w:t>
      </w:r>
    </w:p>
    <w:p>
      <w:pPr>
        <w:pStyle w:val="Normal"/>
        <w:spacing w:lineRule="auto" w:line="240" w:before="240" w:after="160"/>
        <w:ind w:left="142" w:right="0" w:hanging="0"/>
        <w:jc w:val="both"/>
        <w:rPr>
          <w:rFonts w:eastAsia="MS Gothic" w:cs="Arial" w:ascii="Arial" w:hAnsi="Arial"/>
          <w:sz w:val="20"/>
          <w:szCs w:val="20"/>
        </w:rPr>
      </w:pPr>
      <w:r>
        <w:rPr>
          <w:rFonts w:eastAsia="MS Gothic" w:cs="Arial" w:ascii="Arial" w:hAnsi="Arial"/>
          <w:sz w:val="20"/>
          <w:szCs w:val="20"/>
        </w:rPr>
        <w:t>Ost.prev.výnosy-letákové akcie</w:t>
        <w:tab/>
        <w:tab/>
        <w:tab/>
        <w:tab/>
        <w:t xml:space="preserve">       14 995</w:t>
        <w:tab/>
        <w:tab/>
        <w:tab/>
        <w:tab/>
        <w:tab/>
        <w:tab/>
        <w:t xml:space="preserve">  </w:t>
        <w:tab/>
        <w:t>13 325</w:t>
      </w:r>
    </w:p>
    <w:p>
      <w:pPr>
        <w:pStyle w:val="Normal"/>
        <w:spacing w:lineRule="auto" w:line="240" w:before="240" w:after="160"/>
        <w:ind w:left="142" w:right="0" w:hanging="0"/>
        <w:jc w:val="both"/>
        <w:rPr>
          <w:rFonts w:eastAsia="MS Gothic" w:cs="Arial" w:ascii="Arial" w:hAnsi="Arial"/>
          <w:sz w:val="20"/>
          <w:szCs w:val="20"/>
        </w:rPr>
      </w:pPr>
      <w:r>
        <w:rPr>
          <w:rFonts w:eastAsia="MS Gothic" w:cs="Arial" w:ascii="Arial" w:hAnsi="Arial"/>
          <w:sz w:val="20"/>
          <w:szCs w:val="20"/>
        </w:rPr>
        <w:t>Príspevok-dotácia z Úrad práceSVaR</w:t>
        <w:tab/>
        <w:tab/>
        <w:tab/>
        <w:tab/>
        <w:t xml:space="preserve">  7 511</w:t>
        <w:tab/>
        <w:tab/>
        <w:tab/>
        <w:tab/>
        <w:tab/>
        <w:tab/>
        <w:tab/>
        <w:t xml:space="preserve">  6 512</w:t>
      </w:r>
    </w:p>
    <w:p>
      <w:pPr>
        <w:pStyle w:val="Normal"/>
        <w:spacing w:lineRule="auto" w:line="240" w:before="240" w:after="160"/>
        <w:ind w:left="142" w:right="0" w:hanging="0"/>
        <w:jc w:val="both"/>
        <w:rPr>
          <w:rFonts w:eastAsia="MS Gothic" w:cs="Times New Roman" w:ascii="Times New Roman" w:hAnsi="Times New Roman"/>
          <w:b/>
          <w:sz w:val="24"/>
          <w:szCs w:val="24"/>
        </w:rPr>
      </w:pPr>
      <w:r>
        <w:rPr>
          <w:rFonts w:eastAsia="MS Gothic" w:cs="Arial" w:ascii="Arial" w:hAnsi="Arial"/>
          <w:sz w:val="20"/>
          <w:szCs w:val="20"/>
        </w:rPr>
        <w:t>Tržby z predaja DHM</w:t>
        <w:tab/>
        <w:tab/>
        <w:tab/>
        <w:tab/>
        <w:tab/>
        <w:tab/>
        <w:tab/>
        <w:tab/>
        <w:t>11 009</w:t>
        <w:tab/>
        <w:tab/>
        <w:tab/>
        <w:tab/>
        <w:tab/>
        <w:tab/>
        <w:t xml:space="preserve">         6 500</w:t>
      </w:r>
      <w:r>
        <w:rPr>
          <w:rFonts w:eastAsia="MS Gothic" w:cs="Times New Roman" w:ascii="Times New Roman" w:hAnsi="Times New Roman"/>
          <w:b/>
          <w:sz w:val="24"/>
          <w:szCs w:val="24"/>
        </w:rPr>
        <w:tab/>
        <w:tab/>
        <w:tab/>
        <w:tab/>
      </w:r>
    </w:p>
    <w:p>
      <w:pPr>
        <w:pStyle w:val="Normal"/>
        <w:spacing w:lineRule="auto" w:line="240" w:before="240" w:after="160"/>
        <w:ind w:left="142" w:right="0" w:hanging="0"/>
        <w:jc w:val="both"/>
        <w:rPr>
          <w:rFonts w:eastAsia="MS Gothic" w:cs="Times New Roman" w:ascii="Times New Roman" w:hAnsi="Times New Roman"/>
          <w:b/>
          <w:sz w:val="24"/>
          <w:szCs w:val="24"/>
        </w:rPr>
      </w:pPr>
      <w:r>
        <w:rPr>
          <w:rFonts w:eastAsia="MS Gothic" w:cs="Times New Roman" w:ascii="Times New Roman" w:hAnsi="Times New Roman"/>
          <w:b/>
          <w:sz w:val="24"/>
          <w:szCs w:val="24"/>
        </w:rPr>
        <w:t>Čistý obrat</w:t>
      </w:r>
    </w:p>
    <w:p>
      <w:pPr>
        <w:pStyle w:val="Normal"/>
        <w:spacing w:lineRule="auto" w:line="240" w:before="240" w:after="160"/>
        <w:ind w:left="142" w:right="0" w:hanging="0"/>
        <w:jc w:val="both"/>
        <w:rPr>
          <w:rFonts w:eastAsia="MS Gothic" w:cs="Times New Roman" w:ascii="Times New Roman" w:hAnsi="Times New Roman"/>
          <w:b/>
          <w:sz w:val="24"/>
          <w:szCs w:val="24"/>
        </w:rPr>
      </w:pPr>
      <w:r>
        <w:rPr>
          <w:rFonts w:eastAsia="MS Gothic" w:cs="Times New Roman" w:ascii="Times New Roman" w:hAnsi="Times New Roman"/>
          <w:b/>
          <w:sz w:val="24"/>
          <w:szCs w:val="24"/>
        </w:rPr>
        <w:t>Tabuľka č.2</w:t>
      </w:r>
    </w:p>
    <w:tbl>
      <w:tblPr>
        <w:jc w:val="left"/>
        <w:tblInd w:w="-67" w:type="dxa"/>
        <w:tbl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blBorders>
        <w:tblCellMar>
          <w:top w:w="0" w:type="dxa"/>
          <w:left w:w="-21" w:type="dxa"/>
          <w:bottom w:w="0" w:type="dxa"/>
          <w:right w:w="70" w:type="dxa"/>
        </w:tblCellMar>
      </w:tblPr>
      <w:tblGrid>
        <w:gridCol w:w="3791"/>
        <w:gridCol w:w="2408"/>
        <w:gridCol w:w="3222"/>
      </w:tblGrid>
      <w:tr>
        <w:trPr>
          <w:trHeight w:val="975" w:hRule="atLeast"/>
          <w:cantSplit w:val="false"/>
        </w:trPr>
        <w:tc>
          <w:tcPr>
            <w:tcW w:w="3791" w:type="dxa"/>
            <w:tcBorders>
              <w:top w:val="single" w:sz="18" w:space="0" w:color="00000A"/>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Názov položky</w:t>
            </w:r>
          </w:p>
        </w:tc>
        <w:tc>
          <w:tcPr>
            <w:tcW w:w="2408" w:type="dxa"/>
            <w:tcBorders>
              <w:top w:val="single" w:sz="18" w:space="0" w:color="00000A"/>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Bežné účtovné obdobie</w:t>
            </w:r>
          </w:p>
        </w:tc>
        <w:tc>
          <w:tcPr>
            <w:tcW w:w="3222" w:type="dxa"/>
            <w:tcBorders>
              <w:top w:val="single" w:sz="18" w:space="0" w:color="00000A"/>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Bezprostredne predchádzajúce účtovné obdobie</w:t>
            </w:r>
          </w:p>
        </w:tc>
      </w:tr>
      <w:tr>
        <w:trPr>
          <w:trHeight w:val="330" w:hRule="atLeast"/>
          <w:cantSplit w:val="false"/>
        </w:trPr>
        <w:tc>
          <w:tcPr>
            <w:tcW w:w="3791" w:type="dxa"/>
            <w:tcBorders>
              <w:top w:val="nil"/>
              <w:left w:val="single" w:sz="18" w:space="0" w:color="00000A"/>
              <w:bottom w:val="single" w:sz="4" w:space="0" w:color="00000A"/>
              <w:insideH w:val="single" w:sz="4"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Tržby z predaj služieb</w:t>
            </w:r>
          </w:p>
        </w:tc>
        <w:tc>
          <w:tcPr>
            <w:tcW w:w="2408"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16 778</w:t>
            </w:r>
          </w:p>
        </w:tc>
        <w:tc>
          <w:tcPr>
            <w:tcW w:w="3222" w:type="dxa"/>
            <w:tcBorders>
              <w:top w:val="nil"/>
              <w:left w:val="single" w:sz="12" w:space="0" w:color="00000A"/>
              <w:bottom w:val="single" w:sz="4" w:space="0" w:color="00000A"/>
              <w:insideH w:val="single" w:sz="4"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7 988</w:t>
            </w:r>
          </w:p>
        </w:tc>
      </w:tr>
      <w:tr>
        <w:trPr>
          <w:trHeight w:val="330" w:hRule="atLeast"/>
          <w:cantSplit w:val="false"/>
        </w:trPr>
        <w:tc>
          <w:tcPr>
            <w:tcW w:w="3791" w:type="dxa"/>
            <w:tcBorders>
              <w:top w:val="nil"/>
              <w:left w:val="single" w:sz="18" w:space="0" w:color="00000A"/>
              <w:bottom w:val="single" w:sz="4" w:space="0" w:color="00000A"/>
              <w:insideH w:val="single" w:sz="4"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Tržby za predaja tovaru</w:t>
            </w:r>
          </w:p>
        </w:tc>
        <w:tc>
          <w:tcPr>
            <w:tcW w:w="2408"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16 061 431</w:t>
            </w:r>
          </w:p>
        </w:tc>
        <w:tc>
          <w:tcPr>
            <w:tcW w:w="3222" w:type="dxa"/>
            <w:tcBorders>
              <w:top w:val="nil"/>
              <w:left w:val="single" w:sz="12" w:space="0" w:color="00000A"/>
              <w:bottom w:val="single" w:sz="4" w:space="0" w:color="00000A"/>
              <w:insideH w:val="single" w:sz="4"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17 164 776</w:t>
            </w:r>
          </w:p>
        </w:tc>
      </w:tr>
      <w:tr>
        <w:trPr>
          <w:trHeight w:val="330" w:hRule="atLeast"/>
          <w:cantSplit w:val="false"/>
        </w:trPr>
        <w:tc>
          <w:tcPr>
            <w:tcW w:w="3791" w:type="dxa"/>
            <w:tcBorders>
              <w:top w:val="nil"/>
              <w:left w:val="single" w:sz="18" w:space="0" w:color="00000A"/>
              <w:bottom w:val="single" w:sz="4" w:space="0" w:color="00000A"/>
              <w:insideH w:val="single" w:sz="4"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Iné výnosy súvisiace s bežnou činnosťou</w:t>
            </w:r>
          </w:p>
        </w:tc>
        <w:tc>
          <w:tcPr>
            <w:tcW w:w="2408" w:type="dxa"/>
            <w:tcBorders>
              <w:top w:val="nil"/>
              <w:left w:val="single" w:sz="12" w:space="0" w:color="00000A"/>
              <w:bottom w:val="single" w:sz="4" w:space="0" w:color="00000A"/>
              <w:insideH w:val="single" w:sz="4"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43 271</w:t>
            </w:r>
          </w:p>
        </w:tc>
        <w:tc>
          <w:tcPr>
            <w:tcW w:w="3222" w:type="dxa"/>
            <w:tcBorders>
              <w:top w:val="nil"/>
              <w:left w:val="single" w:sz="12" w:space="0" w:color="00000A"/>
              <w:bottom w:val="single" w:sz="4" w:space="0" w:color="00000A"/>
              <w:insideH w:val="single" w:sz="4"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13 325</w:t>
            </w:r>
          </w:p>
        </w:tc>
      </w:tr>
      <w:tr>
        <w:trPr>
          <w:trHeight w:val="330" w:hRule="atLeast"/>
          <w:cantSplit w:val="false"/>
        </w:trPr>
        <w:tc>
          <w:tcPr>
            <w:tcW w:w="3791" w:type="dxa"/>
            <w:tcBorders>
              <w:top w:val="nil"/>
              <w:left w:val="single" w:sz="18" w:space="0" w:color="00000A"/>
              <w:bottom w:val="single" w:sz="18" w:space="0" w:color="00000A"/>
              <w:insideH w:val="single" w:sz="18" w:space="0" w:color="00000A"/>
              <w:right w:val="single" w:sz="12" w:space="0" w:color="00000A"/>
              <w:insideV w:val="single" w:sz="12" w:space="0" w:color="00000A"/>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Čistý obrat celkom</w:t>
            </w:r>
          </w:p>
        </w:tc>
        <w:tc>
          <w:tcPr>
            <w:tcW w:w="2408" w:type="dxa"/>
            <w:tcBorders>
              <w:top w:val="nil"/>
              <w:left w:val="single" w:sz="12" w:space="0" w:color="00000A"/>
              <w:bottom w:val="single" w:sz="18" w:space="0" w:color="00000A"/>
              <w:insideH w:val="single" w:sz="18" w:space="0" w:color="00000A"/>
              <w:right w:val="single" w:sz="12" w:space="0" w:color="00000A"/>
              <w:insideV w:val="single" w:sz="12" w:space="0" w:color="00000A"/>
            </w:tcBorders>
            <w:shd w:fill="FFFFFF" w:val="clear"/>
            <w:tcMar>
              <w:left w:w="-14"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16 121 480</w:t>
            </w:r>
          </w:p>
        </w:tc>
        <w:tc>
          <w:tcPr>
            <w:tcW w:w="3222" w:type="dxa"/>
            <w:tcBorders>
              <w:top w:val="nil"/>
              <w:left w:val="single" w:sz="12" w:space="0" w:color="00000A"/>
              <w:bottom w:val="single" w:sz="18" w:space="0" w:color="00000A"/>
              <w:insideH w:val="single" w:sz="18" w:space="0" w:color="00000A"/>
              <w:right w:val="single" w:sz="18" w:space="0" w:color="00000A"/>
              <w:insideV w:val="single" w:sz="18" w:space="0" w:color="00000A"/>
            </w:tcBorders>
            <w:shd w:fill="FFFFFF" w:val="clear"/>
            <w:tcMar>
              <w:left w:w="-14"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17 186 089</w:t>
            </w:r>
          </w:p>
        </w:tc>
      </w:tr>
    </w:tbl>
    <w:p>
      <w:pPr>
        <w:pStyle w:val="Normal"/>
        <w:spacing w:lineRule="auto" w:line="240"/>
        <w:jc w:val="both"/>
        <w:rPr>
          <w:rFonts w:eastAsia="MS Gothic" w:cs="Times New Roman" w:ascii="Arial" w:hAnsi="Arial"/>
          <w:sz w:val="20"/>
          <w:szCs w:val="20"/>
        </w:rPr>
      </w:pPr>
      <w:r>
        <w:rPr>
          <w:rFonts w:eastAsia="MS Gothic" w:cs="Times New Roman" w:ascii="Arial" w:hAnsi="Arial"/>
          <w:sz w:val="20"/>
          <w:szCs w:val="20"/>
        </w:rPr>
      </w:r>
    </w:p>
    <w:p>
      <w:pPr>
        <w:pStyle w:val="Normal"/>
        <w:spacing w:lineRule="auto" w:line="240"/>
        <w:jc w:val="both"/>
        <w:rPr>
          <w:rFonts w:eastAsia="MS Gothic" w:cs="Times New Roman" w:ascii="Arial" w:hAnsi="Arial"/>
          <w:sz w:val="20"/>
          <w:szCs w:val="20"/>
        </w:rPr>
      </w:pPr>
      <w:r>
        <w:rPr>
          <w:rFonts w:eastAsia="MS Gothic" w:cs="Times New Roman" w:ascii="Arial" w:hAnsi="Arial"/>
          <w:sz w:val="20"/>
          <w:szCs w:val="20"/>
        </w:rPr>
        <w:t>Tržby za vlastná výkony a tovar neobsahujú daň z pridanej hodnoty. Sú znížené o poskytnuté zľavy a prípadné reklamácie voči  odberateľom. Tržby za tovar sú rozdelené do 3 hlavných skupín.</w:t>
      </w:r>
    </w:p>
    <w:tbl>
      <w:tblPr>
        <w:jc w:val="left"/>
        <w:tblInd w:w="-27" w:type="dxa"/>
        <w:tblBorders>
          <w:top w:val="nil"/>
          <w:left w:val="nil"/>
          <w:bottom w:val="nil"/>
          <w:insideH w:val="nil"/>
          <w:right w:val="nil"/>
          <w:insideV w:val="nil"/>
        </w:tblBorders>
        <w:tblCellMar>
          <w:top w:w="0" w:type="dxa"/>
          <w:left w:w="70" w:type="dxa"/>
          <w:bottom w:w="0" w:type="dxa"/>
          <w:right w:w="70" w:type="dxa"/>
        </w:tblCellMar>
      </w:tblPr>
      <w:tblGrid>
        <w:gridCol w:w="1974"/>
        <w:gridCol w:w="1065"/>
        <w:gridCol w:w="645"/>
        <w:gridCol w:w="4"/>
        <w:gridCol w:w="1509"/>
        <w:gridCol w:w="1094"/>
        <w:gridCol w:w="315"/>
        <w:gridCol w:w="35"/>
        <w:gridCol w:w="1581"/>
        <w:gridCol w:w="959"/>
        <w:gridCol w:w="248"/>
      </w:tblGrid>
      <w:tr>
        <w:trPr>
          <w:trHeight w:val="330" w:hRule="atLeast"/>
          <w:cantSplit w:val="false"/>
        </w:trPr>
        <w:tc>
          <w:tcPr>
            <w:tcW w:w="1974" w:type="dxa"/>
            <w:tcBorders>
              <w:top w:val="nil"/>
              <w:left w:val="nil"/>
              <w:bottom w:val="nil"/>
              <w:insideH w:val="nil"/>
              <w:right w:val="nil"/>
              <w:insideV w:val="nil"/>
            </w:tcBorders>
            <w:shd w:fill="FFFFFF" w:val="clear"/>
            <w:vAlign w:val="center"/>
          </w:tcPr>
          <w:p>
            <w:pPr>
              <w:pStyle w:val="Normal"/>
              <w:spacing w:lineRule="auto" w:line="240" w:before="0" w:after="0"/>
              <w:ind w:left="142" w:right="0" w:hanging="0"/>
              <w:rPr/>
            </w:pPr>
            <w:r>
              <w:rPr/>
            </w:r>
          </w:p>
          <w:p>
            <w:pPr>
              <w:pStyle w:val="Normal"/>
              <w:spacing w:lineRule="auto" w:line="240" w:before="0" w:after="0"/>
              <w:ind w:left="142" w:right="0" w:hanging="0"/>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Tabuľka č.3</w:t>
            </w:r>
          </w:p>
        </w:tc>
        <w:tc>
          <w:tcPr>
            <w:tcW w:w="1065" w:type="dxa"/>
            <w:tcBorders>
              <w:top w:val="nil"/>
              <w:left w:val="nil"/>
              <w:bottom w:val="nil"/>
              <w:insideH w:val="nil"/>
              <w:right w:val="nil"/>
              <w:insideV w:val="nil"/>
            </w:tcBorders>
            <w:shd w:fill="FFFFFF" w:val="clear"/>
            <w:vAlign w:val="bottom"/>
          </w:tcPr>
          <w:p>
            <w:pPr>
              <w:pStyle w:val="Normal"/>
              <w:spacing w:lineRule="auto" w:line="240" w:before="0" w:after="0"/>
              <w:ind w:left="142" w:right="0" w:hanging="0"/>
              <w:rPr>
                <w:rFonts w:eastAsia="Times New Roman" w:cs="Arial" w:ascii="Arial" w:hAnsi="Arial"/>
                <w:color w:val="000000"/>
                <w:lang w:eastAsia="sk-SK"/>
              </w:rPr>
            </w:pPr>
            <w:r>
              <w:rPr>
                <w:rFonts w:eastAsia="Times New Roman" w:cs="Arial" w:ascii="Arial" w:hAnsi="Arial"/>
                <w:color w:val="000000"/>
                <w:lang w:eastAsia="sk-SK"/>
              </w:rPr>
            </w:r>
          </w:p>
        </w:tc>
        <w:tc>
          <w:tcPr>
            <w:tcW w:w="645" w:type="dxa"/>
            <w:tcBorders>
              <w:top w:val="nil"/>
              <w:left w:val="nil"/>
              <w:bottom w:val="nil"/>
              <w:insideH w:val="nil"/>
              <w:right w:val="nil"/>
              <w:insideV w:val="nil"/>
            </w:tcBorders>
            <w:shd w:fill="FFFFFF" w:val="clear"/>
            <w:vAlign w:val="bottom"/>
          </w:tcPr>
          <w:p>
            <w:pPr>
              <w:pStyle w:val="Normal"/>
              <w:spacing w:lineRule="auto" w:line="240" w:before="0" w:after="0"/>
              <w:ind w:left="142" w:right="0" w:hanging="0"/>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1513" w:type="dxa"/>
            <w:gridSpan w:val="2"/>
            <w:tcBorders>
              <w:top w:val="nil"/>
              <w:left w:val="nil"/>
              <w:bottom w:val="single" w:sz="18" w:space="0" w:color="000001"/>
              <w:insideH w:val="single" w:sz="18" w:space="0" w:color="000001"/>
              <w:right w:val="nil"/>
              <w:insideV w:val="nil"/>
            </w:tcBorders>
            <w:shd w:fill="FFFFFF" w:val="clear"/>
            <w:vAlign w:val="bottom"/>
          </w:tcPr>
          <w:p>
            <w:pPr>
              <w:pStyle w:val="Normal"/>
              <w:spacing w:lineRule="auto" w:line="240" w:before="0" w:after="0"/>
              <w:ind w:left="142" w:right="0" w:hanging="0"/>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1094" w:type="dxa"/>
            <w:tcBorders>
              <w:top w:val="nil"/>
              <w:left w:val="nil"/>
              <w:bottom w:val="single" w:sz="18" w:space="0" w:color="000001"/>
              <w:insideH w:val="single" w:sz="18" w:space="0" w:color="000001"/>
              <w:right w:val="nil"/>
              <w:insideV w:val="nil"/>
            </w:tcBorders>
            <w:shd w:fill="FFFFFF" w:val="clear"/>
            <w:vAlign w:val="bottom"/>
          </w:tcPr>
          <w:p>
            <w:pPr>
              <w:pStyle w:val="Normal"/>
              <w:spacing w:lineRule="auto" w:line="240" w:before="0" w:after="0"/>
              <w:ind w:left="142" w:right="0" w:hanging="0"/>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315" w:type="dxa"/>
            <w:tcBorders>
              <w:top w:val="nil"/>
              <w:left w:val="nil"/>
              <w:bottom w:val="single" w:sz="18" w:space="0" w:color="000001"/>
              <w:insideH w:val="single" w:sz="18" w:space="0" w:color="000001"/>
              <w:right w:val="nil"/>
              <w:insideV w:val="nil"/>
            </w:tcBorders>
            <w:shd w:fill="FFFFFF" w:val="clear"/>
            <w:vAlign w:val="bottom"/>
          </w:tcPr>
          <w:p>
            <w:pPr>
              <w:pStyle w:val="Normal"/>
              <w:spacing w:lineRule="auto" w:line="240" w:before="0" w:after="0"/>
              <w:ind w:left="142" w:right="0" w:hanging="0"/>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1616" w:type="dxa"/>
            <w:gridSpan w:val="2"/>
            <w:tcBorders>
              <w:top w:val="nil"/>
              <w:left w:val="nil"/>
              <w:bottom w:val="nil"/>
              <w:insideH w:val="nil"/>
              <w:right w:val="nil"/>
              <w:insideV w:val="nil"/>
            </w:tcBorders>
            <w:shd w:fill="FFFFFF" w:val="clear"/>
            <w:vAlign w:val="bottom"/>
          </w:tcPr>
          <w:p>
            <w:pPr>
              <w:pStyle w:val="Normal"/>
              <w:spacing w:lineRule="auto" w:line="240" w:before="0" w:after="0"/>
              <w:ind w:left="142" w:right="0" w:hanging="0"/>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959" w:type="dxa"/>
            <w:tcBorders>
              <w:top w:val="nil"/>
              <w:left w:val="nil"/>
              <w:bottom w:val="nil"/>
              <w:insideH w:val="nil"/>
              <w:right w:val="nil"/>
              <w:insideV w:val="nil"/>
            </w:tcBorders>
            <w:shd w:fill="FFFFFF" w:val="clear"/>
            <w:vAlign w:val="bottom"/>
          </w:tcPr>
          <w:p>
            <w:pPr>
              <w:pStyle w:val="Normal"/>
              <w:spacing w:lineRule="auto" w:line="240" w:before="0" w:after="0"/>
              <w:ind w:left="142" w:right="0" w:hanging="0"/>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c>
          <w:tcPr>
            <w:tcW w:w="248" w:type="dxa"/>
            <w:tcBorders>
              <w:top w:val="nil"/>
              <w:left w:val="nil"/>
              <w:bottom w:val="nil"/>
              <w:insideH w:val="nil"/>
              <w:right w:val="nil"/>
              <w:insideV w:val="nil"/>
            </w:tcBorders>
            <w:shd w:fill="FFFFFF" w:val="clear"/>
            <w:vAlign w:val="bottom"/>
          </w:tcPr>
          <w:p>
            <w:pPr>
              <w:pStyle w:val="Normal"/>
              <w:spacing w:lineRule="auto" w:line="240" w:before="0" w:after="0"/>
              <w:ind w:left="142" w:right="0" w:hanging="0"/>
              <w:rPr>
                <w:rFonts w:eastAsia="Times New Roman" w:cs="Times New Roman" w:ascii="Times New Roman" w:hAnsi="Times New Roman"/>
                <w:sz w:val="20"/>
                <w:szCs w:val="20"/>
                <w:lang w:eastAsia="sk-SK"/>
              </w:rPr>
            </w:pPr>
            <w:r>
              <w:rPr>
                <w:rFonts w:eastAsia="Times New Roman" w:cs="Times New Roman" w:ascii="Times New Roman" w:hAnsi="Times New Roman"/>
                <w:sz w:val="20"/>
                <w:szCs w:val="20"/>
                <w:lang w:eastAsia="sk-SK"/>
              </w:rPr>
            </w:r>
          </w:p>
        </w:tc>
      </w:tr>
      <w:tr>
        <w:trPr>
          <w:trHeight w:val="694" w:hRule="atLeast"/>
          <w:cantSplit w:val="false"/>
        </w:trPr>
        <w:tc>
          <w:tcPr>
            <w:tcW w:w="3688" w:type="dxa"/>
            <w:gridSpan w:val="4"/>
            <w:tcBorders>
              <w:top w:val="single" w:sz="18" w:space="0" w:color="000001"/>
              <w:left w:val="single" w:sz="18" w:space="0" w:color="000001"/>
              <w:bottom w:val="single" w:sz="18" w:space="0" w:color="000001"/>
              <w:insideH w:val="single" w:sz="18" w:space="0" w:color="000001"/>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Informácia o nákladoch</w:t>
            </w:r>
          </w:p>
        </w:tc>
        <w:tc>
          <w:tcPr>
            <w:tcW w:w="2953" w:type="dxa"/>
            <w:gridSpan w:val="4"/>
            <w:tcBorders>
              <w:top w:val="single" w:sz="18" w:space="0" w:color="000001"/>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Bežné účtovné obdobie</w:t>
            </w:r>
          </w:p>
        </w:tc>
        <w:tc>
          <w:tcPr>
            <w:tcW w:w="2788" w:type="dxa"/>
            <w:gridSpan w:val="3"/>
            <w:tcBorders>
              <w:top w:val="single" w:sz="18" w:space="0" w:color="000001"/>
              <w:left w:val="single" w:sz="12" w:space="0" w:color="000001"/>
              <w:bottom w:val="single" w:sz="18" w:space="0" w:color="000001"/>
              <w:insideH w:val="single" w:sz="18" w:space="0" w:color="000001"/>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Bezprostredne predchádzajúce účtovné obdobie</w:t>
            </w:r>
          </w:p>
        </w:tc>
      </w:tr>
      <w:tr>
        <w:trPr>
          <w:trHeight w:val="330" w:hRule="atLeast"/>
          <w:cantSplit w:val="false"/>
        </w:trPr>
        <w:tc>
          <w:tcPr>
            <w:tcW w:w="3688" w:type="dxa"/>
            <w:gridSpan w:val="4"/>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pPr>
            <w:r>
              <w:rPr/>
              <w:t>Náklady na služby celkom, z toho:</w:t>
            </w:r>
          </w:p>
        </w:tc>
        <w:tc>
          <w:tcPr>
            <w:tcW w:w="2953" w:type="dxa"/>
            <w:gridSpan w:val="4"/>
            <w:tcBorders>
              <w:top w:val="single" w:sz="4" w:space="0" w:color="00000A"/>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8</w:t>
            </w:r>
            <w:r>
              <w:rPr/>
              <w:t>6</w:t>
            </w:r>
            <w:r>
              <w:rPr/>
              <w:t xml:space="preserve"> </w:t>
            </w:r>
            <w:r>
              <w:rPr/>
              <w:t>873</w:t>
            </w:r>
          </w:p>
        </w:tc>
        <w:tc>
          <w:tcPr>
            <w:tcW w:w="2788" w:type="dxa"/>
            <w:gridSpan w:val="3"/>
            <w:tcBorders>
              <w:top w:val="single" w:sz="4" w:space="0" w:color="00000A"/>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pPr>
            <w:r>
              <w:rPr/>
              <w:t>79 248</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-nájomné za budovy </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51 152</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pPr>
            <w:r>
              <w:rPr/>
              <w:t>51 152</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color w:val="000000"/>
              </w:rPr>
            </w:pPr>
            <w:r>
              <w:rPr>
                <w:color w:val="000000"/>
              </w:rPr>
              <w:t>- bezpečnostná služba</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3 000</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 xml:space="preserve">  </w:t>
            </w:r>
            <w:r>
              <w:rPr>
                <w:rFonts w:eastAsia="Times New Roman" w:cs="Times New Roman"/>
                <w:color w:val="000000"/>
                <w:lang w:eastAsia="sk-SK"/>
              </w:rPr>
              <w:t>3 000</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pPr>
            <w:r>
              <w:rPr/>
              <w:t xml:space="preserve">- ochranný policajný pult </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2 176</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pPr>
            <w:r>
              <w:rPr/>
              <w:t>2 176</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pPr>
            <w:r>
              <w:rPr/>
              <w:t>- ostatné služby</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20 948</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pPr>
            <w:r>
              <w:rPr/>
              <w:t>2 088</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color w:val="000000"/>
              </w:rPr>
            </w:pPr>
            <w:r>
              <w:rPr>
                <w:color w:val="000000"/>
              </w:rPr>
              <w:t xml:space="preserve"> </w:t>
            </w:r>
            <w:r>
              <w:rPr>
                <w:color w:val="000000"/>
              </w:rPr>
              <w:t>-oprava a údržba</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color w:val="000000"/>
              </w:rPr>
            </w:pPr>
            <w:r>
              <w:rPr>
                <w:color w:val="000000"/>
              </w:rPr>
              <w:t>12 607</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color w:val="000000"/>
              </w:rPr>
            </w:pPr>
            <w:r>
              <w:rPr>
                <w:color w:val="000000"/>
              </w:rPr>
              <w:t>5 728</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color w:val="000000"/>
              </w:rPr>
            </w:pPr>
            <w:r>
              <w:rPr>
                <w:color w:val="000000"/>
              </w:rPr>
              <w:t>- nájomné za softwer</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color w:val="000000"/>
              </w:rPr>
            </w:pPr>
            <w:r>
              <w:rPr>
                <w:color w:val="000000"/>
              </w:rPr>
              <w:t>2 208</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color w:val="000000"/>
              </w:rPr>
            </w:pPr>
            <w:r>
              <w:rPr>
                <w:color w:val="000000"/>
              </w:rPr>
              <w:t>2 208</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pPr>
            <w:r>
              <w:rPr/>
              <w:t>- audit +poradenstvo</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2 000</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pPr>
            <w:r>
              <w:rPr/>
              <w:t>2 706</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color w:val="000000"/>
              </w:rPr>
            </w:pPr>
            <w:r>
              <w:rPr>
                <w:color w:val="000000"/>
              </w:rPr>
              <w:t>Náklady na hosp.činnosť, z toho:</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16 0</w:t>
            </w:r>
            <w:r>
              <w:rPr/>
              <w:t>24 770</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color w:val="000000"/>
              </w:rPr>
            </w:pPr>
            <w:r>
              <w:rPr>
                <w:color w:val="000000"/>
              </w:rPr>
              <w:t xml:space="preserve"> </w:t>
            </w:r>
            <w:r>
              <w:rPr>
                <w:color w:val="000000"/>
              </w:rPr>
              <w:t>17 063 426</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color w:val="000000"/>
              </w:rPr>
            </w:pPr>
            <w:r>
              <w:rPr>
                <w:color w:val="000000"/>
              </w:rPr>
              <w:t>- na obstaranie predaného  tovaru</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15 740 902</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color w:val="000000"/>
              </w:rPr>
            </w:pPr>
            <w:r>
              <w:rPr>
                <w:color w:val="000000"/>
              </w:rPr>
              <w:t>16 804 059</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-odpisy dlhodobého HaN majetku</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48 048</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44 730</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color w:val="000000"/>
              </w:rPr>
            </w:pPr>
            <w:r>
              <w:rPr>
                <w:color w:val="000000"/>
              </w:rPr>
              <w:t>- poistenie majetku</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8 002</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color w:val="000000"/>
              </w:rPr>
            </w:pPr>
            <w:r>
              <w:rPr>
                <w:color w:val="000000"/>
              </w:rPr>
              <w:t>7 615</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pPr>
            <w:r>
              <w:rPr/>
              <w:t>- spotreba materiálu, energií</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36 499</w:t>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pPr>
            <w:r>
              <w:rPr/>
              <w:t>34 789</w:t>
            </w:r>
          </w:p>
        </w:tc>
      </w:tr>
      <w:tr>
        <w:trPr>
          <w:trHeight w:val="330" w:hRule="atLeast"/>
          <w:cantSplit w:val="false"/>
        </w:trPr>
        <w:tc>
          <w:tcPr>
            <w:tcW w:w="3688" w:type="dxa"/>
            <w:gridSpan w:val="4"/>
            <w:tcBorders>
              <w:top w:val="nil"/>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color w:val="000000"/>
              </w:rPr>
            </w:pPr>
            <w:r>
              <w:rPr>
                <w:color w:val="000000"/>
              </w:rPr>
              <w:t>- opravné položky</w:t>
            </w:r>
          </w:p>
        </w:tc>
        <w:tc>
          <w:tcPr>
            <w:tcW w:w="2953" w:type="dxa"/>
            <w:gridSpan w:val="4"/>
            <w:tcBorders>
              <w:top w:val="nil"/>
              <w:left w:val="single" w:sz="12" w:space="0" w:color="000001"/>
              <w:bottom w:val="single" w:sz="4" w:space="0" w:color="00000A"/>
              <w:insideH w:val="single" w:sz="4" w:space="0" w:color="00000A"/>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r>
          </w:p>
        </w:tc>
        <w:tc>
          <w:tcPr>
            <w:tcW w:w="2788" w:type="dxa"/>
            <w:gridSpan w:val="3"/>
            <w:tcBorders>
              <w:top w:val="nil"/>
              <w:left w:val="single" w:sz="12" w:space="0" w:color="000001"/>
              <w:bottom w:val="single" w:sz="4" w:space="0" w:color="00000A"/>
              <w:insideH w:val="single" w:sz="4" w:space="0" w:color="00000A"/>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color w:val="000000"/>
              </w:rPr>
            </w:pPr>
            <w:r>
              <w:rPr>
                <w:color w:val="000000"/>
              </w:rPr>
              <w:t>2 961</w:t>
            </w:r>
          </w:p>
        </w:tc>
      </w:tr>
      <w:tr>
        <w:trPr>
          <w:trHeight w:val="330" w:hRule="atLeast"/>
          <w:cantSplit w:val="false"/>
        </w:trPr>
        <w:tc>
          <w:tcPr>
            <w:tcW w:w="3688" w:type="dxa"/>
            <w:gridSpan w:val="4"/>
            <w:tcBorders>
              <w:top w:val="nil"/>
              <w:left w:val="single" w:sz="18" w:space="0" w:color="000001"/>
              <w:bottom w:val="single" w:sz="18" w:space="0" w:color="000001"/>
              <w:insideH w:val="single" w:sz="18" w:space="0" w:color="000001"/>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 osobné náklady</w:t>
            </w:r>
          </w:p>
        </w:tc>
        <w:tc>
          <w:tcPr>
            <w:tcW w:w="2953" w:type="dxa"/>
            <w:gridSpan w:val="4"/>
            <w:tcBorders>
              <w:top w:val="nil"/>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55" w:type="dxa"/>
            </w:tcMar>
            <w:vAlign w:val="center"/>
          </w:tcPr>
          <w:p>
            <w:pPr>
              <w:pStyle w:val="Normal"/>
              <w:spacing w:lineRule="auto" w:line="240" w:before="0" w:after="0"/>
              <w:ind w:left="142" w:right="0" w:hanging="0"/>
              <w:jc w:val="right"/>
              <w:rPr/>
            </w:pPr>
            <w:r>
              <w:rPr/>
              <w:t>191 319</w:t>
            </w:r>
          </w:p>
        </w:tc>
        <w:tc>
          <w:tcPr>
            <w:tcW w:w="2788" w:type="dxa"/>
            <w:gridSpan w:val="3"/>
            <w:tcBorders>
              <w:top w:val="nil"/>
              <w:left w:val="single" w:sz="12" w:space="0" w:color="000001"/>
              <w:bottom w:val="single" w:sz="18" w:space="0" w:color="000001"/>
              <w:insideH w:val="single" w:sz="18" w:space="0" w:color="000001"/>
              <w:right w:val="single" w:sz="18" w:space="0" w:color="000001"/>
              <w:insideV w:val="single" w:sz="18" w:space="0" w:color="000001"/>
            </w:tcBorders>
            <w:shd w:fill="FFFFFF" w:val="clear"/>
            <w:tcMar>
              <w:left w:w="55" w:type="dxa"/>
            </w:tcMar>
            <w:vAlign w:val="center"/>
          </w:tcPr>
          <w:p>
            <w:pPr>
              <w:pStyle w:val="Normal"/>
              <w:spacing w:lineRule="auto" w:line="240" w:before="0" w:after="0"/>
              <w:ind w:left="142" w:right="0" w:hanging="0"/>
              <w:jc w:val="right"/>
              <w:rPr>
                <w:rFonts w:eastAsia="Times New Roman" w:cs="Times New Roman"/>
                <w:color w:val="000000"/>
                <w:lang w:eastAsia="sk-SK"/>
              </w:rPr>
            </w:pPr>
            <w:r>
              <w:rPr>
                <w:rFonts w:eastAsia="Times New Roman" w:cs="Times New Roman"/>
                <w:color w:val="000000"/>
                <w:lang w:eastAsia="sk-SK"/>
              </w:rPr>
              <w:t>201 509</w:t>
            </w:r>
          </w:p>
        </w:tc>
      </w:tr>
    </w:tbl>
    <w:p>
      <w:pPr>
        <w:pStyle w:val="Normal"/>
        <w:spacing w:lineRule="auto" w:line="240" w:before="240" w:after="160"/>
        <w:jc w:val="both"/>
        <w:rPr/>
      </w:pPr>
      <w:r>
        <w:rPr/>
      </w:r>
    </w:p>
    <w:p>
      <w:pPr>
        <w:pStyle w:val="Normal"/>
        <w:spacing w:lineRule="auto" w:line="240" w:before="240" w:after="160"/>
        <w:jc w:val="both"/>
        <w:rPr>
          <w:rFonts w:eastAsia="MS Gothic" w:cs="Arial" w:ascii="Arial" w:hAnsi="Arial"/>
          <w:sz w:val="20"/>
          <w:szCs w:val="20"/>
        </w:rPr>
      </w:pPr>
      <w:r>
        <w:rPr>
          <w:rFonts w:eastAsia="MS Gothic" w:cs="Arial" w:ascii="Arial" w:hAnsi="Arial"/>
          <w:sz w:val="20"/>
          <w:szCs w:val="20"/>
        </w:rPr>
        <w:t>Ďalšie dôležité informácie o nákladoch, ktoré majú výnimočný rozsah alebo výskyt:</w:t>
      </w:r>
    </w:p>
    <w:p>
      <w:pPr>
        <w:pStyle w:val="Normal"/>
        <w:spacing w:lineRule="auto" w:line="240"/>
        <w:ind w:left="0" w:right="0" w:hanging="0"/>
        <w:jc w:val="both"/>
        <w:rPr>
          <w:rFonts w:eastAsia="MS Gothic" w:cs="Arial" w:ascii="Arial" w:hAnsi="Arial"/>
          <w:sz w:val="20"/>
          <w:szCs w:val="20"/>
        </w:rPr>
      </w:pPr>
      <w:r>
        <w:rPr>
          <w:rFonts w:eastAsia="MS Gothic" w:cs="Arial" w:ascii="Arial" w:hAnsi="Arial"/>
          <w:sz w:val="20"/>
          <w:szCs w:val="20"/>
        </w:rPr>
        <w:t xml:space="preserve">Podstatnú časť nákladov tvoria náklady na predaný tovar, osobné náklady, spotrebované energie, odpisy hmotného majetku. V rámci služieb podstatnou časťou sú náklady na nájomné za budovy  prevádzka Poprad a prevádzka Spišská Nová Ves, opravu a údržbu vozidiel, audit, bezpečnostnú službu. Ostatné náklady na hospodársku činnosť zahŕňajú náklady na poistenie majetku, zrušenie nedaňovej rezervy.  </w:t>
      </w:r>
    </w:p>
    <w:p>
      <w:pPr>
        <w:pStyle w:val="Normal"/>
        <w:spacing w:lineRule="auto" w:line="240"/>
        <w:ind w:left="0" w:right="0" w:hanging="0"/>
        <w:jc w:val="both"/>
        <w:rPr>
          <w:rFonts w:eastAsia="MS Gothic" w:cs="Arial" w:ascii="Arial" w:hAnsi="Arial"/>
          <w:sz w:val="20"/>
          <w:szCs w:val="20"/>
        </w:rPr>
      </w:pPr>
      <w:r>
        <w:rPr>
          <w:rFonts w:eastAsia="MS Gothic" w:cs="Arial" w:ascii="Arial" w:hAnsi="Arial"/>
          <w:sz w:val="20"/>
          <w:szCs w:val="20"/>
        </w:rPr>
        <w:t>Hmotný majetok je poistený v poisťovniach Allianz, Kooperatíva a Komunálna poisťovňa a to proti krádeži a živelným udalostiam. Výška poistnej sumy  v prípade Allianzu je pohyblivá podľa v jednotlivých štvrťrokoch podľa hodnoty majetku.</w:t>
      </w:r>
    </w:p>
    <w:p>
      <w:pPr>
        <w:pStyle w:val="Normal"/>
        <w:spacing w:lineRule="auto" w:line="240"/>
        <w:ind w:left="0" w:right="0" w:hanging="0"/>
        <w:jc w:val="both"/>
        <w:rPr>
          <w:rFonts w:eastAsia="MS Gothic" w:cs="Arial" w:ascii="Arial" w:hAnsi="Arial"/>
          <w:sz w:val="18"/>
          <w:szCs w:val="18"/>
        </w:rPr>
      </w:pPr>
      <w:r>
        <w:rPr>
          <w:rFonts w:eastAsia="MS Gothic" w:cs="Arial" w:ascii="Arial" w:hAnsi="Arial"/>
          <w:sz w:val="18"/>
          <w:szCs w:val="18"/>
        </w:rPr>
        <w:t>Stroje,prístroje a zariadenia</w:t>
        <w:tab/>
        <w:tab/>
        <w:tab/>
        <w:tab/>
        <w:t>priemerná poistná suma</w:t>
        <w:tab/>
        <w:tab/>
        <w:tab/>
        <w:tab/>
        <w:t>24 948 €</w:t>
      </w:r>
    </w:p>
    <w:p>
      <w:pPr>
        <w:pStyle w:val="Normal"/>
        <w:spacing w:lineRule="auto" w:line="240"/>
        <w:ind w:left="0" w:right="0" w:hanging="0"/>
        <w:jc w:val="both"/>
        <w:rPr>
          <w:rFonts w:eastAsia="MS Gothic" w:cs="Arial" w:ascii="Arial" w:hAnsi="Arial"/>
          <w:sz w:val="18"/>
          <w:szCs w:val="18"/>
        </w:rPr>
      </w:pPr>
      <w:r>
        <w:rPr>
          <w:rFonts w:eastAsia="MS Gothic" w:cs="Arial" w:ascii="Arial" w:hAnsi="Arial"/>
          <w:sz w:val="18"/>
          <w:szCs w:val="18"/>
        </w:rPr>
        <w:t>Budova – nájomná</w:t>
        <w:tab/>
        <w:tab/>
        <w:tab/>
        <w:t xml:space="preserve">  </w:t>
        <w:tab/>
        <w:tab/>
        <w:t xml:space="preserve">        poistná suma</w:t>
        <w:tab/>
        <w:tab/>
        <w:tab/>
        <w:tab/>
        <w:t xml:space="preserve">        </w:t>
        <w:tab/>
        <w:t xml:space="preserve">      248 148 €</w:t>
      </w:r>
    </w:p>
    <w:p>
      <w:pPr>
        <w:pStyle w:val="Normal"/>
        <w:spacing w:lineRule="auto" w:line="240"/>
        <w:ind w:left="142" w:right="0" w:hanging="0"/>
        <w:jc w:val="both"/>
        <w:rPr>
          <w:rFonts w:eastAsia="MS Gothic" w:cs="Arial" w:ascii="Arial" w:hAnsi="Arial"/>
          <w:sz w:val="18"/>
          <w:szCs w:val="18"/>
        </w:rPr>
      </w:pPr>
      <w:r>
        <w:rPr>
          <w:rFonts w:eastAsia="MS Gothic" w:cs="Arial" w:ascii="Arial" w:hAnsi="Arial"/>
          <w:sz w:val="18"/>
          <w:szCs w:val="18"/>
        </w:rPr>
        <w:t>Budova – vlastná</w:t>
        <w:tab/>
        <w:tab/>
        <w:tab/>
        <w:tab/>
        <w:tab/>
        <w:tab/>
        <w:t>poistná suma</w:t>
        <w:tab/>
        <w:tab/>
        <w:tab/>
        <w:tab/>
        <w:tab/>
        <w:t xml:space="preserve">      123 869 €</w:t>
      </w:r>
    </w:p>
    <w:p>
      <w:pPr>
        <w:pStyle w:val="Normal"/>
        <w:spacing w:lineRule="auto" w:line="240"/>
        <w:ind w:left="142" w:right="0" w:hanging="0"/>
        <w:jc w:val="both"/>
        <w:rPr>
          <w:rFonts w:eastAsia="MS Gothic" w:cs="Arial" w:ascii="Arial" w:hAnsi="Arial"/>
          <w:sz w:val="18"/>
          <w:szCs w:val="18"/>
        </w:rPr>
      </w:pPr>
      <w:r>
        <w:rPr>
          <w:rFonts w:eastAsia="MS Gothic" w:cs="Arial" w:ascii="Arial" w:hAnsi="Arial"/>
          <w:sz w:val="18"/>
          <w:szCs w:val="18"/>
        </w:rPr>
        <w:t>Autá</w:t>
        <w:tab/>
        <w:tab/>
        <w:tab/>
        <w:tab/>
        <w:tab/>
        <w:tab/>
        <w:tab/>
        <w:tab/>
        <w:t>poistná suma</w:t>
        <w:tab/>
        <w:tab/>
        <w:tab/>
        <w:tab/>
        <w:tab/>
        <w:tab/>
        <w:t>91 934 €</w:t>
        <w:tab/>
      </w:r>
    </w:p>
    <w:p>
      <w:pPr>
        <w:pStyle w:val="Normal"/>
        <w:spacing w:lineRule="auto" w:line="240"/>
        <w:ind w:left="142" w:right="0" w:hanging="0"/>
        <w:jc w:val="both"/>
        <w:rPr>
          <w:rFonts w:eastAsia="MS Gothic" w:cs="Arial" w:ascii="Arial" w:hAnsi="Arial"/>
          <w:sz w:val="18"/>
          <w:szCs w:val="18"/>
        </w:rPr>
      </w:pPr>
      <w:r>
        <w:rPr>
          <w:rFonts w:eastAsia="MS Gothic" w:cs="Arial" w:ascii="Arial" w:hAnsi="Arial"/>
          <w:sz w:val="18"/>
          <w:szCs w:val="18"/>
        </w:rPr>
        <w:t>Tovar na autách</w:t>
        <w:tab/>
        <w:tab/>
        <w:tab/>
        <w:tab/>
        <w:tab/>
        <w:tab/>
        <w:t>poistná suma</w:t>
        <w:tab/>
        <w:tab/>
        <w:tab/>
        <w:t xml:space="preserve">                       120 000 €</w:t>
      </w:r>
    </w:p>
    <w:p>
      <w:pPr>
        <w:pStyle w:val="Normal"/>
        <w:spacing w:lineRule="auto" w:line="240"/>
        <w:ind w:left="142" w:right="0" w:hanging="0"/>
        <w:jc w:val="both"/>
        <w:rPr>
          <w:rFonts w:eastAsia="MS Gothic" w:cs="Arial" w:ascii="Arial" w:hAnsi="Arial"/>
          <w:sz w:val="18"/>
          <w:szCs w:val="18"/>
        </w:rPr>
      </w:pPr>
      <w:r>
        <w:rPr>
          <w:rFonts w:eastAsia="MS Gothic" w:cs="Arial" w:ascii="Arial" w:hAnsi="Arial"/>
          <w:sz w:val="18"/>
          <w:szCs w:val="18"/>
        </w:rPr>
        <w:t>Peňažné prostriedky-autá</w:t>
        <w:tab/>
        <w:tab/>
        <w:tab/>
        <w:tab/>
        <w:t>poistná suma</w:t>
        <w:tab/>
        <w:tab/>
        <w:tab/>
        <w:tab/>
        <w:tab/>
        <w:tab/>
        <w:t xml:space="preserve"> 36 000 €</w:t>
        <w:tab/>
        <w:tab/>
      </w:r>
    </w:p>
    <w:p>
      <w:pPr>
        <w:pStyle w:val="Normal"/>
        <w:spacing w:lineRule="auto" w:line="240"/>
        <w:ind w:left="142" w:right="0" w:hanging="0"/>
        <w:jc w:val="both"/>
        <w:rPr>
          <w:rFonts w:eastAsia="MS Gothic" w:cs="Arial" w:ascii="Arial" w:hAnsi="Arial"/>
          <w:sz w:val="18"/>
          <w:szCs w:val="18"/>
        </w:rPr>
      </w:pPr>
      <w:r>
        <w:rPr>
          <w:rFonts w:eastAsia="MS Gothic" w:cs="Arial" w:ascii="Arial" w:hAnsi="Arial"/>
          <w:sz w:val="18"/>
          <w:szCs w:val="18"/>
        </w:rPr>
        <w:tab/>
        <w:tab/>
      </w:r>
    </w:p>
    <w:p>
      <w:pPr>
        <w:pStyle w:val="Normal"/>
        <w:spacing w:lineRule="auto" w:line="240"/>
        <w:ind w:left="142" w:right="0" w:hanging="0"/>
        <w:jc w:val="both"/>
        <w:rPr>
          <w:rFonts w:eastAsia="MS Gothic" w:cs="Arial" w:ascii="Arial" w:hAnsi="Arial"/>
          <w:sz w:val="20"/>
          <w:szCs w:val="20"/>
        </w:rPr>
      </w:pPr>
      <w:r>
        <w:rPr>
          <w:rFonts w:eastAsia="MS Gothic" w:cs="Arial" w:ascii="Arial" w:hAnsi="Arial"/>
          <w:sz w:val="20"/>
          <w:szCs w:val="20"/>
        </w:rPr>
        <w:t>Z významných položiek finančných nákladov v celkovej výške 14 404 €,  tvoria podstatnú časť náklady na poplatky za rámec bankových záruk a kontokorentného úver, ako aj poplatky za samotné záruky vystavené pre dvoch dodávateľov.</w:t>
      </w:r>
    </w:p>
    <w:p>
      <w:pPr>
        <w:pStyle w:val="Normal"/>
        <w:spacing w:lineRule="auto" w:line="240"/>
        <w:ind w:left="142" w:right="0" w:hanging="0"/>
        <w:jc w:val="both"/>
        <w:rPr/>
      </w:pPr>
      <w:r>
        <w:rPr/>
      </w:r>
    </w:p>
    <w:p>
      <w:pPr>
        <w:pStyle w:val="Normal"/>
        <w:spacing w:lineRule="auto" w:line="240"/>
        <w:ind w:left="142" w:right="0" w:hanging="0"/>
        <w:jc w:val="both"/>
        <w:rPr/>
      </w:pPr>
      <w:r>
        <w:rPr/>
      </w:r>
    </w:p>
    <w:p>
      <w:pPr>
        <w:pStyle w:val="Normal"/>
        <w:spacing w:lineRule="auto" w:line="240" w:before="0" w:after="0"/>
        <w:ind w:left="0" w:right="0" w:hanging="0"/>
        <w:jc w:val="center"/>
        <w:rPr/>
      </w:pPr>
      <w:r>
        <w:rPr/>
      </w:r>
    </w:p>
    <w:p>
      <w:pPr>
        <w:pStyle w:val="Normal"/>
        <w:spacing w:lineRule="auto" w:line="240" w:before="0" w:after="0"/>
        <w:ind w:left="142" w:right="0" w:hanging="0"/>
        <w:jc w:val="center"/>
        <w:rPr>
          <w:rFonts w:cs="Arial" w:ascii="Arial" w:hAnsi="Arial"/>
          <w:b/>
          <w:color w:val="000000"/>
          <w:szCs w:val="24"/>
        </w:rPr>
      </w:pPr>
      <w:r>
        <w:rPr>
          <w:rFonts w:cs="Arial" w:ascii="Arial" w:hAnsi="Arial"/>
          <w:b/>
          <w:color w:val="000000"/>
          <w:szCs w:val="24"/>
        </w:rPr>
        <w:t>Článok V</w:t>
      </w:r>
    </w:p>
    <w:p>
      <w:pPr>
        <w:pStyle w:val="Normal"/>
        <w:spacing w:lineRule="auto" w:line="240" w:before="0" w:after="0"/>
        <w:ind w:left="142" w:right="0" w:hanging="0"/>
        <w:jc w:val="center"/>
        <w:rPr>
          <w:rFonts w:cs="Arial" w:ascii="Arial" w:hAnsi="Arial"/>
          <w:b/>
          <w:color w:val="000000"/>
          <w:szCs w:val="24"/>
        </w:rPr>
      </w:pPr>
      <w:r>
        <w:rPr>
          <w:rFonts w:cs="Arial" w:ascii="Arial" w:hAnsi="Arial"/>
          <w:b/>
          <w:color w:val="000000"/>
          <w:szCs w:val="24"/>
        </w:rPr>
        <w:tab/>
        <w:t>Informácie o iných aktívach a iných pasívach</w:t>
      </w:r>
    </w:p>
    <w:p>
      <w:pPr>
        <w:pStyle w:val="Normal"/>
        <w:spacing w:lineRule="auto" w:line="240" w:before="0" w:after="0"/>
        <w:ind w:left="142" w:right="0" w:hanging="0"/>
        <w:rPr>
          <w:rFonts w:cs="Times New Roman" w:ascii="Times New Roman" w:hAnsi="Times New Roman"/>
          <w:b/>
          <w:szCs w:val="24"/>
        </w:rPr>
      </w:pPr>
      <w:r>
        <w:rPr>
          <w:rFonts w:cs="Times New Roman" w:ascii="Times New Roman" w:hAnsi="Times New Roman"/>
          <w:b/>
          <w:szCs w:val="24"/>
        </w:rPr>
      </w:r>
    </w:p>
    <w:p>
      <w:pPr>
        <w:pStyle w:val="Normal"/>
        <w:spacing w:lineRule="auto" w:line="240"/>
        <w:jc w:val="both"/>
        <w:rPr>
          <w:rFonts w:cs="Arial" w:ascii="Arial" w:hAnsi="Arial"/>
          <w:sz w:val="20"/>
          <w:szCs w:val="20"/>
        </w:rPr>
      </w:pPr>
      <w:r>
        <w:rPr>
          <w:rFonts w:cs="Arial" w:ascii="Arial" w:hAnsi="Arial"/>
          <w:sz w:val="20"/>
          <w:szCs w:val="20"/>
        </w:rPr>
      </w:r>
    </w:p>
    <w:p>
      <w:pPr>
        <w:pStyle w:val="Normal"/>
        <w:spacing w:lineRule="auto" w:line="240"/>
        <w:ind w:left="142" w:right="0" w:hanging="0"/>
        <w:jc w:val="both"/>
        <w:rPr>
          <w:rFonts w:eastAsia="MS Gothic" w:cs="Arial" w:ascii="Arial" w:hAnsi="Arial"/>
          <w:sz w:val="20"/>
          <w:szCs w:val="20"/>
        </w:rPr>
      </w:pPr>
      <w:r>
        <w:rPr>
          <w:rFonts w:eastAsia="MS Gothic" w:cs="Arial" w:ascii="Arial" w:hAnsi="Arial"/>
          <w:sz w:val="20"/>
          <w:szCs w:val="20"/>
        </w:rPr>
        <w:t>Účtovná jednotka neevidovala vo vykazovanom období ani v predchádzajúcom účtovnom období podmienené záväzky a ani podmienený majetok, ktorý nie je vykázaný v súvahe.</w:t>
      </w:r>
    </w:p>
    <w:p>
      <w:pPr>
        <w:pStyle w:val="Normal"/>
        <w:spacing w:lineRule="auto" w:line="240"/>
        <w:jc w:val="both"/>
        <w:rPr>
          <w:rFonts w:eastAsia="MS Gothic" w:cs="Times New Roman" w:ascii="Times New Roman" w:hAnsi="Times New Roman"/>
          <w:b/>
          <w:sz w:val="24"/>
          <w:szCs w:val="24"/>
        </w:rPr>
      </w:pPr>
      <w:r>
        <w:rPr>
          <w:rFonts w:eastAsia="MS Gothic" w:cs="Times New Roman" w:ascii="Times New Roman" w:hAnsi="Times New Roman"/>
          <w:b/>
          <w:sz w:val="24"/>
          <w:szCs w:val="24"/>
        </w:rPr>
      </w:r>
    </w:p>
    <w:p>
      <w:pPr>
        <w:pStyle w:val="Normal"/>
        <w:spacing w:lineRule="auto" w:line="240"/>
        <w:ind w:left="142" w:right="0" w:hanging="0"/>
        <w:jc w:val="both"/>
        <w:rPr>
          <w:rFonts w:eastAsia="MS Gothic" w:cs="Times New Roman" w:ascii="Times New Roman" w:hAnsi="Times New Roman"/>
          <w:b/>
        </w:rPr>
      </w:pPr>
      <w:r>
        <w:rPr>
          <w:rFonts w:eastAsia="MS Gothic" w:cs="Times New Roman" w:ascii="Times New Roman" w:hAnsi="Times New Roman"/>
          <w:b/>
        </w:rPr>
        <w:t>V. 3</w:t>
        <w:tab/>
        <w:t>Informácie o údajoch na podsúvahových účtoch</w:t>
      </w:r>
    </w:p>
    <w:tbl>
      <w:tblPr>
        <w:jc w:val="left"/>
        <w:tblInd w:w="-89" w:type="dxa"/>
        <w:tblBorders>
          <w:top w:val="single" w:sz="18" w:space="0" w:color="000001"/>
          <w:left w:val="single" w:sz="18" w:space="0" w:color="000001"/>
          <w:bottom w:val="single" w:sz="18" w:space="0" w:color="000001"/>
          <w:insideH w:val="single" w:sz="18" w:space="0" w:color="000001"/>
          <w:right w:val="single" w:sz="12" w:space="0" w:color="000001"/>
          <w:insideV w:val="single" w:sz="12" w:space="0" w:color="000001"/>
        </w:tblBorders>
        <w:tblCellMar>
          <w:top w:w="0" w:type="dxa"/>
          <w:left w:w="-22" w:type="dxa"/>
          <w:bottom w:w="0" w:type="dxa"/>
          <w:right w:w="70" w:type="dxa"/>
        </w:tblCellMar>
      </w:tblPr>
      <w:tblGrid>
        <w:gridCol w:w="4123"/>
        <w:gridCol w:w="2649"/>
        <w:gridCol w:w="2569"/>
      </w:tblGrid>
      <w:tr>
        <w:trPr>
          <w:trHeight w:val="330" w:hRule="atLeast"/>
          <w:cantSplit w:val="false"/>
        </w:trPr>
        <w:tc>
          <w:tcPr>
            <w:tcW w:w="4123" w:type="dxa"/>
            <w:tcBorders>
              <w:top w:val="single" w:sz="18" w:space="0" w:color="000001"/>
              <w:left w:val="single" w:sz="18" w:space="0" w:color="000001"/>
              <w:bottom w:val="single" w:sz="18" w:space="0" w:color="000001"/>
              <w:insideH w:val="single" w:sz="1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Názov položky</w:t>
            </w:r>
          </w:p>
        </w:tc>
        <w:tc>
          <w:tcPr>
            <w:tcW w:w="2649" w:type="dxa"/>
            <w:tcBorders>
              <w:top w:val="single" w:sz="18" w:space="0" w:color="000001"/>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BO</w:t>
            </w:r>
          </w:p>
        </w:tc>
        <w:tc>
          <w:tcPr>
            <w:tcW w:w="2569" w:type="dxa"/>
            <w:tcBorders>
              <w:top w:val="single" w:sz="18" w:space="0" w:color="000001"/>
              <w:left w:val="single" w:sz="12" w:space="0" w:color="000001"/>
              <w:bottom w:val="single" w:sz="18" w:space="0" w:color="000001"/>
              <w:insideH w:val="single" w:sz="1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PO</w:t>
            </w:r>
          </w:p>
        </w:tc>
      </w:tr>
      <w:tr>
        <w:trPr>
          <w:trHeight w:val="144" w:hRule="atLeast"/>
          <w:cantSplit w:val="false"/>
        </w:trPr>
        <w:tc>
          <w:tcPr>
            <w:tcW w:w="4123" w:type="dxa"/>
            <w:tcBorders>
              <w:top w:val="single" w:sz="18" w:space="0" w:color="000001"/>
              <w:left w:val="single" w:sz="18" w:space="0" w:color="000001"/>
              <w:bottom w:val="single" w:sz="8" w:space="0" w:color="000001"/>
              <w:insideH w:val="single" w:sz="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rFonts w:eastAsia="Times New Roman" w:cs="Times New Roman"/>
                <w:color w:val="000000"/>
                <w:lang w:eastAsia="sk-SK"/>
              </w:rPr>
            </w:pPr>
            <w:r>
              <w:rPr>
                <w:rFonts w:eastAsia="Times New Roman" w:cs="Times New Roman"/>
                <w:color w:val="000000"/>
                <w:lang w:eastAsia="sk-SK"/>
              </w:rPr>
              <w:t>Prenajatý majetok</w:t>
            </w:r>
          </w:p>
        </w:tc>
        <w:tc>
          <w:tcPr>
            <w:tcW w:w="2649" w:type="dxa"/>
            <w:tcBorders>
              <w:top w:val="single" w:sz="1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right"/>
              <w:rPr>
                <w:rFonts w:eastAsia="Times New Roman" w:cs="Arial" w:ascii="Arial" w:hAnsi="Arial"/>
                <w:b/>
                <w:bCs/>
                <w:color w:val="2F75B5"/>
                <w:sz w:val="20"/>
                <w:szCs w:val="20"/>
                <w:lang w:eastAsia="sk-SK"/>
              </w:rPr>
            </w:pPr>
            <w:r>
              <w:rPr>
                <w:rFonts w:eastAsia="Times New Roman" w:cs="Arial" w:ascii="Arial" w:hAnsi="Arial"/>
                <w:b/>
                <w:bCs/>
                <w:color w:val="2F75B5"/>
                <w:sz w:val="20"/>
                <w:szCs w:val="20"/>
                <w:lang w:eastAsia="sk-SK"/>
              </w:rPr>
              <w:t> </w:t>
            </w:r>
          </w:p>
        </w:tc>
        <w:tc>
          <w:tcPr>
            <w:tcW w:w="2569" w:type="dxa"/>
            <w:tcBorders>
              <w:top w:val="single" w:sz="1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right"/>
              <w:rPr>
                <w:rFonts w:eastAsia="Times New Roman" w:cs="Arial" w:ascii="Arial" w:hAnsi="Arial"/>
                <w:b/>
                <w:bCs/>
                <w:color w:val="2F75B5"/>
                <w:sz w:val="20"/>
                <w:szCs w:val="20"/>
                <w:lang w:eastAsia="sk-SK"/>
              </w:rPr>
            </w:pPr>
            <w:r>
              <w:rPr>
                <w:rFonts w:eastAsia="Times New Roman" w:cs="Arial" w:ascii="Arial" w:hAnsi="Arial"/>
                <w:b/>
                <w:bCs/>
                <w:color w:val="2F75B5"/>
                <w:sz w:val="20"/>
                <w:szCs w:val="20"/>
                <w:lang w:eastAsia="sk-SK"/>
              </w:rPr>
              <w:t> </w:t>
            </w:r>
          </w:p>
        </w:tc>
      </w:tr>
      <w:tr>
        <w:trPr>
          <w:trHeight w:val="154" w:hRule="atLeast"/>
          <w:cantSplit w:val="false"/>
        </w:trPr>
        <w:tc>
          <w:tcPr>
            <w:tcW w:w="4123" w:type="dxa"/>
            <w:tcBorders>
              <w:top w:val="single" w:sz="8" w:space="0" w:color="000001"/>
              <w:left w:val="single" w:sz="18" w:space="0" w:color="000001"/>
              <w:bottom w:val="single" w:sz="8" w:space="0" w:color="000001"/>
              <w:insideH w:val="single" w:sz="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rFonts w:eastAsia="Times New Roman" w:cs="Times New Roman"/>
                <w:color w:val="000000"/>
                <w:lang w:eastAsia="sk-SK"/>
              </w:rPr>
            </w:pPr>
            <w:r>
              <w:rPr>
                <w:rFonts w:eastAsia="Times New Roman" w:cs="Times New Roman"/>
                <w:color w:val="000000"/>
                <w:lang w:eastAsia="sk-SK"/>
              </w:rPr>
              <w:t>Majetok v nájme - budova</w:t>
            </w:r>
          </w:p>
        </w:tc>
        <w:tc>
          <w:tcPr>
            <w:tcW w:w="2649"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t>248 148</w:t>
            </w:r>
          </w:p>
        </w:tc>
        <w:tc>
          <w:tcPr>
            <w:tcW w:w="2569"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t>248 148</w:t>
            </w:r>
          </w:p>
        </w:tc>
      </w:tr>
      <w:tr>
        <w:trPr>
          <w:trHeight w:val="186" w:hRule="atLeast"/>
          <w:cantSplit w:val="false"/>
        </w:trPr>
        <w:tc>
          <w:tcPr>
            <w:tcW w:w="4123" w:type="dxa"/>
            <w:tcBorders>
              <w:top w:val="single" w:sz="8" w:space="0" w:color="000001"/>
              <w:left w:val="single" w:sz="18" w:space="0" w:color="000001"/>
              <w:bottom w:val="single" w:sz="8" w:space="0" w:color="000001"/>
              <w:insideH w:val="single" w:sz="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rFonts w:eastAsia="Times New Roman" w:cs="Times New Roman"/>
                <w:color w:val="000000"/>
                <w:lang w:eastAsia="sk-SK"/>
              </w:rPr>
            </w:pPr>
            <w:r>
              <w:rPr>
                <w:rFonts w:eastAsia="Times New Roman" w:cs="Times New Roman"/>
                <w:color w:val="000000"/>
                <w:lang w:eastAsia="sk-SK"/>
              </w:rPr>
              <w:t>Majetok prijatý do úschovy</w:t>
            </w:r>
          </w:p>
        </w:tc>
        <w:tc>
          <w:tcPr>
            <w:tcW w:w="2649"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r>
          </w:p>
        </w:tc>
        <w:tc>
          <w:tcPr>
            <w:tcW w:w="2569"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r>
          </w:p>
        </w:tc>
      </w:tr>
      <w:tr>
        <w:trPr>
          <w:trHeight w:val="204" w:hRule="atLeast"/>
          <w:cantSplit w:val="false"/>
        </w:trPr>
        <w:tc>
          <w:tcPr>
            <w:tcW w:w="4123" w:type="dxa"/>
            <w:tcBorders>
              <w:top w:val="single" w:sz="8" w:space="0" w:color="000001"/>
              <w:left w:val="single" w:sz="18" w:space="0" w:color="000001"/>
              <w:bottom w:val="single" w:sz="8" w:space="0" w:color="000001"/>
              <w:insideH w:val="single" w:sz="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rFonts w:eastAsia="Times New Roman" w:cs="Times New Roman"/>
                <w:color w:val="000000"/>
                <w:lang w:eastAsia="sk-SK"/>
              </w:rPr>
            </w:pPr>
            <w:r>
              <w:rPr>
                <w:rFonts w:eastAsia="Times New Roman" w:cs="Times New Roman"/>
                <w:color w:val="000000"/>
                <w:lang w:eastAsia="sk-SK"/>
              </w:rPr>
              <w:t>Pohľadávky z derivátov</w:t>
            </w:r>
          </w:p>
        </w:tc>
        <w:tc>
          <w:tcPr>
            <w:tcW w:w="2649"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r>
          </w:p>
        </w:tc>
        <w:tc>
          <w:tcPr>
            <w:tcW w:w="2569"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r>
          </w:p>
        </w:tc>
      </w:tr>
      <w:tr>
        <w:trPr>
          <w:trHeight w:val="223" w:hRule="atLeast"/>
          <w:cantSplit w:val="false"/>
        </w:trPr>
        <w:tc>
          <w:tcPr>
            <w:tcW w:w="4123" w:type="dxa"/>
            <w:tcBorders>
              <w:top w:val="single" w:sz="8" w:space="0" w:color="000001"/>
              <w:left w:val="single" w:sz="18" w:space="0" w:color="000001"/>
              <w:bottom w:val="single" w:sz="8" w:space="0" w:color="000001"/>
              <w:insideH w:val="single" w:sz="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rFonts w:eastAsia="Times New Roman" w:cs="Times New Roman"/>
                <w:color w:val="000000"/>
                <w:lang w:eastAsia="sk-SK"/>
              </w:rPr>
            </w:pPr>
            <w:r>
              <w:rPr>
                <w:rFonts w:eastAsia="Times New Roman" w:cs="Times New Roman"/>
                <w:color w:val="000000"/>
                <w:lang w:eastAsia="sk-SK"/>
              </w:rPr>
              <w:t>Záväzky z opcií derivátov</w:t>
            </w:r>
          </w:p>
        </w:tc>
        <w:tc>
          <w:tcPr>
            <w:tcW w:w="2649"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r>
          </w:p>
        </w:tc>
        <w:tc>
          <w:tcPr>
            <w:tcW w:w="2569"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r>
          </w:p>
        </w:tc>
      </w:tr>
      <w:tr>
        <w:trPr>
          <w:trHeight w:val="240" w:hRule="atLeast"/>
          <w:cantSplit w:val="false"/>
        </w:trPr>
        <w:tc>
          <w:tcPr>
            <w:tcW w:w="4123" w:type="dxa"/>
            <w:tcBorders>
              <w:top w:val="single" w:sz="8" w:space="0" w:color="000001"/>
              <w:left w:val="single" w:sz="18" w:space="0" w:color="000001"/>
              <w:bottom w:val="single" w:sz="8" w:space="0" w:color="000001"/>
              <w:insideH w:val="single" w:sz="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rFonts w:eastAsia="Times New Roman" w:cs="Times New Roman"/>
                <w:color w:val="000000"/>
                <w:lang w:eastAsia="sk-SK"/>
              </w:rPr>
            </w:pPr>
            <w:r>
              <w:rPr>
                <w:rFonts w:eastAsia="Times New Roman" w:cs="Times New Roman"/>
                <w:color w:val="000000"/>
                <w:lang w:eastAsia="sk-SK"/>
              </w:rPr>
              <w:t>Odpísané pohľadávky</w:t>
            </w:r>
          </w:p>
        </w:tc>
        <w:tc>
          <w:tcPr>
            <w:tcW w:w="2649"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t xml:space="preserve">   </w:t>
            </w:r>
            <w:r>
              <w:rPr>
                <w:rFonts w:eastAsia="Times New Roman" w:cs="Arial"/>
                <w:bCs/>
                <w:color w:val="000000"/>
                <w:sz w:val="22"/>
                <w:szCs w:val="22"/>
                <w:lang w:eastAsia="sk-SK"/>
              </w:rPr>
              <w:t xml:space="preserve">27 999  </w:t>
            </w:r>
          </w:p>
        </w:tc>
        <w:tc>
          <w:tcPr>
            <w:tcW w:w="2569"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center"/>
              <w:rPr>
                <w:rFonts w:eastAsia="Times New Roman" w:cs="Arial"/>
                <w:bCs/>
                <w:color w:val="000000"/>
                <w:sz w:val="22"/>
                <w:szCs w:val="22"/>
                <w:lang w:eastAsia="sk-SK"/>
              </w:rPr>
            </w:pPr>
            <w:r>
              <w:rPr>
                <w:rFonts w:eastAsia="Times New Roman" w:cs="Arial"/>
                <w:bCs/>
                <w:color w:val="000000"/>
                <w:sz w:val="22"/>
                <w:szCs w:val="22"/>
                <w:lang w:eastAsia="sk-SK"/>
              </w:rPr>
              <w:t xml:space="preserve"> </w:t>
            </w:r>
            <w:r>
              <w:rPr>
                <w:rFonts w:eastAsia="Times New Roman" w:cs="Arial"/>
                <w:bCs/>
                <w:color w:val="000000"/>
                <w:sz w:val="22"/>
                <w:szCs w:val="22"/>
                <w:lang w:eastAsia="sk-SK"/>
              </w:rPr>
              <w:t>26 071</w:t>
            </w:r>
          </w:p>
        </w:tc>
      </w:tr>
      <w:tr>
        <w:trPr>
          <w:trHeight w:val="273" w:hRule="atLeast"/>
          <w:cantSplit w:val="false"/>
        </w:trPr>
        <w:tc>
          <w:tcPr>
            <w:tcW w:w="4123" w:type="dxa"/>
            <w:tcBorders>
              <w:top w:val="single" w:sz="8" w:space="0" w:color="000001"/>
              <w:left w:val="single" w:sz="18" w:space="0" w:color="000001"/>
              <w:bottom w:val="single" w:sz="8" w:space="0" w:color="000001"/>
              <w:insideH w:val="single" w:sz="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pPr>
            <w:r>
              <w:rPr/>
              <w:t>Postúpené pohľadávky</w:t>
            </w:r>
          </w:p>
        </w:tc>
        <w:tc>
          <w:tcPr>
            <w:tcW w:w="2649"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center"/>
              <w:rPr>
                <w:rFonts w:cs="Arial"/>
                <w:color w:val="000000"/>
                <w:sz w:val="22"/>
                <w:szCs w:val="22"/>
              </w:rPr>
            </w:pPr>
            <w:r>
              <w:rPr>
                <w:rFonts w:cs="Arial"/>
                <w:color w:val="000000"/>
                <w:sz w:val="22"/>
                <w:szCs w:val="22"/>
              </w:rPr>
              <w:t xml:space="preserve"> </w:t>
            </w:r>
            <w:r>
              <w:rPr>
                <w:rFonts w:cs="Arial"/>
                <w:color w:val="000000"/>
                <w:sz w:val="22"/>
                <w:szCs w:val="22"/>
              </w:rPr>
              <w:t>70 585</w:t>
            </w:r>
          </w:p>
        </w:tc>
        <w:tc>
          <w:tcPr>
            <w:tcW w:w="2569"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center"/>
              <w:rPr>
                <w:rFonts w:cs="Arial"/>
                <w:color w:val="000000"/>
                <w:sz w:val="22"/>
                <w:szCs w:val="22"/>
              </w:rPr>
            </w:pPr>
            <w:r>
              <w:rPr>
                <w:rFonts w:cs="Arial"/>
                <w:color w:val="000000"/>
                <w:sz w:val="22"/>
                <w:szCs w:val="22"/>
              </w:rPr>
              <w:t xml:space="preserve"> </w:t>
            </w:r>
            <w:r>
              <w:rPr>
                <w:rFonts w:cs="Arial"/>
                <w:color w:val="000000"/>
                <w:sz w:val="22"/>
                <w:szCs w:val="22"/>
              </w:rPr>
              <w:t>70 585</w:t>
            </w:r>
          </w:p>
        </w:tc>
      </w:tr>
      <w:tr>
        <w:trPr>
          <w:trHeight w:val="273" w:hRule="atLeast"/>
          <w:cantSplit w:val="false"/>
        </w:trPr>
        <w:tc>
          <w:tcPr>
            <w:tcW w:w="4123" w:type="dxa"/>
            <w:tcBorders>
              <w:top w:val="nil"/>
              <w:left w:val="single" w:sz="18" w:space="0" w:color="000001"/>
              <w:bottom w:val="single" w:sz="8" w:space="0" w:color="000001"/>
              <w:insideH w:val="single" w:sz="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rFonts w:eastAsia="Times New Roman" w:cs="Times New Roman"/>
                <w:color w:val="2F75B5"/>
                <w:lang w:eastAsia="sk-SK"/>
              </w:rPr>
            </w:pPr>
            <w:r>
              <w:rPr>
                <w:rFonts w:eastAsia="Times New Roman" w:cs="Times New Roman"/>
                <w:color w:val="000000"/>
                <w:lang w:eastAsia="sk-SK"/>
              </w:rPr>
              <w:t>Pohľadávky z leasingu</w:t>
            </w:r>
            <w:r>
              <w:rPr>
                <w:rFonts w:eastAsia="Times New Roman" w:cs="Times New Roman"/>
                <w:color w:val="2F75B5"/>
                <w:lang w:eastAsia="sk-SK"/>
              </w:rPr>
              <w:t>  </w:t>
            </w:r>
          </w:p>
        </w:tc>
        <w:tc>
          <w:tcPr>
            <w:tcW w:w="2649" w:type="dxa"/>
            <w:tcBorders>
              <w:top w:val="nil"/>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right"/>
              <w:rPr/>
            </w:pPr>
            <w:r>
              <w:rPr/>
            </w:r>
          </w:p>
        </w:tc>
        <w:tc>
          <w:tcPr>
            <w:tcW w:w="2569" w:type="dxa"/>
            <w:tcBorders>
              <w:top w:val="nil"/>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right"/>
              <w:rPr/>
            </w:pPr>
            <w:r>
              <w:rPr/>
            </w:r>
          </w:p>
        </w:tc>
      </w:tr>
      <w:tr>
        <w:trPr>
          <w:trHeight w:val="120" w:hRule="atLeast"/>
          <w:cantSplit w:val="false"/>
        </w:trPr>
        <w:tc>
          <w:tcPr>
            <w:tcW w:w="4123" w:type="dxa"/>
            <w:tcBorders>
              <w:top w:val="single" w:sz="8" w:space="0" w:color="000001"/>
              <w:left w:val="single" w:sz="18" w:space="0" w:color="000001"/>
              <w:bottom w:val="single" w:sz="8" w:space="0" w:color="000001"/>
              <w:insideH w:val="single" w:sz="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rFonts w:eastAsia="Times New Roman" w:cs="Times New Roman"/>
                <w:color w:val="000000"/>
                <w:lang w:eastAsia="sk-SK"/>
              </w:rPr>
            </w:pPr>
            <w:r>
              <w:rPr>
                <w:rFonts w:eastAsia="Times New Roman" w:cs="Times New Roman"/>
                <w:color w:val="000000"/>
                <w:lang w:eastAsia="sk-SK"/>
              </w:rPr>
              <w:t>Záväzky z leasingu</w:t>
            </w:r>
          </w:p>
        </w:tc>
        <w:tc>
          <w:tcPr>
            <w:tcW w:w="2649"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right"/>
              <w:rPr>
                <w:rFonts w:eastAsia="Times New Roman" w:cs="Times New Roman" w:ascii="Times New Roman" w:hAnsi="Times New Roman"/>
                <w:b/>
                <w:bCs/>
                <w:color w:val="2F75B5"/>
                <w:lang w:eastAsia="sk-SK"/>
              </w:rPr>
            </w:pPr>
            <w:r>
              <w:rPr>
                <w:rFonts w:eastAsia="Times New Roman" w:cs="Times New Roman" w:ascii="Times New Roman" w:hAnsi="Times New Roman"/>
                <w:b/>
                <w:bCs/>
                <w:color w:val="2F75B5"/>
                <w:lang w:eastAsia="sk-SK"/>
              </w:rPr>
              <w:t> </w:t>
            </w:r>
          </w:p>
        </w:tc>
        <w:tc>
          <w:tcPr>
            <w:tcW w:w="2569"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right"/>
              <w:rPr>
                <w:rFonts w:eastAsia="Times New Roman" w:cs="Times New Roman" w:ascii="Times New Roman" w:hAnsi="Times New Roman"/>
                <w:b/>
                <w:bCs/>
                <w:color w:val="2F75B5"/>
                <w:lang w:eastAsia="sk-SK"/>
              </w:rPr>
            </w:pPr>
            <w:r>
              <w:rPr>
                <w:rFonts w:eastAsia="Times New Roman" w:cs="Times New Roman" w:ascii="Times New Roman" w:hAnsi="Times New Roman"/>
                <w:b/>
                <w:bCs/>
                <w:color w:val="2F75B5"/>
                <w:lang w:eastAsia="sk-SK"/>
              </w:rPr>
              <w:t> </w:t>
            </w:r>
          </w:p>
        </w:tc>
      </w:tr>
      <w:tr>
        <w:trPr>
          <w:trHeight w:val="138" w:hRule="atLeast"/>
          <w:cantSplit w:val="false"/>
        </w:trPr>
        <w:tc>
          <w:tcPr>
            <w:tcW w:w="4123" w:type="dxa"/>
            <w:tcBorders>
              <w:top w:val="single" w:sz="8" w:space="0" w:color="000001"/>
              <w:left w:val="single" w:sz="18" w:space="0" w:color="000001"/>
              <w:bottom w:val="single" w:sz="18" w:space="0" w:color="000001"/>
              <w:insideH w:val="single" w:sz="18" w:space="0" w:color="000001"/>
              <w:right w:val="single" w:sz="12" w:space="0" w:color="000001"/>
              <w:insideV w:val="single" w:sz="12" w:space="0" w:color="000001"/>
            </w:tcBorders>
            <w:shd w:fill="FFFFFF" w:val="clear"/>
            <w:tcMar>
              <w:left w:w="-22" w:type="dxa"/>
            </w:tcMar>
            <w:vAlign w:val="center"/>
          </w:tcPr>
          <w:p>
            <w:pPr>
              <w:pStyle w:val="Normal"/>
              <w:spacing w:lineRule="auto" w:line="240" w:before="0" w:after="0"/>
              <w:ind w:left="142" w:right="0" w:hanging="0"/>
              <w:rPr>
                <w:rFonts w:eastAsia="Times New Roman" w:cs="Times New Roman"/>
                <w:color w:val="000000"/>
                <w:lang w:eastAsia="sk-SK"/>
              </w:rPr>
            </w:pPr>
            <w:r>
              <w:rPr>
                <w:rFonts w:eastAsia="Times New Roman" w:cs="Times New Roman"/>
                <w:color w:val="000000"/>
                <w:lang w:eastAsia="sk-SK"/>
              </w:rPr>
              <w:t>Iné položky</w:t>
            </w:r>
          </w:p>
        </w:tc>
        <w:tc>
          <w:tcPr>
            <w:tcW w:w="2649" w:type="dxa"/>
            <w:tcBorders>
              <w:top w:val="single" w:sz="8" w:space="0" w:color="000001"/>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15" w:type="dxa"/>
            </w:tcMar>
            <w:vAlign w:val="center"/>
          </w:tcPr>
          <w:p>
            <w:pPr>
              <w:pStyle w:val="Normal"/>
              <w:spacing w:lineRule="auto" w:line="240" w:before="0" w:after="0"/>
              <w:ind w:left="142" w:right="0" w:hanging="0"/>
              <w:jc w:val="right"/>
              <w:rPr>
                <w:rFonts w:eastAsia="Times New Roman" w:cs="Times New Roman" w:ascii="Times New Roman" w:hAnsi="Times New Roman"/>
                <w:b/>
                <w:bCs/>
                <w:color w:val="2F75B5"/>
                <w:lang w:eastAsia="sk-SK"/>
              </w:rPr>
            </w:pPr>
            <w:r>
              <w:rPr>
                <w:rFonts w:eastAsia="Times New Roman" w:cs="Times New Roman" w:ascii="Times New Roman" w:hAnsi="Times New Roman"/>
                <w:b/>
                <w:bCs/>
                <w:color w:val="2F75B5"/>
                <w:lang w:eastAsia="sk-SK"/>
              </w:rPr>
              <w:t> </w:t>
            </w:r>
          </w:p>
        </w:tc>
        <w:tc>
          <w:tcPr>
            <w:tcW w:w="2569" w:type="dxa"/>
            <w:tcBorders>
              <w:top w:val="single" w:sz="8" w:space="0" w:color="000001"/>
              <w:left w:val="single" w:sz="12" w:space="0" w:color="000001"/>
              <w:bottom w:val="single" w:sz="18" w:space="0" w:color="000001"/>
              <w:insideH w:val="single" w:sz="18" w:space="0" w:color="000001"/>
              <w:right w:val="single" w:sz="18" w:space="0" w:color="000001"/>
              <w:insideV w:val="single" w:sz="18" w:space="0" w:color="000001"/>
            </w:tcBorders>
            <w:shd w:fill="FFFFFF" w:val="clear"/>
            <w:tcMar>
              <w:left w:w="-15" w:type="dxa"/>
            </w:tcMar>
            <w:vAlign w:val="center"/>
          </w:tcPr>
          <w:p>
            <w:pPr>
              <w:pStyle w:val="Normal"/>
              <w:spacing w:lineRule="auto" w:line="240" w:before="0" w:after="0"/>
              <w:ind w:left="142" w:right="0" w:hanging="0"/>
              <w:jc w:val="right"/>
              <w:rPr>
                <w:rFonts w:eastAsia="Times New Roman" w:cs="Times New Roman" w:ascii="Times New Roman" w:hAnsi="Times New Roman"/>
                <w:b/>
                <w:bCs/>
                <w:color w:val="2F75B5"/>
                <w:lang w:eastAsia="sk-SK"/>
              </w:rPr>
            </w:pPr>
            <w:r>
              <w:rPr>
                <w:rFonts w:eastAsia="Times New Roman" w:cs="Times New Roman" w:ascii="Times New Roman" w:hAnsi="Times New Roman"/>
                <w:b/>
                <w:bCs/>
                <w:color w:val="2F75B5"/>
                <w:lang w:eastAsia="sk-SK"/>
              </w:rPr>
              <w:t> </w:t>
            </w:r>
          </w:p>
        </w:tc>
      </w:tr>
    </w:tbl>
    <w:p>
      <w:pPr>
        <w:pStyle w:val="Normal"/>
        <w:spacing w:lineRule="auto" w:line="240"/>
        <w:ind w:left="142" w:right="0" w:hanging="0"/>
        <w:jc w:val="both"/>
        <w:rPr/>
      </w:pPr>
      <w:r>
        <w:rPr/>
      </w:r>
    </w:p>
    <w:p>
      <w:pPr>
        <w:pStyle w:val="Normal"/>
        <w:spacing w:lineRule="auto" w:line="240"/>
        <w:ind w:left="142" w:right="0" w:hanging="0"/>
        <w:jc w:val="both"/>
        <w:rPr>
          <w:rFonts w:eastAsia="MS Gothic" w:cs="Times New Roman" w:ascii="Times New Roman" w:hAnsi="Times New Roman"/>
          <w:b/>
          <w:szCs w:val="24"/>
        </w:rPr>
      </w:pPr>
      <w:r>
        <w:rPr>
          <w:rFonts w:eastAsia="MS Gothic" w:cs="Times New Roman" w:ascii="Times New Roman" w:hAnsi="Times New Roman"/>
          <w:b/>
          <w:szCs w:val="24"/>
        </w:rPr>
        <w:t xml:space="preserve">Ďalšie dôležité informácie o sumách na podsúvahových účtoch: </w:t>
      </w:r>
    </w:p>
    <w:p>
      <w:pPr>
        <w:pStyle w:val="Normal"/>
        <w:spacing w:lineRule="auto" w:line="240"/>
        <w:ind w:left="142" w:right="0" w:hanging="0"/>
        <w:jc w:val="both"/>
        <w:rPr/>
      </w:pPr>
      <w:r>
        <w:rPr/>
        <w:t xml:space="preserve"> </w:t>
      </w:r>
    </w:p>
    <w:p>
      <w:pPr>
        <w:pStyle w:val="Normal"/>
        <w:spacing w:lineRule="auto" w:line="240"/>
        <w:ind w:left="142" w:right="0" w:hanging="0"/>
        <w:jc w:val="both"/>
        <w:rPr>
          <w:rFonts w:eastAsia="MS Gothic" w:cs="Times New Roman" w:ascii="Times New Roman" w:hAnsi="Times New Roman"/>
        </w:rPr>
      </w:pPr>
      <w:r>
        <w:rPr>
          <w:rFonts w:eastAsia="MS Gothic" w:cs="Times New Roman" w:ascii="Times New Roman" w:hAnsi="Times New Roman"/>
        </w:rPr>
        <w:t>Na podsúvahových účtoch je vedený majetok- budova, ktorú máme v nájme, odpísané pohľadávky voči 1 dlžníkovi a nadobudnuté postúpené pohľadávky voči 1 dlžníkovi.</w:t>
      </w:r>
    </w:p>
    <w:p>
      <w:pPr>
        <w:pStyle w:val="Normal"/>
        <w:spacing w:lineRule="auto" w:line="240"/>
        <w:ind w:left="142" w:right="0" w:hanging="0"/>
        <w:jc w:val="both"/>
        <w:rPr>
          <w:rFonts w:eastAsia="MS Gothic" w:cs="Times New Roman" w:ascii="Times New Roman" w:hAnsi="Times New Roman"/>
          <w:color w:val="5B9BD5"/>
        </w:rPr>
      </w:pPr>
      <w:r>
        <w:rPr>
          <w:rFonts w:eastAsia="MS Gothic" w:cs="Times New Roman" w:ascii="Times New Roman" w:hAnsi="Times New Roman"/>
          <w:color w:val="5B9BD5"/>
        </w:rPr>
      </w:r>
    </w:p>
    <w:p>
      <w:pPr>
        <w:pStyle w:val="Normal"/>
        <w:spacing w:lineRule="auto" w:line="240"/>
        <w:ind w:left="142" w:right="0" w:hanging="0"/>
        <w:jc w:val="both"/>
        <w:rPr>
          <w:rFonts w:eastAsia="MS Gothic" w:cs="Arial" w:ascii="Arial" w:hAnsi="Arial"/>
          <w:b/>
          <w:color w:val="000000"/>
          <w:sz w:val="24"/>
          <w:szCs w:val="24"/>
        </w:rPr>
      </w:pPr>
      <w:r>
        <w:rPr>
          <w:rFonts w:eastAsia="MS Gothic" w:cs="Arial" w:ascii="Arial" w:hAnsi="Arial"/>
          <w:b/>
          <w:color w:val="000000"/>
          <w:sz w:val="24"/>
          <w:szCs w:val="24"/>
        </w:rPr>
      </w:r>
    </w:p>
    <w:p>
      <w:pPr>
        <w:pStyle w:val="Normal"/>
        <w:spacing w:lineRule="auto" w:line="240"/>
        <w:ind w:left="142" w:right="0" w:hanging="0"/>
        <w:jc w:val="center"/>
        <w:rPr>
          <w:rFonts w:cs="Arial" w:ascii="Arial" w:hAnsi="Arial"/>
          <w:b/>
          <w:color w:val="000000"/>
          <w:szCs w:val="24"/>
        </w:rPr>
      </w:pPr>
      <w:r>
        <w:rPr>
          <w:rFonts w:cs="Arial" w:ascii="Arial" w:hAnsi="Arial"/>
          <w:b/>
          <w:color w:val="000000"/>
          <w:szCs w:val="24"/>
        </w:rPr>
        <w:t>Článok VI</w:t>
        <w:tab/>
      </w:r>
    </w:p>
    <w:p>
      <w:pPr>
        <w:pStyle w:val="Normal"/>
        <w:spacing w:lineRule="auto" w:line="240"/>
        <w:ind w:left="142" w:right="0" w:hanging="0"/>
        <w:jc w:val="center"/>
        <w:rPr>
          <w:rFonts w:cs="Arial" w:ascii="Arial" w:hAnsi="Arial"/>
          <w:b/>
          <w:color w:val="000000"/>
          <w:szCs w:val="24"/>
        </w:rPr>
      </w:pPr>
      <w:r>
        <w:rPr>
          <w:rFonts w:cs="Arial" w:ascii="Arial" w:hAnsi="Arial"/>
          <w:b/>
          <w:color w:val="000000"/>
          <w:szCs w:val="24"/>
        </w:rPr>
        <w:t> </w:t>
      </w:r>
      <w:r>
        <w:rPr>
          <w:rFonts w:cs="Arial" w:ascii="Arial" w:hAnsi="Arial"/>
          <w:b/>
          <w:color w:val="000000"/>
          <w:szCs w:val="24"/>
        </w:rPr>
        <w:t>Udalosti, ktoré nastali po dni, ku ktorému sa zostavuje účtovná závierka</w:t>
      </w:r>
    </w:p>
    <w:p>
      <w:pPr>
        <w:pStyle w:val="Normal"/>
        <w:spacing w:lineRule="auto" w:line="240"/>
        <w:ind w:left="142" w:right="0" w:hanging="0"/>
        <w:jc w:val="both"/>
        <w:rPr>
          <w:rFonts w:eastAsia="MS Gothic" w:cs="Times New Roman" w:ascii="Times New Roman" w:hAnsi="Times New Roman"/>
          <w:b/>
        </w:rPr>
      </w:pPr>
      <w:r>
        <w:rPr>
          <w:rFonts w:eastAsia="MS Gothic" w:cs="Times New Roman" w:ascii="Times New Roman" w:hAnsi="Times New Roman"/>
          <w:b/>
        </w:rPr>
        <w:t>VI. a) – j)   Udalosti, ktoré nastali po dni, ku ktorému sa zostavuje účtovná závierka</w:t>
      </w:r>
    </w:p>
    <w:tbl>
      <w:tblPr>
        <w:jc w:val="left"/>
        <w:tblInd w:w="-66" w:type="dxa"/>
        <w:tblBorders>
          <w:top w:val="single" w:sz="18" w:space="0" w:color="000001"/>
          <w:left w:val="single" w:sz="18" w:space="0" w:color="000001"/>
          <w:bottom w:val="single" w:sz="12" w:space="0" w:color="000001"/>
          <w:insideH w:val="single" w:sz="12" w:space="0" w:color="000001"/>
          <w:right w:val="single" w:sz="12" w:space="0" w:color="000001"/>
          <w:insideV w:val="single" w:sz="12" w:space="0" w:color="000001"/>
        </w:tblBorders>
        <w:tblCellMar>
          <w:top w:w="0" w:type="dxa"/>
          <w:left w:w="-21" w:type="dxa"/>
          <w:bottom w:w="0" w:type="dxa"/>
          <w:right w:w="70" w:type="dxa"/>
        </w:tblCellMar>
      </w:tblPr>
      <w:tblGrid>
        <w:gridCol w:w="4127"/>
        <w:gridCol w:w="1933"/>
        <w:gridCol w:w="1696"/>
        <w:gridCol w:w="1572"/>
      </w:tblGrid>
      <w:tr>
        <w:trPr>
          <w:trHeight w:val="330" w:hRule="atLeast"/>
          <w:cantSplit w:val="false"/>
        </w:trPr>
        <w:tc>
          <w:tcPr>
            <w:tcW w:w="4127" w:type="dxa"/>
            <w:vMerge w:val="restart"/>
            <w:tcBorders>
              <w:top w:val="single" w:sz="18" w:space="0" w:color="000001"/>
              <w:left w:val="single" w:sz="18" w:space="0" w:color="000001"/>
              <w:bottom w:val="single" w:sz="12" w:space="0" w:color="000001"/>
              <w:insideH w:val="single" w:sz="12" w:space="0" w:color="000001"/>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jc w:val="center"/>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t>Zoznam udalostí, ktoré nastali alebo sú dôsledkom okolností po dni, ku ktorému sa zostavuje účtovná závierka do dňa zostavenia účtovnej závierky</w:t>
            </w:r>
          </w:p>
        </w:tc>
        <w:tc>
          <w:tcPr>
            <w:tcW w:w="1933" w:type="dxa"/>
            <w:vMerge w:val="restart"/>
            <w:tcBorders>
              <w:top w:val="single" w:sz="18" w:space="0" w:color="000001"/>
              <w:left w:val="single" w:sz="12" w:space="0" w:color="000001"/>
              <w:bottom w:val="single" w:sz="12" w:space="0" w:color="000001"/>
              <w:insideH w:val="single" w:sz="12"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Dôvod</w:t>
            </w:r>
          </w:p>
        </w:tc>
        <w:tc>
          <w:tcPr>
            <w:tcW w:w="3268" w:type="dxa"/>
            <w:gridSpan w:val="2"/>
            <w:tcBorders>
              <w:top w:val="single" w:sz="18" w:space="0" w:color="000001"/>
              <w:left w:val="single" w:sz="12" w:space="0" w:color="000001"/>
              <w:bottom w:val="single" w:sz="12" w:space="0" w:color="000001"/>
              <w:insideH w:val="single" w:sz="12"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Hodnota</w:t>
            </w:r>
          </w:p>
        </w:tc>
      </w:tr>
      <w:tr>
        <w:trPr>
          <w:trHeight w:val="318" w:hRule="atLeast"/>
          <w:cantSplit w:val="false"/>
        </w:trPr>
        <w:tc>
          <w:tcPr>
            <w:tcW w:w="4127" w:type="dxa"/>
            <w:vMerge w:val="continue"/>
            <w:tcBorders>
              <w:top w:val="single" w:sz="12" w:space="0" w:color="000001"/>
              <w:left w:val="single" w:sz="18" w:space="0" w:color="000001"/>
              <w:bottom w:val="single" w:sz="18" w:space="0" w:color="000001"/>
              <w:insideH w:val="single" w:sz="18" w:space="0" w:color="000001"/>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b/>
                <w:bCs/>
                <w:color w:val="000000"/>
                <w:lang w:eastAsia="sk-SK"/>
              </w:rPr>
            </w:pPr>
            <w:r>
              <w:rPr>
                <w:rFonts w:eastAsia="Times New Roman" w:cs="Times New Roman" w:ascii="Times New Roman" w:hAnsi="Times New Roman"/>
                <w:b/>
                <w:bCs/>
                <w:color w:val="000000"/>
                <w:lang w:eastAsia="sk-SK"/>
              </w:rPr>
            </w:r>
          </w:p>
        </w:tc>
        <w:tc>
          <w:tcPr>
            <w:tcW w:w="1933" w:type="dxa"/>
            <w:vMerge w:val="continue"/>
            <w:tcBorders>
              <w:top w:val="single" w:sz="12" w:space="0" w:color="000001"/>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b/>
                <w:bCs/>
                <w:lang w:eastAsia="sk-SK"/>
              </w:rPr>
            </w:pPr>
            <w:r>
              <w:rPr>
                <w:rFonts w:eastAsia="Times New Roman" w:cs="Times New Roman" w:ascii="Times New Roman" w:hAnsi="Times New Roman"/>
                <w:b/>
                <w:bCs/>
                <w:lang w:eastAsia="sk-SK"/>
              </w:rPr>
            </w:r>
          </w:p>
        </w:tc>
        <w:tc>
          <w:tcPr>
            <w:tcW w:w="1696" w:type="dxa"/>
            <w:tcBorders>
              <w:top w:val="single" w:sz="12" w:space="0" w:color="000001"/>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BO</w:t>
            </w:r>
          </w:p>
        </w:tc>
        <w:tc>
          <w:tcPr>
            <w:tcW w:w="1572" w:type="dxa"/>
            <w:tcBorders>
              <w:top w:val="single" w:sz="12" w:space="0" w:color="000001"/>
              <w:left w:val="single" w:sz="12" w:space="0" w:color="000001"/>
              <w:bottom w:val="single" w:sz="18" w:space="0" w:color="000001"/>
              <w:insideH w:val="single" w:sz="1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center"/>
              <w:rPr>
                <w:rFonts w:eastAsia="Times New Roman" w:cs="Times New Roman" w:ascii="Times New Roman" w:hAnsi="Times New Roman"/>
                <w:b/>
                <w:bCs/>
                <w:lang w:eastAsia="sk-SK"/>
              </w:rPr>
            </w:pPr>
            <w:r>
              <w:rPr>
                <w:rFonts w:eastAsia="Times New Roman" w:cs="Times New Roman" w:ascii="Times New Roman" w:hAnsi="Times New Roman"/>
                <w:b/>
                <w:bCs/>
                <w:lang w:eastAsia="sk-SK"/>
              </w:rPr>
              <w:t>PO</w:t>
            </w:r>
          </w:p>
        </w:tc>
      </w:tr>
      <w:tr>
        <w:trPr>
          <w:trHeight w:val="1192" w:hRule="atLeast"/>
          <w:cantSplit w:val="false"/>
        </w:trPr>
        <w:tc>
          <w:tcPr>
            <w:tcW w:w="4127" w:type="dxa"/>
            <w:tcBorders>
              <w:top w:val="single" w:sz="18" w:space="0" w:color="000001"/>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Pokles alebo zvýšenie trhovej ceny finančného majetku ako dôsledku udalostí, ktoré nastali po dni, ku ktorému sa zostavuje účtovná závierka do dňa zostavenia účtovnej závierky, s uvedením dôvodu týchto zmien</w:t>
            </w:r>
          </w:p>
        </w:tc>
        <w:tc>
          <w:tcPr>
            <w:tcW w:w="1933" w:type="dxa"/>
            <w:tcBorders>
              <w:top w:val="single" w:sz="1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696" w:type="dxa"/>
            <w:tcBorders>
              <w:top w:val="single" w:sz="1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572" w:type="dxa"/>
            <w:tcBorders>
              <w:top w:val="single" w:sz="1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r>
        <w:trPr>
          <w:trHeight w:val="635" w:hRule="atLeast"/>
          <w:cantSplit w:val="false"/>
        </w:trPr>
        <w:tc>
          <w:tcPr>
            <w:tcW w:w="4127"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Zmena výšky rezerv a opravných položiek, o ktorých sa účtovná jednotka dozvedela v hore uvedenom období</w:t>
            </w:r>
          </w:p>
        </w:tc>
        <w:tc>
          <w:tcPr>
            <w:tcW w:w="1933"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pPr>
            <w:r>
              <w:rPr/>
            </w:r>
          </w:p>
        </w:tc>
        <w:tc>
          <w:tcPr>
            <w:tcW w:w="1696"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pPr>
            <w:r>
              <w:rPr/>
            </w:r>
          </w:p>
        </w:tc>
        <w:tc>
          <w:tcPr>
            <w:tcW w:w="1572"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r>
        <w:trPr>
          <w:trHeight w:val="278" w:hRule="atLeast"/>
          <w:cantSplit w:val="false"/>
        </w:trPr>
        <w:tc>
          <w:tcPr>
            <w:tcW w:w="4127"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Zmena spoločníkov účtovnej jednotky</w:t>
            </w:r>
          </w:p>
        </w:tc>
        <w:tc>
          <w:tcPr>
            <w:tcW w:w="1933"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696"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572"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r>
        <w:trPr>
          <w:trHeight w:val="566" w:hRule="atLeast"/>
          <w:cantSplit w:val="false"/>
        </w:trPr>
        <w:tc>
          <w:tcPr>
            <w:tcW w:w="4127"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Prijatie rozhodnutia o predaji účtovnej jednotky, alebo jej časti</w:t>
            </w:r>
          </w:p>
        </w:tc>
        <w:tc>
          <w:tcPr>
            <w:tcW w:w="1933"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696"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572"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r>
        <w:trPr>
          <w:trHeight w:val="546" w:hRule="atLeast"/>
          <w:cantSplit w:val="false"/>
        </w:trPr>
        <w:tc>
          <w:tcPr>
            <w:tcW w:w="4127"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Zmeny významných položiek dlhodobého finančného majetku</w:t>
            </w:r>
          </w:p>
        </w:tc>
        <w:tc>
          <w:tcPr>
            <w:tcW w:w="1933"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696"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572"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r>
        <w:trPr>
          <w:trHeight w:val="600" w:hRule="atLeast"/>
          <w:cantSplit w:val="false"/>
        </w:trPr>
        <w:tc>
          <w:tcPr>
            <w:tcW w:w="4127"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Začatie alebo ukončenie činnosti časti účtovnej jednotky (napr. prevádzkarne)</w:t>
            </w:r>
          </w:p>
        </w:tc>
        <w:tc>
          <w:tcPr>
            <w:tcW w:w="1933"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696"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572"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r>
        <w:trPr>
          <w:trHeight w:val="236" w:hRule="atLeast"/>
          <w:cantSplit w:val="false"/>
        </w:trPr>
        <w:tc>
          <w:tcPr>
            <w:tcW w:w="4127"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Vydanie dlhopisov a iných cenných papierov</w:t>
            </w:r>
          </w:p>
        </w:tc>
        <w:tc>
          <w:tcPr>
            <w:tcW w:w="1933"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696"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572"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r>
        <w:trPr>
          <w:trHeight w:val="538" w:hRule="atLeast"/>
          <w:cantSplit w:val="false"/>
        </w:trPr>
        <w:tc>
          <w:tcPr>
            <w:tcW w:w="4127"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Zlúčenie, splynutie, rozdelenie a zmena právnej formy</w:t>
            </w:r>
          </w:p>
        </w:tc>
        <w:tc>
          <w:tcPr>
            <w:tcW w:w="1933"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696"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572"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r>
        <w:trPr>
          <w:trHeight w:val="559" w:hRule="atLeast"/>
          <w:cantSplit w:val="false"/>
        </w:trPr>
        <w:tc>
          <w:tcPr>
            <w:tcW w:w="4127" w:type="dxa"/>
            <w:tcBorders>
              <w:top w:val="single" w:sz="4" w:space="0" w:color="00000A"/>
              <w:left w:val="single" w:sz="18" w:space="0" w:color="000001"/>
              <w:bottom w:val="single" w:sz="4" w:space="0" w:color="00000A"/>
              <w:insideH w:val="single" w:sz="4" w:space="0" w:color="00000A"/>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Mimoriadne udalosti (napr. živelné pohromy)</w:t>
            </w:r>
          </w:p>
        </w:tc>
        <w:tc>
          <w:tcPr>
            <w:tcW w:w="1933"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696" w:type="dxa"/>
            <w:tcBorders>
              <w:top w:val="single" w:sz="8" w:space="0" w:color="000001"/>
              <w:left w:val="single" w:sz="12" w:space="0" w:color="000001"/>
              <w:bottom w:val="single" w:sz="8" w:space="0" w:color="000001"/>
              <w:insideH w:val="single" w:sz="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572" w:type="dxa"/>
            <w:tcBorders>
              <w:top w:val="single" w:sz="8" w:space="0" w:color="000001"/>
              <w:left w:val="single" w:sz="12" w:space="0" w:color="000001"/>
              <w:bottom w:val="single" w:sz="8" w:space="0" w:color="000001"/>
              <w:insideH w:val="single" w:sz="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r>
        <w:trPr>
          <w:trHeight w:val="425" w:hRule="atLeast"/>
          <w:cantSplit w:val="false"/>
        </w:trPr>
        <w:tc>
          <w:tcPr>
            <w:tcW w:w="4127" w:type="dxa"/>
            <w:tcBorders>
              <w:top w:val="nil"/>
              <w:left w:val="single" w:sz="18" w:space="0" w:color="000001"/>
              <w:bottom w:val="single" w:sz="18" w:space="0" w:color="000001"/>
              <w:insideH w:val="single" w:sz="18" w:space="0" w:color="000001"/>
              <w:right w:val="single" w:sz="12" w:space="0" w:color="000001"/>
              <w:insideV w:val="single" w:sz="12" w:space="0" w:color="000001"/>
            </w:tcBorders>
            <w:shd w:fill="FFFFFF" w:val="clear"/>
            <w:tcMar>
              <w:left w:w="-21" w:type="dxa"/>
            </w:tcMar>
            <w:vAlign w:val="center"/>
          </w:tcPr>
          <w:p>
            <w:pPr>
              <w:pStyle w:val="Normal"/>
              <w:spacing w:lineRule="auto" w:line="240" w:before="0" w:after="0"/>
              <w:ind w:left="142" w:right="0" w:hanging="0"/>
              <w:rPr>
                <w:rFonts w:eastAsia="Times New Roman" w:cs="Times New Roman" w:ascii="Times New Roman" w:hAnsi="Times New Roman"/>
                <w:color w:val="000000"/>
                <w:lang w:eastAsia="sk-SK"/>
              </w:rPr>
            </w:pPr>
            <w:r>
              <w:rPr>
                <w:rFonts w:eastAsia="Times New Roman" w:cs="Times New Roman" w:ascii="Times New Roman" w:hAnsi="Times New Roman"/>
                <w:color w:val="000000"/>
                <w:lang w:eastAsia="sk-SK"/>
              </w:rPr>
              <w:t>Získanie, alebo odobratie licencie alebo iného povolenia významného pre činnosť</w:t>
            </w:r>
          </w:p>
        </w:tc>
        <w:tc>
          <w:tcPr>
            <w:tcW w:w="1933" w:type="dxa"/>
            <w:tcBorders>
              <w:top w:val="single" w:sz="8" w:space="0" w:color="000001"/>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696" w:type="dxa"/>
            <w:tcBorders>
              <w:top w:val="single" w:sz="8" w:space="0" w:color="000001"/>
              <w:left w:val="single" w:sz="12" w:space="0" w:color="000001"/>
              <w:bottom w:val="single" w:sz="18" w:space="0" w:color="000001"/>
              <w:insideH w:val="single" w:sz="18" w:space="0" w:color="000001"/>
              <w:right w:val="single" w:sz="12" w:space="0" w:color="000001"/>
              <w:insideV w:val="single" w:sz="12"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c>
          <w:tcPr>
            <w:tcW w:w="1572" w:type="dxa"/>
            <w:tcBorders>
              <w:top w:val="single" w:sz="8" w:space="0" w:color="000001"/>
              <w:left w:val="single" w:sz="12" w:space="0" w:color="000001"/>
              <w:bottom w:val="single" w:sz="18" w:space="0" w:color="000001"/>
              <w:insideH w:val="single" w:sz="18" w:space="0" w:color="000001"/>
              <w:right w:val="single" w:sz="18" w:space="0" w:color="000001"/>
              <w:insideV w:val="single" w:sz="18" w:space="0" w:color="000001"/>
            </w:tcBorders>
            <w:shd w:fill="FFFFFF" w:val="clear"/>
            <w:tcMar>
              <w:left w:w="-14" w:type="dxa"/>
            </w:tcMar>
            <w:vAlign w:val="center"/>
          </w:tcPr>
          <w:p>
            <w:pPr>
              <w:pStyle w:val="Normal"/>
              <w:spacing w:lineRule="auto" w:line="240" w:before="0" w:after="0"/>
              <w:ind w:left="142" w:right="0" w:hanging="0"/>
              <w:jc w:val="right"/>
              <w:rPr>
                <w:rFonts w:eastAsia="Times New Roman" w:cs="Times New Roman" w:ascii="Times New Roman" w:hAnsi="Times New Roman"/>
                <w:color w:val="2F75B5"/>
                <w:lang w:eastAsia="sk-SK"/>
              </w:rPr>
            </w:pPr>
            <w:r>
              <w:rPr>
                <w:rFonts w:eastAsia="Times New Roman" w:cs="Times New Roman" w:ascii="Times New Roman" w:hAnsi="Times New Roman"/>
                <w:color w:val="2F75B5"/>
                <w:lang w:eastAsia="sk-SK"/>
              </w:rPr>
              <w:t> </w:t>
            </w:r>
          </w:p>
        </w:tc>
      </w:tr>
    </w:tbl>
    <w:p>
      <w:pPr>
        <w:pStyle w:val="Normal"/>
        <w:spacing w:lineRule="auto" w:line="240" w:before="240" w:after="160"/>
        <w:ind w:left="142" w:right="0" w:hanging="0"/>
        <w:jc w:val="both"/>
        <w:rPr/>
      </w:pPr>
      <w:r>
        <w:rPr/>
      </w:r>
    </w:p>
    <w:p>
      <w:pPr>
        <w:pStyle w:val="Normal"/>
        <w:spacing w:lineRule="auto" w:line="240" w:before="240" w:after="160"/>
        <w:ind w:left="142" w:right="0" w:hanging="0"/>
        <w:jc w:val="both"/>
        <w:rPr>
          <w:rFonts w:eastAsia="MS Gothic" w:cs="Arial" w:ascii="Arial" w:hAnsi="Arial"/>
          <w:sz w:val="20"/>
          <w:szCs w:val="20"/>
        </w:rPr>
      </w:pPr>
      <w:r>
        <w:rPr>
          <w:rFonts w:eastAsia="MS Gothic" w:cs="Arial" w:ascii="Arial" w:hAnsi="Arial"/>
          <w:sz w:val="20"/>
          <w:szCs w:val="20"/>
        </w:rPr>
        <w:t xml:space="preserve">Po skončení účtovného obdobia do dňa zostavenia  účtovnej závierky nenastali zásadné udalosti, ktoré by významne ovplyvnili  vykázané  hospodárske výsledky v účtovnej závierke, štruktúre vlastníkov alebo nepretržitej existencii spoločnosti. </w:t>
      </w:r>
    </w:p>
    <w:p>
      <w:pPr>
        <w:pStyle w:val="Normal"/>
        <w:spacing w:lineRule="auto" w:line="240" w:before="240" w:after="160"/>
        <w:ind w:left="142" w:right="0" w:hanging="0"/>
        <w:jc w:val="both"/>
        <w:rPr>
          <w:rFonts w:eastAsia="MS Gothic" w:cs="Arial" w:ascii="Arial" w:hAnsi="Arial"/>
          <w:sz w:val="20"/>
          <w:szCs w:val="20"/>
        </w:rPr>
      </w:pPr>
      <w:r>
        <w:rPr>
          <w:rFonts w:eastAsia="MS Gothic" w:cs="Arial" w:ascii="Arial" w:hAnsi="Arial"/>
          <w:sz w:val="20"/>
          <w:szCs w:val="20"/>
        </w:rPr>
        <w:t xml:space="preserve">Po zostavení účtovnej závierky bol podaný návrh prostredníctvom exekútora na súd na zastavenie exekúcie voči spoločnosti Sakmer pre nedostatok majetku, nakoľko firma je nefunkčná, nemá žiadne zdroje na úhradu a je proti nej vedených ďalších 10 exekučných konaní, z čoho vyplýva nedosiahnuteľnosť úhrady nadobudnutej pohľadávky postúpením, voči uvedenej spoločnosti.  </w:t>
      </w:r>
    </w:p>
    <w:p>
      <w:pPr>
        <w:pStyle w:val="Normal"/>
        <w:spacing w:lineRule="auto" w:line="240"/>
        <w:ind w:left="142" w:right="0" w:hanging="0"/>
        <w:jc w:val="center"/>
        <w:rPr/>
      </w:pPr>
      <w:r>
        <w:rPr/>
      </w:r>
    </w:p>
    <w:p>
      <w:pPr>
        <w:pStyle w:val="Normal"/>
        <w:spacing w:lineRule="auto" w:line="240"/>
        <w:ind w:left="142" w:right="0" w:hanging="0"/>
        <w:jc w:val="center"/>
        <w:rPr>
          <w:rFonts w:cs="Arial" w:ascii="Arial" w:hAnsi="Arial"/>
          <w:b/>
          <w:color w:val="000000"/>
          <w:szCs w:val="24"/>
        </w:rPr>
      </w:pPr>
      <w:r>
        <w:rPr>
          <w:rFonts w:cs="Arial" w:ascii="Arial" w:hAnsi="Arial"/>
          <w:b/>
          <w:color w:val="000000"/>
          <w:szCs w:val="24"/>
        </w:rPr>
        <w:t>Článok VII</w:t>
        <w:tab/>
      </w:r>
    </w:p>
    <w:p>
      <w:pPr>
        <w:pStyle w:val="Normal"/>
        <w:spacing w:lineRule="auto" w:line="240"/>
        <w:ind w:left="142" w:right="0" w:hanging="0"/>
        <w:jc w:val="center"/>
        <w:rPr>
          <w:rFonts w:cs="Arial" w:ascii="Arial" w:hAnsi="Arial"/>
          <w:b/>
          <w:color w:val="000000"/>
          <w:szCs w:val="24"/>
        </w:rPr>
      </w:pPr>
      <w:r>
        <w:rPr>
          <w:rFonts w:cs="Arial" w:ascii="Arial" w:hAnsi="Arial"/>
          <w:b/>
          <w:color w:val="000000"/>
          <w:szCs w:val="24"/>
        </w:rPr>
        <w:t> </w:t>
      </w:r>
      <w:r>
        <w:rPr>
          <w:rFonts w:cs="Arial" w:ascii="Arial" w:hAnsi="Arial"/>
          <w:b/>
          <w:color w:val="000000"/>
          <w:szCs w:val="24"/>
        </w:rPr>
        <w:t>Ostatné informácie</w:t>
      </w:r>
    </w:p>
    <w:p>
      <w:pPr>
        <w:pStyle w:val="Normal"/>
        <w:spacing w:lineRule="auto" w:line="240" w:before="0" w:after="0"/>
        <w:ind w:left="142" w:right="0" w:hanging="0"/>
        <w:jc w:val="both"/>
        <w:rPr>
          <w:rFonts w:eastAsia="MS Gothic" w:cs="Times New Roman" w:ascii="Times New Roman" w:hAnsi="Times New Roman"/>
          <w:b/>
        </w:rPr>
      </w:pPr>
      <w:r>
        <w:rPr>
          <w:rFonts w:eastAsia="MS Gothic" w:cs="Times New Roman" w:ascii="Times New Roman" w:hAnsi="Times New Roman"/>
          <w:b/>
        </w:rPr>
        <w:t xml:space="preserve">VII. 1 </w:t>
        <w:tab/>
        <w:t xml:space="preserve"> Informácie o výlučných právach alebo osobitných právach udelených účtovnej</w:t>
      </w:r>
    </w:p>
    <w:p>
      <w:pPr>
        <w:pStyle w:val="Normal"/>
        <w:spacing w:lineRule="auto" w:line="240"/>
        <w:ind w:left="142" w:right="0" w:hanging="0"/>
        <w:jc w:val="both"/>
        <w:rPr>
          <w:rFonts w:eastAsia="MS Gothic" w:cs="Times New Roman" w:ascii="Times New Roman" w:hAnsi="Times New Roman"/>
          <w:b/>
        </w:rPr>
      </w:pPr>
      <w:r>
        <w:rPr>
          <w:rFonts w:eastAsia="MS Gothic" w:cs="Times New Roman" w:ascii="Times New Roman" w:hAnsi="Times New Roman"/>
          <w:b/>
        </w:rPr>
        <w:t>a) – c)</w:t>
        <w:tab/>
        <w:t xml:space="preserve">      jednotke     </w:t>
      </w:r>
    </w:p>
    <w:p>
      <w:pPr>
        <w:pStyle w:val="Normal"/>
        <w:spacing w:lineRule="auto" w:line="240" w:before="240" w:after="160"/>
        <w:ind w:left="142" w:right="0" w:hanging="0"/>
        <w:jc w:val="both"/>
        <w:rPr>
          <w:rFonts w:eastAsia="MS Gothic" w:cs="Arial" w:ascii="Arial" w:hAnsi="Arial"/>
          <w:sz w:val="20"/>
          <w:szCs w:val="20"/>
        </w:rPr>
      </w:pPr>
      <w:r>
        <w:rPr>
          <w:rFonts w:eastAsia="MS Gothic" w:cs="Arial" w:ascii="Arial" w:hAnsi="Arial"/>
          <w:b w:val="false"/>
          <w:bCs w:val="false"/>
          <w:sz w:val="20"/>
          <w:szCs w:val="20"/>
        </w:rPr>
        <w:t xml:space="preserve">Ďalšie informácie týkajúce sa udelených výlučných práv alebo osobitných práv, a práv poskytovať služby vo verejnom záujme </w:t>
      </w:r>
      <w:r>
        <w:rPr>
          <w:rFonts w:eastAsia="MS Gothic" w:cs="Arial" w:ascii="Arial" w:hAnsi="Arial"/>
          <w:sz w:val="20"/>
          <w:szCs w:val="20"/>
        </w:rPr>
        <w:t>(formy prijatej náhrady, účtovné zásady použité pri prideľovaní nákladov a výnosov, všetky druhy činností účtovnej jednotky):</w:t>
      </w:r>
    </w:p>
    <w:p>
      <w:pPr>
        <w:pStyle w:val="Normal"/>
        <w:spacing w:lineRule="auto" w:line="240"/>
        <w:ind w:left="142" w:right="0" w:hanging="0"/>
        <w:jc w:val="both"/>
        <w:rPr>
          <w:rFonts w:eastAsia="MS Gothic" w:cs="Arial" w:ascii="Arial" w:hAnsi="Arial"/>
          <w:sz w:val="20"/>
          <w:szCs w:val="20"/>
        </w:rPr>
      </w:pPr>
      <w:r>
        <w:rPr>
          <w:rFonts w:eastAsia="MS Gothic" w:cs="Arial" w:ascii="Arial" w:hAnsi="Arial"/>
          <w:sz w:val="20"/>
          <w:szCs w:val="20"/>
        </w:rPr>
        <w:t>Účtovná jednotka neposkytuje služby vo verejnom záujme.</w:t>
      </w:r>
    </w:p>
    <w:p>
      <w:pPr>
        <w:pStyle w:val="Normal"/>
        <w:spacing w:lineRule="auto" w:line="240"/>
        <w:ind w:left="142" w:right="0" w:hanging="0"/>
        <w:jc w:val="both"/>
        <w:rPr>
          <w:rFonts w:eastAsia="MS Gothic" w:cs="Times New Roman" w:ascii="Times New Roman" w:hAnsi="Times New Roman"/>
          <w:b/>
          <w:sz w:val="24"/>
          <w:szCs w:val="24"/>
        </w:rPr>
      </w:pPr>
      <w:r>
        <w:rPr>
          <w:rFonts w:eastAsia="MS Gothic" w:cs="Times New Roman" w:ascii="Times New Roman" w:hAnsi="Times New Roman"/>
          <w:b/>
          <w:sz w:val="24"/>
          <w:szCs w:val="24"/>
        </w:rPr>
      </w:r>
    </w:p>
    <w:p>
      <w:pPr>
        <w:pStyle w:val="Normal"/>
        <w:spacing w:lineRule="auto" w:line="240" w:before="0" w:after="160"/>
        <w:ind w:left="142" w:right="0" w:hanging="0"/>
        <w:jc w:val="both"/>
        <w:rPr/>
      </w:pPr>
      <w:r>
        <w:rPr/>
      </w:r>
    </w:p>
    <w:sectPr>
      <w:headerReference w:type="default" r:id="rId2"/>
      <w:footerReference w:type="default" r:id="rId3"/>
      <w:type w:val="nextPage"/>
      <w:pgSz w:w="11906" w:h="16838"/>
      <w:pgMar w:left="1417" w:right="1133" w:header="708" w:top="1417" w:footer="708" w:bottom="1417" w:gutter="0"/>
      <w:pgNumType w:fmt="decimal"/>
      <w:formProt w:val="false"/>
      <w:textDirection w:val="lrTb"/>
      <w:docGrid w:type="default" w:linePitch="360" w:charSpace="4294965247"/>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Segoe UI">
    <w:charset w:val="ee"/>
    <w:family w:val="roman"/>
    <w:pitch w:val="variable"/>
  </w:font>
  <w:font w:name="Liberation Sans">
    <w:altName w:val="Arial"/>
    <w:charset w:val="ee"/>
    <w:family w:val="swiss"/>
    <w:pitch w:val="variable"/>
  </w:font>
  <w:font w:name="Arial">
    <w:charset w:val="ee"/>
    <w:family w:val="roman"/>
    <w:pitch w:val="variable"/>
  </w:font>
  <w:font w:name="Courier">
    <w:altName w:val="Courier New"/>
    <w:charset w:val="ee"/>
    <w:family w:val="roman"/>
    <w:pitch w:val="variable"/>
  </w:font>
  <w:font w:name="Times New Roman">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Pta"/>
      <w:jc w:val="center"/>
      <w:rPr/>
    </w:pPr>
    <w:r>
      <w:rPr/>
      <w:t xml:space="preserve">Strana </w:t>
    </w:r>
    <w:r>
      <w:rPr/>
      <w:fldChar w:fldCharType="begin"/>
    </w:r>
    <w:r>
      <w:instrText> PAGE </w:instrText>
    </w:r>
    <w:r>
      <w:fldChar w:fldCharType="separate"/>
    </w:r>
    <w:r>
      <w:t>10</w:t>
    </w:r>
    <w:r>
      <w:fldChar w:fldCharType="end"/>
    </w:r>
    <w:r>
      <w:rPr/>
      <w:t xml:space="preserve"> z </w:t>
    </w:r>
    <w:r>
      <w:rPr/>
      <w:fldChar w:fldCharType="begin"/>
    </w:r>
    <w:r>
      <w:instrText> NUMPAGES </w:instrText>
    </w:r>
    <w:r>
      <w:fldChar w:fldCharType="separate"/>
    </w:r>
    <w:r>
      <w:t>11</w:t>
    </w:r>
    <w: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tbl>
    <w:tblPr>
      <w:jc w:val="left"/>
      <w:tblInd w:w="0" w:type="dxa"/>
      <w:tblBorders>
        <w:top w:val="nil"/>
        <w:left w:val="nil"/>
        <w:bottom w:val="nil"/>
        <w:insideH w:val="nil"/>
        <w:right w:val="nil"/>
        <w:insideV w:val="nil"/>
      </w:tblBorders>
      <w:tblCellMar>
        <w:top w:w="0" w:type="dxa"/>
        <w:left w:w="113" w:type="dxa"/>
        <w:bottom w:w="0" w:type="dxa"/>
        <w:right w:w="108" w:type="dxa"/>
      </w:tblCellMar>
    </w:tblPr>
    <w:tblGrid>
      <w:gridCol w:w="2375"/>
      <w:gridCol w:w="700"/>
      <w:gridCol w:w="297"/>
      <w:gridCol w:w="311"/>
      <w:gridCol w:w="300"/>
      <w:gridCol w:w="294"/>
      <w:gridCol w:w="311"/>
      <w:gridCol w:w="311"/>
      <w:gridCol w:w="311"/>
      <w:gridCol w:w="311"/>
      <w:gridCol w:w="826"/>
      <w:gridCol w:w="311"/>
      <w:gridCol w:w="311"/>
      <w:gridCol w:w="311"/>
      <w:gridCol w:w="312"/>
      <w:gridCol w:w="311"/>
      <w:gridCol w:w="311"/>
      <w:gridCol w:w="311"/>
      <w:gridCol w:w="311"/>
      <w:gridCol w:w="311"/>
      <w:gridCol w:w="453"/>
    </w:tblGrid>
    <w:tr>
      <w:trPr>
        <w:trHeight w:val="138" w:hRule="atLeast"/>
        <w:cantSplit w:val="false"/>
      </w:trPr>
      <w:tc>
        <w:tcPr>
          <w:tcW w:w="2375" w:type="dxa"/>
          <w:tcBorders>
            <w:top w:val="nil"/>
            <w:left w:val="nil"/>
            <w:bottom w:val="nil"/>
            <w:insideH w:val="nil"/>
            <w:right w:val="nil"/>
            <w:insideV w:val="nil"/>
          </w:tcBorders>
          <w:shd w:fill="FFFFFF" w:val="clear"/>
        </w:tcPr>
        <w:p>
          <w:pPr>
            <w:pStyle w:val="Hlavika"/>
            <w:tabs>
              <w:tab w:val="center" w:pos="4536" w:leader="none"/>
              <w:tab w:val="left" w:pos="5106" w:leader="none"/>
              <w:tab w:val="right" w:pos="9072" w:leader="none"/>
            </w:tabs>
            <w:ind w:left="-108" w:right="-121" w:hanging="0"/>
            <w:rPr>
              <w:rFonts w:cs="Times New Roman" w:ascii="Times New Roman" w:hAnsi="Times New Roman"/>
              <w:szCs w:val="24"/>
            </w:rPr>
          </w:pPr>
          <w:r>
            <w:rPr>
              <w:rFonts w:cs="Times New Roman" w:ascii="Times New Roman" w:hAnsi="Times New Roman"/>
              <w:szCs w:val="24"/>
            </w:rPr>
            <w:t>Poznámky Úč PODV 3-01</w:t>
          </w:r>
        </w:p>
      </w:tc>
      <w:tc>
        <w:tcPr>
          <w:tcW w:w="700" w:type="dxa"/>
          <w:tcBorders>
            <w:top w:val="nil"/>
            <w:left w:val="nil"/>
            <w:bottom w:val="nil"/>
            <w:insideH w:val="nil"/>
            <w:right w:val="single" w:sz="4" w:space="0" w:color="00000A"/>
            <w:insideV w:val="single" w:sz="4" w:space="0" w:color="00000A"/>
          </w:tcBorders>
          <w:shd w:fill="FFFFFF" w:val="clear"/>
        </w:tcPr>
        <w:p>
          <w:pPr>
            <w:pStyle w:val="Hlavika"/>
            <w:tabs>
              <w:tab w:val="center" w:pos="4536" w:leader="none"/>
              <w:tab w:val="left" w:pos="5106" w:leader="none"/>
              <w:tab w:val="right" w:pos="9072" w:leader="none"/>
            </w:tabs>
            <w:rPr>
              <w:rFonts w:cs="Times New Roman" w:ascii="Times New Roman" w:hAnsi="Times New Roman"/>
              <w:szCs w:val="24"/>
            </w:rPr>
          </w:pPr>
          <w:r>
            <w:rPr>
              <w:rFonts w:cs="Times New Roman" w:ascii="Times New Roman" w:hAnsi="Times New Roman"/>
              <w:szCs w:val="24"/>
            </w:rPr>
            <w:t>IČO:</w:t>
          </w:r>
        </w:p>
      </w:tc>
      <w:tc>
        <w:tcPr>
          <w:tcW w:w="297"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rPr>
              <w:rFonts w:cs="Times New Roman"/>
              <w:szCs w:val="24"/>
            </w:rPr>
          </w:pPr>
          <w:r>
            <w:rPr>
              <w:rFonts w:cs="Times New Roman"/>
              <w:szCs w:val="24"/>
            </w:rPr>
            <w:t>3</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6</w:t>
          </w:r>
        </w:p>
      </w:tc>
      <w:tc>
        <w:tcPr>
          <w:tcW w:w="300"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4</w:t>
          </w:r>
        </w:p>
      </w:tc>
      <w:tc>
        <w:tcPr>
          <w:tcW w:w="294"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6</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6</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0</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7</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7</w:t>
          </w:r>
        </w:p>
      </w:tc>
      <w:tc>
        <w:tcPr>
          <w:tcW w:w="826" w:type="dxa"/>
          <w:tcBorders>
            <w:top w:val="nil"/>
            <w:left w:val="single" w:sz="4" w:space="0" w:color="00000A"/>
            <w:bottom w:val="nil"/>
            <w:insideH w:val="nil"/>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 xml:space="preserve">  </w:t>
          </w:r>
          <w:r>
            <w:rPr>
              <w:rFonts w:cs="Times New Roman"/>
              <w:szCs w:val="24"/>
            </w:rPr>
            <w:t>DIČ:</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2</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0</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2</w:t>
          </w:r>
        </w:p>
      </w:tc>
      <w:tc>
        <w:tcPr>
          <w:tcW w:w="312"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0</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0</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1</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8</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8</w:t>
          </w:r>
        </w:p>
      </w:tc>
      <w:tc>
        <w:tcPr>
          <w:tcW w:w="311"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rFonts w:cs="Times New Roman"/>
              <w:szCs w:val="24"/>
            </w:rPr>
          </w:pPr>
          <w:r>
            <w:rPr>
              <w:rFonts w:cs="Times New Roman"/>
              <w:szCs w:val="24"/>
            </w:rPr>
            <w:t>2</w:t>
          </w:r>
        </w:p>
      </w:tc>
      <w:tc>
        <w:tcPr>
          <w:tcW w:w="453" w:type="dxa"/>
          <w:tcBorders>
            <w:top w:val="single" w:sz="4" w:space="0" w:color="00000A"/>
            <w:left w:val="single" w:sz="4" w:space="0" w:color="00000A"/>
            <w:bottom w:val="single" w:sz="4" w:space="0" w:color="00000A"/>
            <w:insideH w:val="single" w:sz="4" w:space="0" w:color="00000A"/>
            <w:right w:val="single" w:sz="4" w:space="0" w:color="00000A"/>
            <w:insideV w:val="single" w:sz="4" w:space="0" w:color="00000A"/>
          </w:tcBorders>
          <w:shd w:fill="FFFFFF" w:val="clear"/>
          <w:tcMar>
            <w:left w:w="48" w:type="dxa"/>
          </w:tcMar>
        </w:tcPr>
        <w:p>
          <w:pPr>
            <w:pStyle w:val="Hlavika"/>
            <w:tabs>
              <w:tab w:val="center" w:pos="4536" w:leader="none"/>
              <w:tab w:val="left" w:pos="5106" w:leader="none"/>
              <w:tab w:val="right" w:pos="9072" w:leader="none"/>
            </w:tabs>
            <w:jc w:val="center"/>
            <w:rPr/>
          </w:pPr>
          <w:r>
            <w:rPr/>
            <w:t>5</w:t>
          </w:r>
        </w:p>
        <w:p>
          <w:pPr>
            <w:pStyle w:val="Hlavika"/>
            <w:tabs>
              <w:tab w:val="center" w:pos="4536" w:leader="none"/>
              <w:tab w:val="left" w:pos="5106" w:leader="none"/>
              <w:tab w:val="right" w:pos="9072" w:leader="none"/>
            </w:tabs>
            <w:jc w:val="center"/>
            <w:rPr/>
          </w:pPr>
          <w:r>
            <w:rPr/>
          </w:r>
        </w:p>
      </w:tc>
    </w:tr>
  </w:tbl>
  <w:p>
    <w:pPr>
      <w:pStyle w:val="Hlavika"/>
      <w:tabs>
        <w:tab w:val="center" w:pos="4536" w:leader="none"/>
        <w:tab w:val="left" w:pos="5106" w:leader="none"/>
        <w:tab w:val="right" w:pos="9072" w:leader="none"/>
      </w:tabs>
      <w:spacing w:before="80" w:after="0"/>
      <w:rPr>
        <w:rFonts w:cs="Times New Roman" w:ascii="Times New Roman" w:hAnsi="Times New Roman"/>
        <w:sz w:val="24"/>
        <w:szCs w:val="24"/>
      </w:rPr>
    </w:pPr>
    <w:r>
      <w:rPr>
        <w:rFonts w:cs="Times New Roman" w:ascii="Times New Roman" w:hAnsi="Times New Roman"/>
        <w:sz w:val="24"/>
        <w:szCs w:val="24"/>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tabs>
          <w:tab w:val="num" w:pos="360"/>
        </w:tabs>
        <w:ind w:left="360" w:hanging="360"/>
      </w:pPr>
      <w:rPr>
        <w:b w:val="fals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2"/>
  </w:num>
</w:numbering>
</file>

<file path=word/settings.xml><?xml version="1.0" encoding="utf-8"?>
<w:settings xmlns:w="http://schemas.openxmlformats.org/wordprocessingml/2006/main">
  <w:zoom w:percent="100"/>
  <w:defaultTabStop w:val="408"/>
</w:settings>
</file>

<file path=word/styles.xml><?xml version="1.0" encoding="utf-8"?>
<w:styles xmlns:w="http://schemas.openxmlformats.org/wordprocessingml/2006/main">
  <w:docDefaults>
    <w:rPrDefault>
      <w:rPr>
        <w:rFonts w:ascii="Calibri" w:hAnsi="Calibri" w:eastAsia="SimSun" w:cs="Calibri"/>
        <w:sz w:val="22"/>
        <w:szCs w:val="22"/>
        <w:lang w:val="sk-SK" w:eastAsia="en-US" w:bidi="ar-SA"/>
      </w:rPr>
    </w:rPrDefault>
    <w:pPrDefault>
      <w:pPr>
        <w:spacing w:lineRule="auto" w:line="259"/>
      </w:pPr>
    </w:pPrDefault>
  </w:docDefaults>
  <w:latentStyles w:count="267" w:defQFormat="0" w:defUnhideWhenUsed="1" w:defSemiHidden="1" w:defUIPriority="99" w:defLockedState="0">
    <w:lsdException w:qFormat="1" w:unhideWhenUsed="0" w:semiHidden="0" w:uiPriority="0" w:name="Normal"/>
    <w:lsdException w:qFormat="1" w:unhideWhenUsed="0" w:semiHidden="0" w:uiPriority="9"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35" w:name="caption"/>
    <w:lsdException w:qFormat="1" w:unhideWhenUsed="0" w:semiHidden="0" w:uiPriority="10" w:name="Title"/>
    <w:lsdException w:uiPriority="1" w:name="Default Paragraph Font"/>
    <w:lsdException w:qFormat="1" w:unhideWhenUsed="0" w:semiHidden="0" w:uiPriority="11" w:name="Subtitle"/>
    <w:lsdException w:qFormat="1" w:unhideWhenUsed="0" w:semiHidden="0" w:uiPriority="22" w:name="Strong"/>
    <w:lsdException w:qFormat="1" w:unhideWhenUsed="0" w:semiHidden="0" w:uiPriority="20" w:name="Emphasis"/>
    <w:lsdException w:unhideWhenUsed="0" w:semiHidden="0" w:uiPriority="39" w:name="Table Grid"/>
    <w:lsdException w:unhideWhenUsed="0" w:name="Placeholder Text"/>
    <w:lsdException w:qFormat="1" w:unhideWhenUsed="0" w:semiHidden="0" w:uiPriority="1" w:name="No Spacing"/>
    <w:lsdException w:unhideWhenUsed="0" w:semiHidden="0" w:uiPriority="60" w:name="Light Shading"/>
    <w:lsdException w:unhideWhenUsed="0" w:semiHidden="0" w:uiPriority="61" w:name="Light List"/>
    <w:lsdException w:unhideWhenUsed="0" w:semiHidden="0" w:uiPriority="62" w:name="Light Grid"/>
    <w:lsdException w:unhideWhenUsed="0" w:semiHidden="0" w:uiPriority="63" w:name="Medium Shading 1"/>
    <w:lsdException w:unhideWhenUsed="0" w:semiHidden="0" w:uiPriority="64" w:name="Medium Shading 2"/>
    <w:lsdException w:unhideWhenUsed="0" w:semiHidden="0" w:uiPriority="65" w:name="Medium List 1"/>
    <w:lsdException w:unhideWhenUsed="0" w:semiHidden="0" w:uiPriority="66" w:name="Medium List 2"/>
    <w:lsdException w:unhideWhenUsed="0" w:semiHidden="0" w:uiPriority="67" w:name="Medium Grid 1"/>
    <w:lsdException w:unhideWhenUsed="0" w:semiHidden="0" w:uiPriority="68" w:name="Medium Grid 2"/>
    <w:lsdException w:unhideWhenUsed="0" w:semiHidden="0" w:uiPriority="69" w:name="Medium Grid 3"/>
    <w:lsdException w:unhideWhenUsed="0" w:semiHidden="0" w:uiPriority="70" w:name="Dark List"/>
    <w:lsdException w:unhideWhenUsed="0" w:semiHidden="0" w:uiPriority="71" w:name="Colorful Shading"/>
    <w:lsdException w:unhideWhenUsed="0" w:semiHidden="0" w:uiPriority="72" w:name="Colorful List"/>
    <w:lsdException w:unhideWhenUsed="0" w:semiHidden="0" w:uiPriority="73" w:name="Colorful Grid"/>
    <w:lsdException w:unhideWhenUsed="0" w:semiHidden="0" w:uiPriority="60" w:name="Light Shading Accent 1"/>
    <w:lsdException w:unhideWhenUsed="0" w:semiHidden="0" w:uiPriority="61" w:name="Light List Accent 1"/>
    <w:lsdException w:unhideWhenUsed="0" w:semiHidden="0" w:uiPriority="62" w:name="Light Grid Accent 1"/>
    <w:lsdException w:unhideWhenUsed="0" w:semiHidden="0" w:uiPriority="63" w:name="Medium Shading 1 Accent 1"/>
    <w:lsdException w:unhideWhenUsed="0" w:semiHidden="0" w:uiPriority="64" w:name="Medium Shading 2 Accent 1"/>
    <w:lsdException w:unhideWhenUsed="0" w:semiHidden="0" w:uiPriority="65" w:name="Medium List 1 Accent 1"/>
    <w:lsdException w:unhideWhenUsed="0" w:name="Revision"/>
    <w:lsdException w:qFormat="1" w:unhideWhenUsed="0" w:semiHidden="0" w:uiPriority="34" w:name="List Paragraph"/>
    <w:lsdException w:qFormat="1" w:unhideWhenUsed="0" w:semiHidden="0" w:uiPriority="29" w:name="Quote"/>
    <w:lsdException w:qFormat="1" w:unhideWhenUsed="0" w:semiHidden="0" w:uiPriority="30" w:name="Intense Quote"/>
    <w:lsdException w:unhideWhenUsed="0" w:semiHidden="0" w:uiPriority="66" w:name="Medium List 2 Accent 1"/>
    <w:lsdException w:unhideWhenUsed="0" w:semiHidden="0" w:uiPriority="67" w:name="Medium Grid 1 Accent 1"/>
    <w:lsdException w:unhideWhenUsed="0" w:semiHidden="0" w:uiPriority="68" w:name="Medium Grid 2 Accent 1"/>
    <w:lsdException w:unhideWhenUsed="0" w:semiHidden="0" w:uiPriority="69" w:name="Medium Grid 3 Accent 1"/>
    <w:lsdException w:unhideWhenUsed="0" w:semiHidden="0" w:uiPriority="70" w:name="Dark List Accent 1"/>
    <w:lsdException w:unhideWhenUsed="0" w:semiHidden="0" w:uiPriority="71" w:name="Colorful Shading Accent 1"/>
    <w:lsdException w:unhideWhenUsed="0" w:semiHidden="0" w:uiPriority="72" w:name="Colorful List Accent 1"/>
    <w:lsdException w:unhideWhenUsed="0" w:semiHidden="0" w:uiPriority="73" w:name="Colorful Grid Accent 1"/>
    <w:lsdException w:unhideWhenUsed="0" w:semiHidden="0" w:uiPriority="60" w:name="Light Shading Accent 2"/>
    <w:lsdException w:unhideWhenUsed="0" w:semiHidden="0" w:uiPriority="61" w:name="Light List Accent 2"/>
    <w:lsdException w:unhideWhenUsed="0" w:semiHidden="0" w:uiPriority="62" w:name="Light Grid Accent 2"/>
    <w:lsdException w:unhideWhenUsed="0" w:semiHidden="0" w:uiPriority="63" w:name="Medium Shading 1 Accent 2"/>
    <w:lsdException w:unhideWhenUsed="0" w:semiHidden="0" w:uiPriority="64" w:name="Medium Shading 2 Accent 2"/>
    <w:lsdException w:unhideWhenUsed="0" w:semiHidden="0" w:uiPriority="65" w:name="Medium List 1 Accent 2"/>
    <w:lsdException w:unhideWhenUsed="0" w:semiHidden="0" w:uiPriority="66" w:name="Medium List 2 Accent 2"/>
    <w:lsdException w:unhideWhenUsed="0" w:semiHidden="0" w:uiPriority="67" w:name="Medium Grid 1 Accent 2"/>
    <w:lsdException w:unhideWhenUsed="0" w:semiHidden="0" w:uiPriority="68" w:name="Medium Grid 2 Accent 2"/>
    <w:lsdException w:unhideWhenUsed="0" w:semiHidden="0" w:uiPriority="69" w:name="Medium Grid 3 Accent 2"/>
    <w:lsdException w:unhideWhenUsed="0" w:semiHidden="0" w:uiPriority="70" w:name="Dark List Accent 2"/>
    <w:lsdException w:unhideWhenUsed="0" w:semiHidden="0" w:uiPriority="71" w:name="Colorful Shading Accent 2"/>
    <w:lsdException w:unhideWhenUsed="0" w:semiHidden="0" w:uiPriority="72" w:name="Colorful List Accent 2"/>
    <w:lsdException w:unhideWhenUsed="0" w:semiHidden="0" w:uiPriority="73" w:name="Colorful Grid Accent 2"/>
    <w:lsdException w:unhideWhenUsed="0" w:semiHidden="0" w:uiPriority="60" w:name="Light Shading Accent 3"/>
    <w:lsdException w:unhideWhenUsed="0" w:semiHidden="0" w:uiPriority="61" w:name="Light List Accent 3"/>
    <w:lsdException w:unhideWhenUsed="0" w:semiHidden="0" w:uiPriority="62" w:name="Light Grid Accent 3"/>
    <w:lsdException w:unhideWhenUsed="0" w:semiHidden="0" w:uiPriority="63" w:name="Medium Shading 1 Accent 3"/>
    <w:lsdException w:unhideWhenUsed="0" w:semiHidden="0" w:uiPriority="64" w:name="Medium Shading 2 Accent 3"/>
    <w:lsdException w:unhideWhenUsed="0" w:semiHidden="0" w:uiPriority="65" w:name="Medium List 1 Accent 3"/>
    <w:lsdException w:unhideWhenUsed="0" w:semiHidden="0" w:uiPriority="66" w:name="Medium List 2 Accent 3"/>
    <w:lsdException w:unhideWhenUsed="0" w:semiHidden="0" w:uiPriority="67" w:name="Medium Grid 1 Accent 3"/>
    <w:lsdException w:unhideWhenUsed="0" w:semiHidden="0" w:uiPriority="68" w:name="Medium Grid 2 Accent 3"/>
    <w:lsdException w:unhideWhenUsed="0" w:semiHidden="0" w:uiPriority="69" w:name="Medium Grid 3 Accent 3"/>
    <w:lsdException w:unhideWhenUsed="0" w:semiHidden="0" w:uiPriority="70" w:name="Dark List Accent 3"/>
    <w:lsdException w:unhideWhenUsed="0" w:semiHidden="0" w:uiPriority="71" w:name="Colorful Shading Accent 3"/>
    <w:lsdException w:unhideWhenUsed="0" w:semiHidden="0" w:uiPriority="72" w:name="Colorful List Accent 3"/>
    <w:lsdException w:unhideWhenUsed="0" w:semiHidden="0" w:uiPriority="73" w:name="Colorful Grid Accent 3"/>
    <w:lsdException w:unhideWhenUsed="0" w:semiHidden="0" w:uiPriority="60" w:name="Light Shading Accent 4"/>
    <w:lsdException w:unhideWhenUsed="0" w:semiHidden="0" w:uiPriority="61" w:name="Light List Accent 4"/>
    <w:lsdException w:unhideWhenUsed="0" w:semiHidden="0" w:uiPriority="62" w:name="Light Grid Accent 4"/>
    <w:lsdException w:unhideWhenUsed="0" w:semiHidden="0" w:uiPriority="63" w:name="Medium Shading 1 Accent 4"/>
    <w:lsdException w:unhideWhenUsed="0" w:semiHidden="0" w:uiPriority="64" w:name="Medium Shading 2 Accent 4"/>
    <w:lsdException w:unhideWhenUsed="0" w:semiHidden="0" w:uiPriority="65" w:name="Medium List 1 Accent 4"/>
    <w:lsdException w:unhideWhenUsed="0" w:semiHidden="0" w:uiPriority="66" w:name="Medium List 2 Accent 4"/>
    <w:lsdException w:unhideWhenUsed="0" w:semiHidden="0" w:uiPriority="67" w:name="Medium Grid 1 Accent 4"/>
    <w:lsdException w:unhideWhenUsed="0" w:semiHidden="0" w:uiPriority="68" w:name="Medium Grid 2 Accent 4"/>
    <w:lsdException w:unhideWhenUsed="0" w:semiHidden="0" w:uiPriority="69" w:name="Medium Grid 3 Accent 4"/>
    <w:lsdException w:unhideWhenUsed="0" w:semiHidden="0" w:uiPriority="70" w:name="Dark List Accent 4"/>
    <w:lsdException w:unhideWhenUsed="0" w:semiHidden="0" w:uiPriority="71" w:name="Colorful Shading Accent 4"/>
    <w:lsdException w:unhideWhenUsed="0" w:semiHidden="0" w:uiPriority="72" w:name="Colorful List Accent 4"/>
    <w:lsdException w:unhideWhenUsed="0" w:semiHidden="0" w:uiPriority="73" w:name="Colorful Grid Accent 4"/>
    <w:lsdException w:unhideWhenUsed="0" w:semiHidden="0" w:uiPriority="60" w:name="Light Shading Accent 5"/>
    <w:lsdException w:unhideWhenUsed="0" w:semiHidden="0" w:uiPriority="61" w:name="Light List Accent 5"/>
    <w:lsdException w:unhideWhenUsed="0" w:semiHidden="0" w:uiPriority="62" w:name="Light Grid Accent 5"/>
    <w:lsdException w:unhideWhenUsed="0" w:semiHidden="0" w:uiPriority="63" w:name="Medium Shading 1 Accent 5"/>
    <w:lsdException w:unhideWhenUsed="0" w:semiHidden="0" w:uiPriority="64" w:name="Medium Shading 2 Accent 5"/>
    <w:lsdException w:unhideWhenUsed="0" w:semiHidden="0" w:uiPriority="65" w:name="Medium List 1 Accent 5"/>
    <w:lsdException w:unhideWhenUsed="0" w:semiHidden="0" w:uiPriority="66" w:name="Medium List 2 Accent 5"/>
    <w:lsdException w:unhideWhenUsed="0" w:semiHidden="0" w:uiPriority="67" w:name="Medium Grid 1 Accent 5"/>
    <w:lsdException w:unhideWhenUsed="0" w:semiHidden="0" w:uiPriority="68" w:name="Medium Grid 2 Accent 5"/>
    <w:lsdException w:unhideWhenUsed="0" w:semiHidden="0" w:uiPriority="69" w:name="Medium Grid 3 Accent 5"/>
    <w:lsdException w:unhideWhenUsed="0" w:semiHidden="0" w:uiPriority="70" w:name="Dark List Accent 5"/>
    <w:lsdException w:unhideWhenUsed="0" w:semiHidden="0" w:uiPriority="71" w:name="Colorful Shading Accent 5"/>
    <w:lsdException w:unhideWhenUsed="0" w:semiHidden="0" w:uiPriority="72" w:name="Colorful List Accent 5"/>
    <w:lsdException w:unhideWhenUsed="0" w:semiHidden="0" w:uiPriority="73" w:name="Colorful Grid Accent 5"/>
    <w:lsdException w:unhideWhenUsed="0" w:semiHidden="0" w:uiPriority="60" w:name="Light Shading Accent 6"/>
    <w:lsdException w:unhideWhenUsed="0" w:semiHidden="0" w:uiPriority="61" w:name="Light List Accent 6"/>
    <w:lsdException w:unhideWhenUsed="0" w:semiHidden="0" w:uiPriority="62" w:name="Light Grid Accent 6"/>
    <w:lsdException w:unhideWhenUsed="0" w:semiHidden="0" w:uiPriority="63" w:name="Medium Shading 1 Accent 6"/>
    <w:lsdException w:unhideWhenUsed="0" w:semiHidden="0" w:uiPriority="64" w:name="Medium Shading 2 Accent 6"/>
    <w:lsdException w:unhideWhenUsed="0" w:semiHidden="0" w:uiPriority="65" w:name="Medium List 1 Accent 6"/>
    <w:lsdException w:unhideWhenUsed="0" w:semiHidden="0" w:uiPriority="66" w:name="Medium List 2 Accent 6"/>
    <w:lsdException w:unhideWhenUsed="0" w:semiHidden="0" w:uiPriority="67" w:name="Medium Grid 1 Accent 6"/>
    <w:lsdException w:unhideWhenUsed="0" w:semiHidden="0" w:uiPriority="68" w:name="Medium Grid 2 Accent 6"/>
    <w:lsdException w:unhideWhenUsed="0" w:semiHidden="0" w:uiPriority="69" w:name="Medium Grid 3 Accent 6"/>
    <w:lsdException w:unhideWhenUsed="0" w:semiHidden="0" w:uiPriority="70" w:name="Dark List Accent 6"/>
    <w:lsdException w:unhideWhenUsed="0" w:semiHidden="0" w:uiPriority="71" w:name="Colorful Shading Accent 6"/>
    <w:lsdException w:unhideWhenUsed="0" w:semiHidden="0" w:uiPriority="72" w:name="Colorful List Accent 6"/>
    <w:lsdException w:unhideWhenUsed="0" w:semiHidden="0" w:uiPriority="73" w:name="Colorful Grid Accent 6"/>
    <w:lsdException w:qFormat="1" w:unhideWhenUsed="0" w:semiHidden="0" w:uiPriority="19" w:name="Subtle Emphasis"/>
    <w:lsdException w:qFormat="1" w:unhideWhenUsed="0" w:semiHidden="0" w:uiPriority="21" w:name="Intense Emphasis"/>
    <w:lsdException w:qFormat="1" w:unhideWhenUsed="0" w:semiHidden="0" w:uiPriority="31" w:name="Subtle Reference"/>
    <w:lsdException w:qFormat="1" w:unhideWhenUsed="0" w:semiHidden="0" w:uiPriority="32" w:name="Intense Reference"/>
    <w:lsdException w:qFormat="1" w:unhideWhenUsed="0" w:semiHidden="0" w:uiPriority="33" w:name="Book Title"/>
    <w:lsdException w:uiPriority="37" w:name="Bibliography"/>
    <w:lsdException w:qFormat="1" w:uiPriority="39" w:name="TOC Heading"/>
  </w:latentStyles>
  <w:style w:type="paragraph" w:styleId="Normal" w:default="1">
    <w:name w:val="Normal"/>
    <w:qFormat/>
    <w:pPr>
      <w:widowControl/>
      <w:suppressAutoHyphens w:val="true"/>
      <w:bidi w:val="0"/>
      <w:spacing w:lineRule="auto" w:line="259" w:before="0" w:after="160"/>
      <w:jc w:val="left"/>
    </w:pPr>
    <w:rPr>
      <w:rFonts w:ascii="Calibri" w:hAnsi="Calibri" w:eastAsia="SimSun" w:cs="Calibri"/>
      <w:color w:val="00000A"/>
      <w:sz w:val="22"/>
      <w:szCs w:val="22"/>
      <w:lang w:val="sk-SK" w:eastAsia="en-US" w:bidi="ar-SA"/>
    </w:rPr>
  </w:style>
  <w:style w:type="character" w:styleId="DefaultParagraphFont" w:default="1">
    <w:name w:val="Default Paragraph Font"/>
    <w:uiPriority w:val="1"/>
    <w:semiHidden/>
    <w:unhideWhenUsed/>
    <w:rPr/>
  </w:style>
  <w:style w:type="character" w:styleId="HlavikaChar" w:customStyle="1">
    <w:name w:val="Hlavička Char"/>
    <w:uiPriority w:val="99"/>
    <w:link w:val="Hlavika"/>
    <w:rsid w:val="00ce03ec"/>
    <w:basedOn w:val="DefaultParagraphFont"/>
    <w:rPr/>
  </w:style>
  <w:style w:type="character" w:styleId="PtaChar" w:customStyle="1">
    <w:name w:val="Päta Char"/>
    <w:uiPriority w:val="99"/>
    <w:link w:val="Pta"/>
    <w:rsid w:val="00ce03ec"/>
    <w:basedOn w:val="DefaultParagraphFont"/>
    <w:rPr/>
  </w:style>
  <w:style w:type="character" w:styleId="TextbublinyChar" w:customStyle="1">
    <w:name w:val="Text bubliny Char"/>
    <w:uiPriority w:val="99"/>
    <w:semiHidden/>
    <w:link w:val="Textbubliny"/>
    <w:rsid w:val="00ce03ec"/>
    <w:basedOn w:val="DefaultParagraphFont"/>
    <w:rPr>
      <w:rFonts w:ascii="Segoe UI" w:hAnsi="Segoe UI" w:cs="Segoe UI"/>
      <w:sz w:val="18"/>
      <w:szCs w:val="18"/>
    </w:rPr>
  </w:style>
  <w:style w:type="character" w:styleId="PlaceholderText">
    <w:name w:val="Placeholder Text"/>
    <w:uiPriority w:val="99"/>
    <w:semiHidden/>
    <w:rsid w:val="00173c34"/>
    <w:basedOn w:val="DefaultParagraphFont"/>
    <w:rPr>
      <w:color w:val="808080"/>
    </w:rPr>
  </w:style>
  <w:style w:type="character" w:styleId="ListLabel1" w:customStyle="1">
    <w:name w:val="ListLabel 1"/>
    <w:rPr>
      <w:rFonts w:cs="Calibri"/>
      <w:sz w:val="24"/>
    </w:rPr>
  </w:style>
  <w:style w:type="character" w:styleId="WW8Num4z0" w:customStyle="1">
    <w:name w:val="WW8Num4z0"/>
    <w:rPr/>
  </w:style>
  <w:style w:type="character" w:styleId="WW8Num4z1" w:customStyle="1">
    <w:name w:val="WW8Num4z1"/>
    <w:rPr/>
  </w:style>
  <w:style w:type="character" w:styleId="WW8Num4z2" w:customStyle="1">
    <w:name w:val="WW8Num4z2"/>
    <w:rPr/>
  </w:style>
  <w:style w:type="character" w:styleId="WW8Num4z3" w:customStyle="1">
    <w:name w:val="WW8Num4z3"/>
    <w:rPr/>
  </w:style>
  <w:style w:type="character" w:styleId="WW8Num4z4" w:customStyle="1">
    <w:name w:val="WW8Num4z4"/>
    <w:rPr/>
  </w:style>
  <w:style w:type="character" w:styleId="WW8Num4z5" w:customStyle="1">
    <w:name w:val="WW8Num4z5"/>
    <w:rPr/>
  </w:style>
  <w:style w:type="character" w:styleId="WW8Num4z6" w:customStyle="1">
    <w:name w:val="WW8Num4z6"/>
    <w:rPr/>
  </w:style>
  <w:style w:type="character" w:styleId="WW8Num4z7" w:customStyle="1">
    <w:name w:val="WW8Num4z7"/>
    <w:rPr/>
  </w:style>
  <w:style w:type="character" w:styleId="WW8Num4z8" w:customStyle="1">
    <w:name w:val="WW8Num4z8"/>
    <w:rPr/>
  </w:style>
  <w:style w:type="character" w:styleId="ListLabel2" w:customStyle="1">
    <w:name w:val="ListLabel 2"/>
    <w:rPr>
      <w:b w:val="false"/>
    </w:rPr>
  </w:style>
  <w:style w:type="character" w:styleId="ListLabel3" w:customStyle="1">
    <w:name w:val="ListLabel 3"/>
    <w:rPr>
      <w:b w:val="false"/>
    </w:rPr>
  </w:style>
  <w:style w:type="character" w:styleId="ListLabel4" w:customStyle="1">
    <w:name w:val="ListLabel 4"/>
    <w:rPr>
      <w:b w:val="false"/>
    </w:rPr>
  </w:style>
  <w:style w:type="character" w:styleId="ListLabel5" w:customStyle="1">
    <w:name w:val="ListLabel 5"/>
    <w:rPr>
      <w:b w:val="false"/>
    </w:rPr>
  </w:style>
  <w:style w:type="character" w:styleId="ListLabel6">
    <w:name w:val="ListLabel 6"/>
    <w:rPr>
      <w:b w:val="false"/>
    </w:rPr>
  </w:style>
  <w:style w:type="character" w:styleId="ListLabel7">
    <w:name w:val="ListLabel 7"/>
    <w:rPr>
      <w:b w:val="false"/>
    </w:rPr>
  </w:style>
  <w:style w:type="character" w:styleId="ListLabel8">
    <w:name w:val="ListLabel 8"/>
    <w:rPr>
      <w:b w:val="false"/>
    </w:rPr>
  </w:style>
  <w:style w:type="character" w:styleId="ListLabel9">
    <w:name w:val="ListLabel 9"/>
    <w:rPr>
      <w:b w:val="false"/>
    </w:rPr>
  </w:style>
  <w:style w:type="character" w:styleId="ListLabel10">
    <w:name w:val="ListLabel 10"/>
    <w:rPr>
      <w:b w:val="false"/>
    </w:rPr>
  </w:style>
  <w:style w:type="character" w:styleId="ListLabel11">
    <w:name w:val="ListLabel 11"/>
    <w:rPr>
      <w:b w:val="false"/>
    </w:rPr>
  </w:style>
  <w:style w:type="character" w:styleId="ListLabel12">
    <w:name w:val="ListLabel 12"/>
    <w:rPr>
      <w:b w:val="false"/>
    </w:rPr>
  </w:style>
  <w:style w:type="character" w:styleId="ListLabel13">
    <w:name w:val="ListLabel 13"/>
    <w:rPr>
      <w:b w:val="false"/>
    </w:rPr>
  </w:style>
  <w:style w:type="character" w:styleId="ListLabel14">
    <w:name w:val="ListLabel 14"/>
    <w:rPr>
      <w:b w:val="false"/>
    </w:rPr>
  </w:style>
  <w:style w:type="character" w:styleId="ListLabel15">
    <w:name w:val="ListLabel 15"/>
    <w:rPr>
      <w:b w:val="false"/>
    </w:rPr>
  </w:style>
  <w:style w:type="character" w:styleId="ListLabel16">
    <w:name w:val="ListLabel 16"/>
    <w:rPr>
      <w:b w:val="false"/>
    </w:rPr>
  </w:style>
  <w:style w:type="character" w:styleId="ListLabel17">
    <w:name w:val="ListLabel 17"/>
    <w:rPr>
      <w:b w:val="false"/>
    </w:rPr>
  </w:style>
  <w:style w:type="character" w:styleId="ListLabel18">
    <w:name w:val="ListLabel 18"/>
    <w:rPr>
      <w:b w:val="false"/>
    </w:rPr>
  </w:style>
  <w:style w:type="character" w:styleId="ListLabel19">
    <w:name w:val="ListLabel 19"/>
    <w:rPr>
      <w:b w:val="false"/>
    </w:rPr>
  </w:style>
  <w:style w:type="character" w:styleId="ListLabel20">
    <w:name w:val="ListLabel 20"/>
    <w:rPr>
      <w:b w:val="false"/>
    </w:rPr>
  </w:style>
  <w:style w:type="character" w:styleId="ListLabel21">
    <w:name w:val="ListLabel 21"/>
    <w:rPr>
      <w:b w:val="false"/>
    </w:rPr>
  </w:style>
  <w:style w:type="character" w:styleId="ListLabel22">
    <w:name w:val="ListLabel 22"/>
    <w:rPr>
      <w:b w:val="false"/>
    </w:rPr>
  </w:style>
  <w:style w:type="character" w:styleId="ListLabel23">
    <w:name w:val="ListLabel 23"/>
    <w:rPr>
      <w:b w:val="false"/>
    </w:rPr>
  </w:style>
  <w:style w:type="character" w:styleId="ListLabel24">
    <w:name w:val="ListLabel 24"/>
    <w:rPr>
      <w:b w:val="false"/>
    </w:rPr>
  </w:style>
  <w:style w:type="character" w:styleId="ListLabel25">
    <w:name w:val="ListLabel 25"/>
    <w:rPr>
      <w:b w:val="false"/>
    </w:rPr>
  </w:style>
  <w:style w:type="character" w:styleId="ListLabel26">
    <w:name w:val="ListLabel 26"/>
    <w:rPr>
      <w:b w:val="false"/>
    </w:rPr>
  </w:style>
  <w:style w:type="character" w:styleId="ListLabel27">
    <w:name w:val="ListLabel 27"/>
    <w:rPr>
      <w:b w:val="false"/>
    </w:rPr>
  </w:style>
  <w:style w:type="character" w:styleId="ListLabel28">
    <w:name w:val="ListLabel 28"/>
    <w:rPr>
      <w:b w:val="false"/>
    </w:rPr>
  </w:style>
  <w:style w:type="character" w:styleId="ListLabel29">
    <w:name w:val="ListLabel 29"/>
    <w:rPr>
      <w:b w:val="false"/>
    </w:rPr>
  </w:style>
  <w:style w:type="character" w:styleId="ListLabel30">
    <w:name w:val="ListLabel 30"/>
    <w:rPr>
      <w:b w:val="false"/>
    </w:rPr>
  </w:style>
  <w:style w:type="character" w:styleId="ListLabel31">
    <w:name w:val="ListLabel 31"/>
    <w:rPr>
      <w:b w:val="false"/>
    </w:rPr>
  </w:style>
  <w:style w:type="paragraph" w:styleId="Nadpis" w:customStyle="1">
    <w:name w:val="Nadpis"/>
    <w:basedOn w:val="Normal"/>
    <w:next w:val="Telotextu"/>
    <w:pPr>
      <w:keepNext/>
      <w:spacing w:before="240" w:after="120"/>
    </w:pPr>
    <w:rPr>
      <w:rFonts w:ascii="Liberation Sans" w:hAnsi="Liberation Sans" w:eastAsia="Microsoft YaHei" w:cs="Mangal"/>
      <w:sz w:val="28"/>
      <w:szCs w:val="28"/>
    </w:rPr>
  </w:style>
  <w:style w:type="paragraph" w:styleId="Telotextu" w:customStyle="1">
    <w:name w:val="Telo textu"/>
    <w:basedOn w:val="Normal"/>
    <w:pPr>
      <w:spacing w:lineRule="auto" w:line="288" w:before="0" w:after="140"/>
    </w:pPr>
    <w:rPr/>
  </w:style>
  <w:style w:type="paragraph" w:styleId="Zoznam">
    <w:name w:val="Zoznam"/>
    <w:basedOn w:val="Telotextu"/>
    <w:pPr/>
    <w:rPr>
      <w:rFonts w:cs="Mangal"/>
    </w:rPr>
  </w:style>
  <w:style w:type="paragraph" w:styleId="Popis">
    <w:name w:val="Popis"/>
    <w:basedOn w:val="Normal"/>
    <w:pPr>
      <w:suppressLineNumbers/>
      <w:spacing w:before="120" w:after="120"/>
    </w:pPr>
    <w:rPr>
      <w:rFonts w:cs="Mangal"/>
      <w:i/>
      <w:iCs/>
      <w:sz w:val="24"/>
      <w:szCs w:val="24"/>
    </w:rPr>
  </w:style>
  <w:style w:type="paragraph" w:styleId="Index" w:customStyle="1">
    <w:name w:val="Index"/>
    <w:basedOn w:val="Normal"/>
    <w:pPr>
      <w:suppressLineNumbers/>
    </w:pPr>
    <w:rPr>
      <w:rFonts w:cs="Mangal"/>
    </w:rPr>
  </w:style>
  <w:style w:type="paragraph" w:styleId="Caption">
    <w:name w:val="caption"/>
    <w:basedOn w:val="Normal"/>
    <w:pPr>
      <w:suppressLineNumbers/>
      <w:spacing w:before="120" w:after="120"/>
    </w:pPr>
    <w:rPr>
      <w:rFonts w:cs="Mangal"/>
      <w:i/>
      <w:iCs/>
      <w:sz w:val="24"/>
      <w:szCs w:val="24"/>
    </w:rPr>
  </w:style>
  <w:style w:type="paragraph" w:styleId="ListParagraph">
    <w:name w:val="List Paragraph"/>
    <w:uiPriority w:val="34"/>
    <w:qFormat/>
    <w:rsid w:val="00ce03ec"/>
    <w:basedOn w:val="Normal"/>
    <w:pPr>
      <w:spacing w:before="0" w:after="160"/>
      <w:ind w:left="720" w:right="0" w:hanging="0"/>
      <w:contextualSpacing/>
    </w:pPr>
    <w:rPr/>
  </w:style>
  <w:style w:type="paragraph" w:styleId="Hlavika">
    <w:name w:val="Hlavička"/>
    <w:uiPriority w:val="99"/>
    <w:unhideWhenUsed/>
    <w:link w:val="HlavikaChar"/>
    <w:rsid w:val="00ce03ec"/>
    <w:basedOn w:val="Normal"/>
    <w:pPr>
      <w:tabs>
        <w:tab w:val="center" w:pos="4536" w:leader="none"/>
        <w:tab w:val="right" w:pos="9072" w:leader="none"/>
      </w:tabs>
      <w:spacing w:lineRule="auto" w:line="240" w:before="0" w:after="0"/>
    </w:pPr>
    <w:rPr/>
  </w:style>
  <w:style w:type="paragraph" w:styleId="Pta">
    <w:name w:val="Päta"/>
    <w:uiPriority w:val="99"/>
    <w:unhideWhenUsed/>
    <w:link w:val="PtaChar"/>
    <w:rsid w:val="00ce03ec"/>
    <w:basedOn w:val="Normal"/>
    <w:pPr>
      <w:tabs>
        <w:tab w:val="center" w:pos="4536" w:leader="none"/>
        <w:tab w:val="right" w:pos="9072" w:leader="none"/>
      </w:tabs>
      <w:spacing w:lineRule="auto" w:line="240" w:before="0" w:after="0"/>
    </w:pPr>
    <w:rPr/>
  </w:style>
  <w:style w:type="paragraph" w:styleId="BalloonText">
    <w:name w:val="Balloon Text"/>
    <w:uiPriority w:val="99"/>
    <w:semiHidden/>
    <w:unhideWhenUsed/>
    <w:link w:val="TextbublinyChar"/>
    <w:rsid w:val="00ce03ec"/>
    <w:basedOn w:val="Normal"/>
    <w:pPr>
      <w:spacing w:lineRule="auto" w:line="240" w:before="0" w:after="0"/>
    </w:pPr>
    <w:rPr>
      <w:rFonts w:ascii="Segoe UI" w:hAnsi="Segoe UI" w:cs="Segoe UI"/>
      <w:sz w:val="18"/>
      <w:szCs w:val="18"/>
    </w:rPr>
  </w:style>
  <w:style w:type="paragraph" w:styleId="Obsahrmca" w:customStyle="1">
    <w:name w:val="Obsah rámca"/>
    <w:basedOn w:val="Normal"/>
    <w:pPr/>
    <w:rPr/>
  </w:style>
  <w:style w:type="paragraph" w:styleId="Default" w:customStyle="1">
    <w:name w:val="Default"/>
    <w:pPr>
      <w:widowControl w:val="false"/>
      <w:suppressAutoHyphens w:val="true"/>
      <w:bidi w:val="0"/>
      <w:spacing w:lineRule="auto" w:line="259" w:before="0" w:after="160"/>
      <w:jc w:val="left"/>
    </w:pPr>
    <w:rPr>
      <w:rFonts w:ascii="Arial" w:hAnsi="Arial" w:eastAsia="SimSun" w:cs="Calibri"/>
      <w:color w:val="000000"/>
      <w:sz w:val="24"/>
      <w:szCs w:val="22"/>
      <w:lang w:val="sk-SK" w:eastAsia="en-US" w:bidi="ar-SA"/>
    </w:rPr>
  </w:style>
  <w:style w:type="paragraph" w:styleId="Obsahtabuky" w:customStyle="1">
    <w:name w:val="Obsah tabuľky"/>
    <w:basedOn w:val="Normal"/>
    <w:pPr/>
    <w:rPr/>
  </w:style>
  <w:style w:type="paragraph" w:styleId="Nadpistabuky" w:customStyle="1">
    <w:name w:val="Nadpis tabuľky"/>
    <w:basedOn w:val="Obsahtabuky"/>
    <w:pPr/>
    <w:rPr/>
  </w:style>
  <w:style w:type="paragraph" w:styleId="Zarkazkladnhotextu1" w:customStyle="1">
    <w:name w:val="Zarážka základného textu1"/>
    <w:pPr>
      <w:widowControl/>
      <w:suppressAutoHyphens w:val="true"/>
      <w:bidi w:val="0"/>
      <w:spacing w:lineRule="auto" w:line="259" w:before="0" w:after="120"/>
      <w:ind w:left="283" w:right="0" w:hanging="0"/>
      <w:jc w:val="left"/>
    </w:pPr>
    <w:rPr>
      <w:rFonts w:ascii="Courier" w:hAnsi="Courier" w:eastAsia="SimSun" w:cs="Courier"/>
      <w:color w:val="00000A"/>
      <w:sz w:val="24"/>
      <w:szCs w:val="24"/>
      <w:lang w:val="sk-SK" w:eastAsia="cs-CZ" w:bidi="ar-SA"/>
    </w:rPr>
  </w:style>
  <w:style w:type="numbering" w:styleId="NoList" w:default="1">
    <w:name w:val="No List"/>
    <w:uiPriority w:val="99"/>
    <w:semiHidden/>
    <w:unhideWhenUsed/>
  </w:style>
  <w:style w:type="numbering" w:styleId="WW8Num4" w:customStyle="1">
    <w:name w:val="WW8Num4"/>
  </w:style>
  <w:style w:type="table" w:default="1" w:styleId="Normlnatabuka">
    <w:name w:val="Normal Table"/>
    <w:uiPriority w:val="99"/>
    <w:semiHidden/>
    <w:unhideWhenUsed/>
    <w:tblPr>
      <w:tblInd w:type="dxa" w:w="0"/>
      <w:tblCellMar>
        <w:top w:w="0" w:type="dxa"/>
        <w:left w:w="108" w:type="dxa"/>
        <w:bottom w:w="0" w:type="dxa"/>
        <w:right w:w="108" w:type="dxa"/>
      </w:tblCellMar>
    </w:tblPr>
  </w:style>
  <w:style w:type="table" w:styleId="Mriekatabuky">
    <w:name w:val="Table Grid"/>
    <w:basedOn w:val="Normlnatabuka"/>
    <w:uiPriority w:val="39"/>
    <w:rsid w:val="00090eec"/>
    <w:pPr>
      <w:spacing w:line="240" w:lineRule="auto"/>
    </w:pPr>
    <w:tblPr>
      <w:tblBorders>
        <w:top w:space="0" w:sz="4" w:color="auto" w:val="single"/>
        <w:left w:space="0" w:sz="4" w:color="auto" w:val="single"/>
        <w:bottom w:space="0" w:sz="4" w:color="auto" w:val="single"/>
        <w:right w:space="0" w:sz="4" w:color="auto" w:val="single"/>
        <w:insideH w:space="0" w:sz="4" w:color="auto" w:val="single"/>
        <w:insideV w:space="0" w:sz="4" w:color="auto" w:val="single"/>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Application>LibreOffice/4.2.3.3$Windows_x86 LibreOffice_project/882f8a0a489bc99a9e60c7905a60226254cb6ff0</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2015-03-17T09:33:00Z</dcterms:created>
  <dc:creator>Stefan Jakubcak</dc:creator>
  <dc:language>sk-SK</dc:language>
  <cp:lastModifiedBy>Stefan Jakubcak</cp:lastModifiedBy>
  <cp:lastPrinted>2017-03-03T14:16:08Z</cp:lastPrinted>
  <dcterms:modified xsi:type="dcterms:W3CDTF">2016-03-16T08:15:00Z</dcterms:modified>
  <cp:revision>6</cp:revision>
</cp:coreProperties>
</file>