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_rels/document.xml.rels" ContentType="application/vnd.openxmlformats-package.relationships+xml"/>
  <Override PartName="/word/glossary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istParagraph"/>
        <w:ind w:left="426" w:hanging="426"/>
        <w:jc w:val="center"/>
        <w:rPr>
          <w:rFonts w:ascii="Cambria" w:hAnsi="Cambria" w:cs="Arial" w:asciiTheme="majorHAnsi" w:hAnsiTheme="majorHAnsi"/>
          <w:b/>
          <w:b/>
          <w:sz w:val="24"/>
          <w:szCs w:val="24"/>
        </w:rPr>
      </w:pPr>
      <w:bookmarkStart w:id="0" w:name="_GoBack"/>
      <w:bookmarkStart w:id="1" w:name="_GoBack"/>
      <w:bookmarkEnd w:id="1"/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 - Všeobecné informácie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I.1</w:t>
        <w:tab/>
        <w:t>Obchodné meno účtovnej jednotky:   Rúbanka, s.r.o.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b/>
        </w:rPr>
        <w:t xml:space="preserve">         </w:t>
      </w:r>
      <w:r>
        <w:rPr>
          <w:rFonts w:cs="Arial" w:ascii="Cambria" w:hAnsi="Cambria"/>
          <w:i/>
        </w:rPr>
        <w:t>(právnická osoba alebo fyzická osoba podnikateľ)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</w:rPr>
      </w:pPr>
      <w:r>
        <w:rPr>
          <w:rFonts w:cs="Arial" w:ascii="Cambria" w:hAnsi="Cambria"/>
          <w:b/>
        </w:rPr>
        <w:tab/>
        <w:t>Sídlo účtovnej jednotky</w:t>
      </w:r>
      <w:r>
        <w:rPr>
          <w:rFonts w:cs="Arial" w:ascii="Cambria" w:hAnsi="Cambria"/>
        </w:rPr>
        <w:t xml:space="preserve">:  </w:t>
      </w:r>
      <w:r>
        <w:rPr>
          <w:rFonts w:cs="Arial" w:ascii="Cambria" w:hAnsi="Cambria"/>
          <w:b/>
        </w:rPr>
        <w:t>941 36 Rúbaň 470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i/>
        </w:rPr>
        <w:t xml:space="preserve">         </w:t>
      </w:r>
      <w:r>
        <w:rPr>
          <w:rFonts w:cs="Arial" w:ascii="Cambria" w:hAnsi="Cambria"/>
          <w:i/>
        </w:rPr>
        <w:t>(sídlo právnickej osoby alebo miesto podnikania FO podnikateľa)</w:t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ab/>
        <w:t xml:space="preserve">Opis hospodárskej činnosti účtovnej jednotky: </w:t>
      </w:r>
      <w:r>
        <w:fldChar w:fldCharType="begin">
          <w:ffData>
            <w:name w:val="__Fieldmark__31_145754514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" w:name="Text21"/>
      <w:bookmarkStart w:id="3" w:name="__Fieldmark__31_1457545148"/>
      <w:bookmarkStart w:id="4" w:name="__Fieldmark__31_1457545148"/>
      <w:bookmarkEnd w:id="2"/>
      <w:bookmarkEnd w:id="4"/>
      <w:r>
        <w:rPr>
          <w:rFonts w:cs="Arial" w:ascii="Cambria" w:hAnsi="Cambria"/>
          <w:b/>
        </w:rPr>
      </w:r>
      <w:bookmarkStart w:id="5" w:name="Text214"/>
      <w:r>
        <w:rPr>
          <w:rFonts w:cs="Arial" w:ascii="Cambria" w:hAnsi="Cambria"/>
          <w:b/>
        </w:rPr>
        <w:t>    Pestovanie obilnín a služby spojené s poľnohospodárskou výrobou </w:t>
      </w:r>
      <w:bookmarkStart w:id="6" w:name="Text219"/>
      <w:bookmarkStart w:id="7" w:name="__Fieldmark__31_1457545148"/>
      <w:bookmarkEnd w:id="5"/>
      <w:bookmarkEnd w:id="6"/>
      <w:bookmarkEnd w:id="7"/>
      <w:r>
        <w:rPr>
          <w:rFonts w:cs="Arial" w:ascii="Cambria" w:hAnsi="Cambria"/>
          <w:b/>
        </w:rPr>
      </w:r>
      <w:r>
        <w:fldChar w:fldCharType="end"/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I.2</w:t>
        <w:tab/>
        <w:t>Dátum schválenia účtovnej závierky za bezprostredne predchádzajúce účtovné obdobie: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fldChar w:fldCharType="begin">
          <w:ffData>
            <w:name w:val="__Fieldmark__49_145754514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" w:name="Text22"/>
      <w:bookmarkStart w:id="9" w:name="__Fieldmark__49_1457545148"/>
      <w:bookmarkStart w:id="10" w:name="__Fieldmark__49_1457545148"/>
      <w:bookmarkEnd w:id="8"/>
      <w:bookmarkEnd w:id="10"/>
      <w:r>
        <w:rPr>
          <w:rFonts w:cs="Arial" w:ascii="Cambria" w:hAnsi="Cambria"/>
          <w:b/>
          <w:sz w:val="20"/>
          <w:szCs w:val="20"/>
        </w:rPr>
      </w:r>
      <w:bookmarkStart w:id="11" w:name="Text226"/>
      <w:r>
        <w:rPr>
          <w:rFonts w:cs="Arial" w:ascii="Cambria" w:hAnsi="Cambria"/>
          <w:b/>
          <w:sz w:val="20"/>
          <w:szCs w:val="20"/>
        </w:rPr>
        <w:t>    10.04.2017 </w:t>
      </w:r>
      <w:bookmarkStart w:id="12" w:name="Text2214"/>
      <w:bookmarkStart w:id="13" w:name="__Fieldmark__49_1457545148"/>
      <w:bookmarkEnd w:id="11"/>
      <w:bookmarkEnd w:id="12"/>
      <w:bookmarkEnd w:id="13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Schvaľovací orgán  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>rozhodnutie jediného spoločníka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I.3</w:t>
        <w:tab/>
        <w:t xml:space="preserve">Právny dôvod na zostavenie účtovnej závierky: </w:t>
      </w:r>
      <w:r>
        <w:rPr>
          <w:rFonts w:cs="Arial" w:ascii="Cambria" w:hAnsi="Cambria"/>
          <w:b/>
        </w:rPr>
      </w:r>
      <w:sdt>
        <w:sdtP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>
            <w:t>riadna</w:t>
          </w:r>
        </w:sdtContent>
      </w:sdt>
    </w:p>
    <w:p>
      <w:pPr>
        <w:pStyle w:val="ListParagraph"/>
        <w:spacing w:lineRule="auto" w:line="240" w:before="0" w:after="0"/>
        <w:ind w:left="426" w:hanging="426"/>
        <w:contextualSpacing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ListParagraph"/>
        <w:spacing w:lineRule="auto" w:line="240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Dôvod na zostavenie mimoriadnej účtovnej závierky: </w:t>
      </w:r>
      <w:r>
        <w:rPr>
          <w:rFonts w:cs="Arial" w:ascii="Cambria" w:hAnsi="Cambria"/>
          <w:b/>
          <w:sz w:val="20"/>
          <w:szCs w:val="20"/>
        </w:rPr>
      </w:r>
      <w:sdt>
        <w:sdtPr>
          <w:dropDownList>
            <w:listItem w:displayText="vyberte" w:value="vyberte"/>
            <w:listItem w:displayText="rozdelenie" w:value="rozdelenie"/>
            <w:listItem w:displayText="zlúčenie" w:value="zlúčenie"/>
            <w:listItem w:displayText="splynutie" w:value="splynutie"/>
            <w:listItem w:displayText="zmena právnej formy" w:value="zmena právnej formy"/>
            <w:listItem w:displayText="začiatok likvidácie" w:value="začiatok likvidácie"/>
            <w:listItem w:displayText="koniec likvidácie" w:value="koniec likvidácie"/>
            <w:listItem w:displayText="vyhlásenie konkurzu" w:value="vyhlásenie konkurzu"/>
            <w:listItem w:displayText="zrušenie konkurzu" w:value="zrušenie konkurzu"/>
          </w:dropDownList>
        </w:sdtPr>
        <w:sdtContent>
          <w:r>
            <w:t>vyberte</w:t>
          </w:r>
        </w:sdtContent>
      </w:sdt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  <w:t>Odporúčaný text v prípade riadnej účtovnej závierky: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Cambria" w:hAnsi="Cambria"/>
          <w:sz w:val="20"/>
          <w:szCs w:val="20"/>
        </w:rPr>
        <w:t xml:space="preserve">Účtovná závierka Spoločnosti k </w:t>
      </w:r>
      <w:r>
        <w:fldChar w:fldCharType="begin">
          <w:ffData>
            <w:name w:val="__Fieldmark__73_145754514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4" w:name="Text248"/>
      <w:bookmarkStart w:id="15" w:name="Text24"/>
      <w:bookmarkStart w:id="16" w:name="__Fieldmark__73_1457545148"/>
      <w:bookmarkStart w:id="17" w:name="__Fieldmark__73_1457545148"/>
      <w:bookmarkEnd w:id="15"/>
      <w:bookmarkEnd w:id="17"/>
      <w:r>
        <w:rPr>
          <w:rFonts w:cs="Arial" w:ascii="Cambria" w:hAnsi="Cambria"/>
          <w:sz w:val="20"/>
          <w:szCs w:val="20"/>
        </w:rPr>
        <w:t>   31.12.2017  </w:t>
      </w:r>
      <w:bookmarkStart w:id="18" w:name="Text2419"/>
      <w:bookmarkStart w:id="19" w:name="__Fieldmark__73_1457545148"/>
      <w:bookmarkEnd w:id="18"/>
      <w:bookmarkEnd w:id="19"/>
      <w:r>
        <w:rPr>
          <w:rFonts w:cs="Arial" w:ascii="Cambria" w:hAnsi="Cambria"/>
          <w:sz w:val="20"/>
          <w:szCs w:val="20"/>
        </w:rPr>
      </w:r>
      <w:r>
        <w:fldChar w:fldCharType="end"/>
      </w:r>
      <w:bookmarkEnd w:id="14"/>
      <w:r>
        <w:rPr>
          <w:rFonts w:cs="Arial" w:ascii="Cambria" w:hAnsi="Cambria"/>
          <w:sz w:val="20"/>
          <w:szCs w:val="20"/>
        </w:rPr>
        <w:t xml:space="preserve"> je zostavená ako riadna účtovná závierka podľa § 17 ods. 6 zákona č. 431/2002 Z. z. o účtovníctve v platnom znení (ďalej „zákon o účtovníctve“) za účtovné obdobie od </w:t>
      </w:r>
      <w:r>
        <w:fldChar w:fldCharType="begin">
          <w:ffData>
            <w:name w:val="__Fieldmark__88_145754514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0" w:name="Text2510"/>
      <w:bookmarkStart w:id="21" w:name="Text25"/>
      <w:bookmarkStart w:id="22" w:name="__Fieldmark__88_1457545148"/>
      <w:bookmarkStart w:id="23" w:name="__Fieldmark__88_1457545148"/>
      <w:bookmarkEnd w:id="21"/>
      <w:bookmarkEnd w:id="23"/>
      <w:r>
        <w:rPr>
          <w:rFonts w:cs="Arial" w:ascii="Cambria" w:hAnsi="Cambria"/>
          <w:sz w:val="20"/>
          <w:szCs w:val="20"/>
        </w:rPr>
        <w:t> 01.01.    </w:t>
      </w:r>
      <w:bookmarkStart w:id="24" w:name="Text2524"/>
      <w:bookmarkStart w:id="25" w:name="__Fieldmark__88_1457545148"/>
      <w:bookmarkEnd w:id="24"/>
      <w:bookmarkEnd w:id="25"/>
      <w:r>
        <w:rPr>
          <w:rFonts w:cs="Arial" w:ascii="Cambria" w:hAnsi="Cambria"/>
          <w:sz w:val="20"/>
          <w:szCs w:val="20"/>
        </w:rPr>
      </w:r>
      <w:r>
        <w:fldChar w:fldCharType="end"/>
      </w:r>
      <w:bookmarkEnd w:id="20"/>
      <w:r>
        <w:rPr>
          <w:rFonts w:cs="Arial" w:ascii="Cambria" w:hAnsi="Cambria"/>
          <w:sz w:val="20"/>
          <w:szCs w:val="20"/>
        </w:rPr>
        <w:t xml:space="preserve"> do </w:t>
      </w:r>
      <w:r>
        <w:fldChar w:fldCharType="begin">
          <w:ffData>
            <w:name w:val="__Fieldmark__103_145754514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6" w:name="Text2612"/>
      <w:bookmarkStart w:id="27" w:name="Text26"/>
      <w:bookmarkStart w:id="28" w:name="__Fieldmark__103_1457545148"/>
      <w:bookmarkStart w:id="29" w:name="__Fieldmark__103_1457545148"/>
      <w:bookmarkEnd w:id="27"/>
      <w:bookmarkEnd w:id="29"/>
      <w:r>
        <w:rPr>
          <w:rFonts w:cs="Arial" w:ascii="Cambria" w:hAnsi="Cambria"/>
          <w:sz w:val="20"/>
          <w:szCs w:val="20"/>
        </w:rPr>
        <w:t>    31.12. </w:t>
      </w:r>
      <w:bookmarkStart w:id="30" w:name="Text2629"/>
      <w:bookmarkStart w:id="31" w:name="__Fieldmark__103_1457545148"/>
      <w:bookmarkEnd w:id="30"/>
      <w:bookmarkEnd w:id="31"/>
      <w:r>
        <w:rPr>
          <w:rFonts w:cs="Arial" w:ascii="Cambria" w:hAnsi="Cambria"/>
          <w:sz w:val="20"/>
          <w:szCs w:val="20"/>
        </w:rPr>
      </w:r>
      <w:r>
        <w:fldChar w:fldCharType="end"/>
      </w:r>
      <w:bookmarkEnd w:id="26"/>
      <w:r>
        <w:rPr>
          <w:rFonts w:cs="Arial" w:ascii="Cambria" w:hAnsi="Cambria"/>
          <w:sz w:val="20"/>
          <w:szCs w:val="20"/>
        </w:rPr>
        <w:t xml:space="preserve">. 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Účtovná závierka je určená pre používateľov, ktorí majú primerané znalosti o obchodných 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I.4</w:t>
        <w:tab/>
        <w:t>Informácie o skupine účtovných jednotiek, ak je účtovná jednotka jej súčasťou: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426"/>
        <w:contextualSpacing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Účtovná jednotka, ktorá zostavuje konsolidovanú účtovnú závierku za najväčšiu skupinu, ktorej súčasťou je účtovná jednotka ako dcérska účtovná jednotka: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Obchodné meno: </w:t>
      </w:r>
      <w:r>
        <w:fldChar w:fldCharType="begin">
          <w:ffData>
            <w:name w:val="__Fieldmark__122_145754514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2" w:name="Text5"/>
      <w:bookmarkStart w:id="33" w:name="__Fieldmark__122_1457545148"/>
      <w:bookmarkStart w:id="34" w:name="__Fieldmark__122_1457545148"/>
      <w:bookmarkEnd w:id="32"/>
      <w:bookmarkEnd w:id="34"/>
      <w:r>
        <w:rPr>
          <w:rFonts w:cs="Arial" w:ascii="Cambria" w:hAnsi="Cambria"/>
          <w:b/>
          <w:sz w:val="20"/>
          <w:szCs w:val="20"/>
        </w:rPr>
        <w:t>     </w:t>
      </w:r>
      <w:bookmarkStart w:id="35" w:name="Text533"/>
      <w:bookmarkStart w:id="36" w:name="__Fieldmark__122_1457545148"/>
      <w:bookmarkEnd w:id="35"/>
      <w:bookmarkEnd w:id="36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Sídlo: </w:t>
      </w:r>
      <w:r>
        <w:fldChar w:fldCharType="begin">
          <w:ffData>
            <w:name w:val="__Fieldmark__134_145754514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7" w:name="Text6"/>
      <w:bookmarkStart w:id="38" w:name="__Fieldmark__134_1457545148"/>
      <w:bookmarkStart w:id="39" w:name="__Fieldmark__134_1457545148"/>
      <w:bookmarkEnd w:id="37"/>
      <w:bookmarkEnd w:id="39"/>
      <w:r>
        <w:rPr>
          <w:rFonts w:cs="Arial" w:ascii="Cambria" w:hAnsi="Cambria"/>
          <w:b/>
          <w:sz w:val="20"/>
          <w:szCs w:val="20"/>
        </w:rPr>
        <w:t>     </w:t>
      </w:r>
      <w:bookmarkStart w:id="40" w:name="Text637"/>
      <w:bookmarkStart w:id="41" w:name="__Fieldmark__134_1457545148"/>
      <w:bookmarkEnd w:id="40"/>
      <w:bookmarkEnd w:id="41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426"/>
        <w:contextualSpacing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Účtovná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Obchodné meno: </w:t>
      </w:r>
      <w:r>
        <w:fldChar w:fldCharType="begin">
          <w:ffData>
            <w:name w:val="__Fieldmark__147_145754514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2" w:name="__Fieldmark__139_1786540632"/>
      <w:bookmarkStart w:id="43" w:name="__Fieldmark__147_1457545148"/>
      <w:bookmarkStart w:id="44" w:name="__Fieldmark__147_1457545148"/>
      <w:bookmarkEnd w:id="42"/>
      <w:bookmarkEnd w:id="44"/>
      <w:r>
        <w:rPr>
          <w:rFonts w:cs="Arial" w:ascii="Cambria" w:hAnsi="Cambria"/>
          <w:b/>
          <w:sz w:val="20"/>
          <w:szCs w:val="20"/>
        </w:rPr>
        <w:t>     </w:t>
      </w:r>
      <w:bookmarkStart w:id="45" w:name="__Fieldmark__139_178654063241"/>
      <w:bookmarkStart w:id="46" w:name="__Fieldmark__147_1457545148"/>
      <w:bookmarkEnd w:id="45"/>
      <w:bookmarkEnd w:id="46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Sídlo: </w:t>
      </w:r>
      <w:r>
        <w:fldChar w:fldCharType="begin">
          <w:ffData>
            <w:name w:val="__Fieldmark__159_145754514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7" w:name="__Fieldmark__148_1786540632"/>
      <w:bookmarkStart w:id="48" w:name="__Fieldmark__159_1457545148"/>
      <w:bookmarkStart w:id="49" w:name="__Fieldmark__159_1457545148"/>
      <w:bookmarkEnd w:id="47"/>
      <w:bookmarkEnd w:id="49"/>
      <w:r>
        <w:rPr>
          <w:rFonts w:cs="Arial" w:ascii="Cambria" w:hAnsi="Cambria"/>
          <w:b/>
          <w:sz w:val="20"/>
          <w:szCs w:val="20"/>
        </w:rPr>
        <w:t>     </w:t>
      </w:r>
      <w:bookmarkStart w:id="50" w:name="__Fieldmark__148_178654063245"/>
      <w:bookmarkStart w:id="51" w:name="__Fieldmark__159_1457545148"/>
      <w:bookmarkEnd w:id="50"/>
      <w:bookmarkEnd w:id="51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426"/>
        <w:contextualSpacing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Sídlo: </w:t>
      </w:r>
      <w:r>
        <w:fldChar w:fldCharType="begin">
          <w:ffData>
            <w:name w:val="__Fieldmark__172_145754514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2" w:name="__Fieldmark__158_1786540632"/>
      <w:bookmarkStart w:id="53" w:name="__Fieldmark__172_1457545148"/>
      <w:bookmarkStart w:id="54" w:name="__Fieldmark__172_1457545148"/>
      <w:bookmarkEnd w:id="52"/>
      <w:bookmarkEnd w:id="54"/>
      <w:r>
        <w:rPr>
          <w:rFonts w:cs="Arial" w:ascii="Cambria" w:hAnsi="Cambria"/>
          <w:b/>
          <w:sz w:val="20"/>
          <w:szCs w:val="20"/>
        </w:rPr>
        <w:t>     </w:t>
      </w:r>
      <w:bookmarkStart w:id="55" w:name="__Fieldmark__158_178654063249"/>
      <w:bookmarkStart w:id="56" w:name="__Fieldmark__172_1457545148"/>
      <w:bookmarkEnd w:id="55"/>
      <w:bookmarkEnd w:id="56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d)    </w:t>
      </w:r>
      <w:r>
        <w:rPr>
          <w:rFonts w:cs="Arial" w:ascii="Cambria" w:hAnsi="Cambria"/>
          <w:sz w:val="20"/>
          <w:szCs w:val="20"/>
        </w:rPr>
        <w:t>A.</w:t>
      </w:r>
      <w:r>
        <w:rPr>
          <w:rFonts w:cs="Arial" w:ascii="Cambria" w:hAnsi="Cambria"/>
          <w:b/>
          <w:sz w:val="20"/>
          <w:szCs w:val="20"/>
        </w:rPr>
        <w:t xml:space="preserve">    </w:t>
      </w:r>
      <w:r>
        <w:rPr>
          <w:rFonts w:cs="Arial" w:ascii="Cambria" w:hAnsi="Cambria"/>
          <w:sz w:val="20"/>
          <w:szCs w:val="20"/>
        </w:rPr>
        <w:t xml:space="preserve">je </w:t>
      </w:r>
      <w:r>
        <w:rPr>
          <w:rFonts w:cs="Arial" w:ascii="Cambria" w:hAnsi="Cambria"/>
          <w:b/>
          <w:sz w:val="20"/>
          <w:szCs w:val="20"/>
        </w:rPr>
        <w:t xml:space="preserve"> </w:t>
      </w:r>
      <w:r>
        <w:rPr>
          <w:rFonts w:cs="Arial" w:ascii="Cambria" w:hAnsi="Cambria"/>
          <w:sz w:val="20"/>
          <w:szCs w:val="20"/>
        </w:rPr>
        <w:t>účtovná jednotka  materskou účtovnou jednotkou</w:t>
      </w:r>
      <w:r>
        <w:rPr>
          <w:rFonts w:cs="Arial" w:ascii="Cambria" w:hAnsi="Cambria"/>
          <w:b/>
          <w:sz w:val="20"/>
          <w:szCs w:val="20"/>
        </w:rPr>
        <w:t xml:space="preserve">: </w:t>
      </w:r>
      <w:r>
        <w:rPr>
          <w:rFonts w:cs="Arial" w:ascii="Cambria" w:hAnsi="Cambria"/>
          <w:b/>
          <w:sz w:val="20"/>
          <w:szCs w:val="20"/>
        </w:rPr>
      </w:r>
      <w:sdt>
        <w:sdtP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vyberte</w:t>
          </w:r>
        </w:sdtContent>
      </w:sdt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cs="Arial" w:ascii="Cambria" w:hAnsi="Cambria" w:asciiTheme="majorHAnsi" w:hAnsiTheme="majorHAnsi"/>
          <w:sz w:val="20"/>
          <w:szCs w:val="20"/>
        </w:rPr>
        <w:t>konsolidovanú výročnú správu podľa § 22 zákona o účtovníctve a to:</w:t>
      </w:r>
    </w:p>
    <w:p>
      <w:pPr>
        <w:pStyle w:val="ListParagraph"/>
        <w:spacing w:lineRule="auto" w:line="240" w:before="0" w:after="0"/>
        <w:ind w:left="851" w:hanging="0"/>
        <w:contextualSpacing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Spacing"/>
        <w:ind w:left="426" w:hanging="0"/>
        <w:jc w:val="both"/>
        <w:rPr>
          <w:rFonts w:ascii="Cambria" w:hAnsi="Cambria" w:cs="Arial" w:asciiTheme="majorHAnsi" w:hAnsiTheme="majorHAnsi"/>
          <w:sz w:val="20"/>
          <w:szCs w:val="20"/>
        </w:rPr>
      </w:pPr>
      <w:sdt>
        <w:sdtPr>
          <w:id w:val="789295078"/>
        </w:sdtPr>
        <w:sdtContent>
          <w:r>
            <w:rPr>
              <w:rFonts w:eastAsia="MS Mincho" w:cs="MS Mincho" w:ascii="MS Mincho" w:hAnsi="MS Mincho"/>
              <w:b/>
              <w:sz w:val="20"/>
              <w:szCs w:val="20"/>
            </w:rPr>
            <w:t>☐</w:t>
          </w:r>
        </w:sdtContent>
      </w:sdt>
      <w:r>
        <w:rPr>
          <w:rFonts w:cs="Arial" w:ascii="Cambria" w:hAnsi="Cambria" w:asciiTheme="majorHAnsi" w:hAnsiTheme="majorHAnsi"/>
          <w:b/>
          <w:sz w:val="20"/>
          <w:szCs w:val="20"/>
        </w:rPr>
        <w:tab/>
      </w:r>
      <w:r>
        <w:rPr>
          <w:rFonts w:cs="Arial" w:ascii="Cambria" w:hAnsi="Cambria" w:asciiTheme="majorHAnsi" w:hAnsiTheme="majorHAnsi"/>
          <w:sz w:val="20"/>
          <w:szCs w:val="20"/>
        </w:rPr>
        <w:t>v zmysle § 22 ods. 8 ZoÚ (oslobodenie od konsolidácie na medzistupni):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</w:rPr>
      </w:pPr>
      <w:r>
        <w:rPr>
          <w:rFonts w:cs="Arial" w:ascii="Cambria" w:hAnsi="Cambria"/>
        </w:rPr>
      </w:r>
    </w:p>
    <w:p>
      <w:pPr>
        <w:pStyle w:val="Normal"/>
        <w:spacing w:lineRule="auto" w:line="240" w:before="0" w:after="0"/>
        <w:ind w:left="426" w:hanging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Údaje o materskej účtovnej jednotke zostavujúcej konsolidovanú účtovnú závierku podľa IFRS EÚ, do ktorej je zahrňovaná účtovná jednotka a všetky jej dcérske účtovné jednotky: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Obchodné meno: </w:t>
      </w:r>
      <w:r>
        <w:fldChar w:fldCharType="begin">
          <w:ffData>
            <w:name w:val="__Fieldmark__198_145754514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7" w:name="__Fieldmark__196_1786540632"/>
      <w:bookmarkStart w:id="58" w:name="__Fieldmark__198_1457545148"/>
      <w:bookmarkStart w:id="59" w:name="__Fieldmark__198_1457545148"/>
      <w:bookmarkEnd w:id="57"/>
      <w:bookmarkEnd w:id="59"/>
      <w:r>
        <w:rPr>
          <w:rFonts w:cs="Arial" w:ascii="Cambria" w:hAnsi="Cambria"/>
          <w:b/>
          <w:sz w:val="20"/>
          <w:szCs w:val="20"/>
        </w:rPr>
        <w:t>     </w:t>
      </w:r>
      <w:bookmarkStart w:id="60" w:name="__Fieldmark__196_178654063253"/>
      <w:bookmarkStart w:id="61" w:name="__Fieldmark__198_1457545148"/>
      <w:bookmarkEnd w:id="60"/>
      <w:bookmarkEnd w:id="61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Sídlo: </w:t>
      </w:r>
      <w:r>
        <w:fldChar w:fldCharType="begin">
          <w:ffData>
            <w:name w:val="__Fieldmark__210_145754514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2" w:name="__Fieldmark__205_1786540632"/>
      <w:bookmarkStart w:id="63" w:name="__Fieldmark__210_1457545148"/>
      <w:bookmarkStart w:id="64" w:name="__Fieldmark__210_1457545148"/>
      <w:bookmarkEnd w:id="62"/>
      <w:bookmarkEnd w:id="64"/>
      <w:r>
        <w:rPr>
          <w:rFonts w:cs="Arial" w:ascii="Cambria" w:hAnsi="Cambria"/>
          <w:b/>
          <w:sz w:val="20"/>
          <w:szCs w:val="20"/>
        </w:rPr>
        <w:t>     </w:t>
      </w:r>
      <w:bookmarkStart w:id="65" w:name="__Fieldmark__205_178654063257"/>
      <w:bookmarkStart w:id="66" w:name="__Fieldmark__210_1457545148"/>
      <w:bookmarkEnd w:id="65"/>
      <w:bookmarkEnd w:id="66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Spacing"/>
        <w:ind w:left="852" w:hanging="426"/>
        <w:jc w:val="both"/>
        <w:rPr>
          <w:rFonts w:ascii="Cambria" w:hAnsi="Cambria" w:cs="Arial"/>
          <w:i/>
          <w:i/>
          <w:sz w:val="20"/>
          <w:szCs w:val="20"/>
        </w:rPr>
      </w:pPr>
      <w:sdt>
        <w:sdtPr>
          <w:id w:val="149514982"/>
        </w:sdtPr>
        <w:sdtContent>
          <w:r>
            <w:rPr>
              <w:rFonts w:eastAsia="MS Mincho" w:cs="MS Mincho" w:ascii="MS Mincho" w:hAnsi="MS Mincho"/>
              <w:b/>
            </w:rPr>
            <w:t>☐</w:t>
          </w:r>
        </w:sdtContent>
      </w:sdt>
      <w:r>
        <w:rPr>
          <w:rFonts w:cs="Arial" w:ascii="Cambria" w:hAnsi="Cambria"/>
          <w:b/>
        </w:rPr>
        <w:tab/>
      </w:r>
      <w:r>
        <w:rPr>
          <w:rFonts w:cs="Arial" w:ascii="Cambria" w:hAnsi="Cambria"/>
          <w:sz w:val="20"/>
          <w:szCs w:val="20"/>
        </w:rPr>
        <w:t xml:space="preserve">v zmysle § 22 ods. 10 a 12 ZoÚ (oslobodenie pri nevýznamnosti dcérskych spoločností, uvedených v prehľade): </w:t>
      </w:r>
      <w:r>
        <w:rPr>
          <w:rFonts w:cs="Arial" w:ascii="Cambria" w:hAnsi="Cambria"/>
          <w:i/>
          <w:sz w:val="20"/>
          <w:szCs w:val="20"/>
        </w:rPr>
        <w:t>počet riadkov závisí od Vašich potrieb, ak prevyšuje, prázdne odstráňte.</w:t>
      </w:r>
    </w:p>
    <w:p>
      <w:pPr>
        <w:pStyle w:val="NoSpacing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tbl>
      <w:tblPr>
        <w:tblStyle w:val="Mriekatabuky"/>
        <w:tblW w:w="9072" w:type="dxa"/>
        <w:jc w:val="left"/>
        <w:tblInd w:w="103" w:type="dxa"/>
        <w:tblCellMar>
          <w:top w:w="0" w:type="dxa"/>
          <w:left w:w="97" w:type="dxa"/>
          <w:bottom w:w="0" w:type="dxa"/>
          <w:right w:w="108" w:type="dxa"/>
        </w:tblCellMar>
        <w:tblLook w:val="04a0"/>
      </w:tblPr>
      <w:tblGrid>
        <w:gridCol w:w="3969"/>
        <w:gridCol w:w="5102"/>
      </w:tblGrid>
      <w:tr>
        <w:trPr/>
        <w:tc>
          <w:tcPr>
            <w:tcW w:w="90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Spacing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Dcérska spoločnosť</w:t>
            </w:r>
          </w:p>
        </w:tc>
      </w:tr>
      <w:tr>
        <w:trPr/>
        <w:tc>
          <w:tcPr>
            <w:tcW w:w="39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Spacing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Obchodné meno</w:t>
            </w:r>
          </w:p>
        </w:tc>
        <w:tc>
          <w:tcPr>
            <w:tcW w:w="51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Spacing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Sídlo</w:t>
            </w:r>
          </w:p>
        </w:tc>
      </w:tr>
      <w:tr>
        <w:trPr/>
        <w:tc>
          <w:tcPr>
            <w:tcW w:w="39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DBE5F1" w:themeFill="accent1" w:themeFillTint="33" w:val="clear"/>
            <w:tcMar>
              <w:left w:w="97" w:type="dxa"/>
            </w:tcMar>
          </w:tcPr>
          <w:p>
            <w:pPr>
              <w:pStyle w:val="NoSpacing"/>
              <w:spacing w:lineRule="auto" w:line="240" w:before="0" w:after="0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  <w:r>
              <w:rPr>
                <w:rFonts w:cs="Arial" w:ascii="Cambria" w:hAnsi="Cambria"/>
                <w:color w:val="DBE5F1" w:themeColor="accent1" w:themeTint="33"/>
                <w:sz w:val="20"/>
                <w:szCs w:val="20"/>
              </w:rPr>
            </w:r>
          </w:p>
        </w:tc>
        <w:tc>
          <w:tcPr>
            <w:tcW w:w="51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DBE5F1" w:themeFill="accent1" w:themeFillTint="33" w:val="clear"/>
            <w:tcMar>
              <w:left w:w="97" w:type="dxa"/>
            </w:tcMar>
          </w:tcPr>
          <w:p>
            <w:pPr>
              <w:pStyle w:val="NoSpacing"/>
              <w:spacing w:lineRule="auto" w:line="240" w:before="0" w:after="0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  <w:r>
              <w:rPr>
                <w:rFonts w:cs="Arial" w:ascii="Cambria" w:hAnsi="Cambria"/>
                <w:color w:val="DBE5F1" w:themeColor="accent1" w:themeTint="33"/>
                <w:sz w:val="20"/>
                <w:szCs w:val="20"/>
              </w:rPr>
            </w:r>
          </w:p>
        </w:tc>
      </w:tr>
      <w:tr>
        <w:trPr/>
        <w:tc>
          <w:tcPr>
            <w:tcW w:w="39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Spacing"/>
              <w:spacing w:lineRule="auto" w:line="240" w:before="0" w:after="0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51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Spacing"/>
              <w:spacing w:lineRule="auto" w:line="240" w:before="0" w:after="0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39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DBE5F1" w:themeFill="accent1" w:themeFillTint="33" w:val="clear"/>
            <w:tcMar>
              <w:left w:w="97" w:type="dxa"/>
            </w:tcMar>
          </w:tcPr>
          <w:p>
            <w:pPr>
              <w:pStyle w:val="NoSpacing"/>
              <w:spacing w:lineRule="auto" w:line="240" w:before="0" w:after="0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51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DBE5F1" w:themeFill="accent1" w:themeFillTint="33" w:val="clear"/>
            <w:tcMar>
              <w:left w:w="97" w:type="dxa"/>
            </w:tcMar>
          </w:tcPr>
          <w:p>
            <w:pPr>
              <w:pStyle w:val="NoSpacing"/>
              <w:spacing w:lineRule="auto" w:line="240" w:before="0" w:after="0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39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Spacing"/>
              <w:spacing w:lineRule="auto" w:line="240" w:before="0" w:after="0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51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Spacing"/>
              <w:spacing w:lineRule="auto" w:line="240" w:before="0" w:after="0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39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DBE5F1" w:themeFill="accent1" w:themeFillTint="33" w:val="clear"/>
            <w:tcMar>
              <w:left w:w="97" w:type="dxa"/>
            </w:tcMar>
          </w:tcPr>
          <w:p>
            <w:pPr>
              <w:pStyle w:val="NoSpacing"/>
              <w:spacing w:lineRule="auto" w:line="240" w:before="0" w:after="0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51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DBE5F1" w:themeFill="accent1" w:themeFillTint="33" w:val="clear"/>
            <w:tcMar>
              <w:left w:w="97" w:type="dxa"/>
            </w:tcMar>
          </w:tcPr>
          <w:p>
            <w:pPr>
              <w:pStyle w:val="NoSpacing"/>
              <w:spacing w:lineRule="auto" w:line="240" w:before="0" w:after="0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39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Spacing"/>
              <w:spacing w:lineRule="auto" w:line="240" w:before="0" w:after="0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51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Spacing"/>
              <w:spacing w:lineRule="auto" w:line="240" w:before="0" w:after="0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Spacing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  <w:t>V ďalšom vzorovom texte sa uvádza všeobecné označenie „bežné účtovné obdobie“ a „bezprostredne predchádzajúce účtovné obdobie“. Toto všeobecné označenie nahraďte pre Vás aktuálnym účtovným obdobím.  Opäť dávame do pozornosti, aby Ste text označený kurzívou, slúžiaci pre prácu so vzorovým dokumentom, následne odstránili.</w:t>
      </w:r>
    </w:p>
    <w:p>
      <w:pPr>
        <w:pStyle w:val="Normal"/>
        <w:spacing w:before="0" w:after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I.5</w:t>
        <w:tab/>
        <w:t>Informácie o počte zamestnancov:</w:t>
      </w:r>
    </w:p>
    <w:p>
      <w:pPr>
        <w:pStyle w:val="ListParagraph"/>
        <w:spacing w:lineRule="auto" w:line="240" w:before="0" w:after="0"/>
        <w:ind w:left="426" w:hanging="426"/>
        <w:contextualSpacing/>
        <w:jc w:val="both"/>
        <w:rPr>
          <w:rFonts w:ascii="Cambria" w:hAnsi="Cambria" w:cs="Arial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tbl>
      <w:tblPr>
        <w:tblStyle w:val="Mriekatabuky"/>
        <w:tblW w:w="9012" w:type="dxa"/>
        <w:jc w:val="left"/>
        <w:tblInd w:w="103" w:type="dxa"/>
        <w:tblCellMar>
          <w:top w:w="0" w:type="dxa"/>
          <w:left w:w="83" w:type="dxa"/>
          <w:bottom w:w="0" w:type="dxa"/>
          <w:right w:w="108" w:type="dxa"/>
        </w:tblCellMar>
        <w:tblLook w:val="04a0"/>
      </w:tblPr>
      <w:tblGrid>
        <w:gridCol w:w="4307"/>
        <w:gridCol w:w="2326"/>
        <w:gridCol w:w="2379"/>
      </w:tblGrid>
      <w:tr>
        <w:trPr/>
        <w:tc>
          <w:tcPr>
            <w:tcW w:w="43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Názov položky</w:t>
            </w:r>
          </w:p>
        </w:tc>
        <w:tc>
          <w:tcPr>
            <w:tcW w:w="23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Bežné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účtovné obdobie</w:t>
            </w:r>
          </w:p>
        </w:tc>
        <w:tc>
          <w:tcPr>
            <w:tcW w:w="237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Bezprostredne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predchádzajúce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účtovné obdobie</w:t>
            </w:r>
          </w:p>
        </w:tc>
      </w:tr>
      <w:tr>
        <w:trPr>
          <w:trHeight w:val="378" w:hRule="atLeast"/>
        </w:trPr>
        <w:tc>
          <w:tcPr>
            <w:tcW w:w="43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  <w:t xml:space="preserve">             </w:t>
            </w:r>
            <w:r>
              <w:rPr>
                <w:rFonts w:cs="Arial" w:ascii="Cambria" w:hAnsi="Cambria"/>
                <w:b/>
                <w:sz w:val="24"/>
                <w:szCs w:val="24"/>
              </w:rPr>
              <w:t>7</w:t>
            </w:r>
          </w:p>
        </w:tc>
        <w:tc>
          <w:tcPr>
            <w:tcW w:w="237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  <w:t xml:space="preserve">              </w:t>
            </w:r>
            <w:r>
              <w:rPr>
                <w:rFonts w:cs="Arial" w:ascii="Cambria" w:hAnsi="Cambria"/>
                <w:b/>
                <w:sz w:val="24"/>
                <w:szCs w:val="24"/>
              </w:rPr>
              <w:t>7</w:t>
            </w:r>
          </w:p>
        </w:tc>
      </w:tr>
      <w:tr>
        <w:trPr>
          <w:trHeight w:val="755" w:hRule="atLeast"/>
        </w:trPr>
        <w:tc>
          <w:tcPr>
            <w:tcW w:w="43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  <w:t xml:space="preserve">             </w:t>
            </w:r>
            <w:r>
              <w:rPr>
                <w:rFonts w:cs="Arial" w:ascii="Cambria" w:hAnsi="Cambria"/>
                <w:b/>
                <w:sz w:val="24"/>
                <w:szCs w:val="24"/>
              </w:rPr>
              <w:t>9</w:t>
            </w:r>
          </w:p>
        </w:tc>
        <w:tc>
          <w:tcPr>
            <w:tcW w:w="237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  <w:t xml:space="preserve">              </w:t>
            </w:r>
            <w:r>
              <w:rPr>
                <w:rFonts w:cs="Arial" w:ascii="Cambria" w:hAnsi="Cambria"/>
                <w:b/>
                <w:sz w:val="24"/>
                <w:szCs w:val="24"/>
              </w:rPr>
              <w:t>9</w:t>
            </w:r>
          </w:p>
        </w:tc>
      </w:tr>
      <w:tr>
        <w:trPr>
          <w:trHeight w:val="837" w:hRule="atLeast"/>
        </w:trPr>
        <w:tc>
          <w:tcPr>
            <w:tcW w:w="43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>Počet vedúcich zamestnancov (členovia štatutárneho orgánu ÚJ a vedúci zamestnanci</w:t>
            </w:r>
          </w:p>
          <w:p>
            <w:pPr>
              <w:pStyle w:val="Normal"/>
              <w:spacing w:lineRule="auto" w:line="240" w:before="0" w:after="0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  <w:t xml:space="preserve">            </w:t>
            </w:r>
            <w:r>
              <w:rPr>
                <w:rFonts w:cs="Arial" w:ascii="Cambria" w:hAnsi="Cambria"/>
                <w:b/>
                <w:sz w:val="24"/>
                <w:szCs w:val="24"/>
              </w:rPr>
              <w:t>1</w:t>
            </w:r>
          </w:p>
        </w:tc>
        <w:tc>
          <w:tcPr>
            <w:tcW w:w="237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  <w:t xml:space="preserve">             </w:t>
            </w:r>
            <w:r>
              <w:rPr>
                <w:rFonts w:cs="Arial" w:ascii="Cambria" w:hAnsi="Cambria"/>
                <w:b/>
                <w:sz w:val="24"/>
                <w:szCs w:val="24"/>
              </w:rPr>
              <w:t>1</w:t>
            </w:r>
          </w:p>
        </w:tc>
      </w:tr>
    </w:tbl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II – Informácie o orgánoch spoločnosti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II. a) – d)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tbl>
      <w:tblPr>
        <w:tblStyle w:val="Mriekatabuky"/>
        <w:tblW w:w="9212" w:type="dxa"/>
        <w:jc w:val="left"/>
        <w:tblInd w:w="103" w:type="dxa"/>
        <w:tblCellMar>
          <w:top w:w="0" w:type="dxa"/>
          <w:left w:w="92" w:type="dxa"/>
          <w:bottom w:w="0" w:type="dxa"/>
          <w:right w:w="108" w:type="dxa"/>
        </w:tblCellMar>
        <w:tblLook w:val="04a0"/>
      </w:tblPr>
      <w:tblGrid>
        <w:gridCol w:w="1928"/>
        <w:gridCol w:w="1427"/>
        <w:gridCol w:w="1239"/>
        <w:gridCol w:w="975"/>
        <w:gridCol w:w="1"/>
        <w:gridCol w:w="1428"/>
        <w:gridCol w:w="1239"/>
        <w:gridCol w:w="974"/>
      </w:tblGrid>
      <w:tr>
        <w:trPr/>
        <w:tc>
          <w:tcPr>
            <w:tcW w:w="192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 w:asciiTheme="majorHAnsi" w:hAnsiTheme="majorHAnsi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641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Hodnota príjmu,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Hodnota príjmu,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výhody bývalých členov orgánov</w:t>
            </w:r>
          </w:p>
        </w:tc>
      </w:tr>
      <w:tr>
        <w:trPr/>
        <w:tc>
          <w:tcPr>
            <w:tcW w:w="1928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dozorného</w:t>
            </w:r>
          </w:p>
        </w:tc>
        <w:tc>
          <w:tcPr>
            <w:tcW w:w="9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dozorného</w:t>
            </w: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iného</w:t>
            </w:r>
          </w:p>
        </w:tc>
      </w:tr>
      <w:tr>
        <w:trPr/>
        <w:tc>
          <w:tcPr>
            <w:tcW w:w="1928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364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Časť 1 - BO</w:t>
            </w:r>
          </w:p>
        </w:tc>
      </w:tr>
      <w:tr>
        <w:trPr/>
        <w:tc>
          <w:tcPr>
            <w:tcW w:w="1928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3641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Časť 2 - PO</w:t>
            </w:r>
          </w:p>
        </w:tc>
      </w:tr>
      <w:tr>
        <w:trPr/>
        <w:tc>
          <w:tcPr>
            <w:tcW w:w="192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Záruky</w:t>
            </w:r>
          </w:p>
        </w:tc>
        <w:tc>
          <w:tcPr>
            <w:tcW w:w="142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23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976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42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23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97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  <w:tr>
        <w:trPr/>
        <w:tc>
          <w:tcPr>
            <w:tcW w:w="1928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2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9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4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2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  <w:tr>
        <w:trPr/>
        <w:tc>
          <w:tcPr>
            <w:tcW w:w="1928" w:type="dxa"/>
            <w:vMerge w:val="restart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Iné zabezpečenie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2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9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4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2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  <w:tr>
        <w:trPr/>
        <w:tc>
          <w:tcPr>
            <w:tcW w:w="1928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2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9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4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2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  <w:tr>
        <w:trPr/>
        <w:tc>
          <w:tcPr>
            <w:tcW w:w="1928" w:type="dxa"/>
            <w:vMerge w:val="restart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  <w:t>120000</w:t>
            </w:r>
          </w:p>
        </w:tc>
        <w:tc>
          <w:tcPr>
            <w:tcW w:w="12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9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4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2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  <w:tr>
        <w:trPr/>
        <w:tc>
          <w:tcPr>
            <w:tcW w:w="1928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  <w:t>150000</w:t>
            </w:r>
          </w:p>
        </w:tc>
        <w:tc>
          <w:tcPr>
            <w:tcW w:w="12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9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4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2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  <w:tr>
        <w:trPr/>
        <w:tc>
          <w:tcPr>
            <w:tcW w:w="1928" w:type="dxa"/>
            <w:vMerge w:val="restart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Splatené pôžičky</w:t>
            </w:r>
          </w:p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k poslednému dňu účtovného obdobia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2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9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4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2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  <w:tr>
        <w:trPr/>
        <w:tc>
          <w:tcPr>
            <w:tcW w:w="1928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  <w:t>30000</w:t>
            </w:r>
          </w:p>
        </w:tc>
        <w:tc>
          <w:tcPr>
            <w:tcW w:w="12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9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4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2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  <w:tr>
        <w:trPr/>
        <w:tc>
          <w:tcPr>
            <w:tcW w:w="1928" w:type="dxa"/>
            <w:vMerge w:val="restart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Odpustené a odpísané pôžičky</w:t>
            </w:r>
          </w:p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k poslednému dňu účtovného obdobia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2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9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4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2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  <w:tr>
        <w:trPr/>
        <w:tc>
          <w:tcPr>
            <w:tcW w:w="1928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2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9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4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2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  <w:tr>
        <w:trPr/>
        <w:tc>
          <w:tcPr>
            <w:tcW w:w="1928" w:type="dxa"/>
            <w:vMerge w:val="restart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Použité finančné prostriedky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2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9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4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2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  <w:tr>
        <w:trPr/>
        <w:tc>
          <w:tcPr>
            <w:tcW w:w="1928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2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9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4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2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  <w:tr>
        <w:trPr/>
        <w:tc>
          <w:tcPr>
            <w:tcW w:w="1928" w:type="dxa"/>
            <w:vMerge w:val="restart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2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9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4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2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  <w:tr>
        <w:trPr/>
        <w:tc>
          <w:tcPr>
            <w:tcW w:w="1928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2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9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4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2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  <w:tr>
        <w:trPr/>
        <w:tc>
          <w:tcPr>
            <w:tcW w:w="1928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42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23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976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42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23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240" w:after="200"/>
        <w:ind w:right="142" w:hanging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b/>
          <w:sz w:val="20"/>
          <w:szCs w:val="20"/>
        </w:rPr>
        <w:t>Dodatočné informácie o príjmoch a výhodách členov štatutárnych orgánov, dozorných orgánov a iného orgánu účtovnej jednotky</w:t>
      </w:r>
      <w:r>
        <w:rPr>
          <w:rFonts w:cs="Arial" w:ascii="Cambria" w:hAnsi="Cambria" w:asciiTheme="majorHAnsi" w:hAnsiTheme="majorHAnsi"/>
          <w:sz w:val="20"/>
          <w:szCs w:val="20"/>
        </w:rPr>
        <w:t xml:space="preserve"> (napr. hlavné podmienky, na základe ktorých boli záruky, iné zabezpečenia a pôžičky poskytnuté):</w:t>
      </w:r>
    </w:p>
    <w:p>
      <w:pPr>
        <w:pStyle w:val="Normal"/>
        <w:spacing w:lineRule="auto" w:line="24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     </w:t>
      </w:r>
    </w:p>
    <w:p>
      <w:pPr>
        <w:pStyle w:val="Normal"/>
        <w:spacing w:lineRule="auto" w:line="240" w:before="240" w:after="200"/>
        <w:ind w:right="142" w:hanging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240" w:after="200"/>
        <w:ind w:right="142" w:hanging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240" w:after="200"/>
        <w:ind w:right="142" w:hanging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240" w:after="200"/>
        <w:ind w:right="142" w:hanging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240" w:after="200"/>
        <w:ind w:right="142" w:hanging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III - Informácie o prijatých postupoch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  <w:t>III.1</w:t>
        <w:tab/>
        <w:t xml:space="preserve"> </w:t>
      </w:r>
      <w:r>
        <w:rPr>
          <w:rFonts w:cs="Arial" w:ascii="Cambria" w:hAnsi="Cambria" w:asciiTheme="majorHAnsi" w:hAnsiTheme="majorHAnsi"/>
          <w:b/>
        </w:rPr>
        <w:t xml:space="preserve">Účtovná jednotka bude nepretržite pokračovať vo svojej činnosti: </w:t>
      </w:r>
      <w:r>
        <w:rPr>
          <w:rFonts w:cs="Arial" w:ascii="Cambria" w:hAnsi="Cambria" w:asciiTheme="majorHAnsi" w:hAnsiTheme="majorHAnsi"/>
          <w:b/>
        </w:rPr>
      </w:r>
      <w:sdt>
        <w:sdtP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/>
          <w:b/>
          <w:b/>
          <w:i/>
          <w:i/>
          <w:sz w:val="20"/>
          <w:szCs w:val="20"/>
        </w:rPr>
      </w:pPr>
      <w:r>
        <w:rPr>
          <w:rFonts w:eastAsia="MS Gothic" w:cs="Arial" w:ascii="Cambria" w:hAnsi="Cambria"/>
          <w:b/>
          <w:i/>
          <w:sz w:val="20"/>
          <w:szCs w:val="20"/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     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  <w:t>III.2</w:t>
        <w:tab/>
        <w:t xml:space="preserve"> </w:t>
      </w:r>
      <w:r>
        <w:rPr>
          <w:rFonts w:cs="Arial" w:ascii="Cambria" w:hAnsi="Cambria" w:asciiTheme="majorHAnsi" w:hAnsiTheme="majorHAnsi"/>
          <w:b/>
        </w:rPr>
        <w:t>Zmeny účtovných zásad a metód: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Účtovné zásady a metódy boli účtovnou jednotkou konzistentne aplikované.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>
          <w:rFonts w:cs="Arial" w:ascii="Cambria" w:hAnsi="Cambria" w:asciiTheme="majorHAnsi" w:hAnsiTheme="majorHAnsi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 xml:space="preserve">Účtovné metódy a zásady boli aplikované v rámci platného ZoÚ,  s nasledovnými osobitosťami: </w:t>
      </w:r>
    </w:p>
    <w:tbl>
      <w:tblPr>
        <w:tblStyle w:val="Mriekatabuky"/>
        <w:tblW w:w="9015" w:type="dxa"/>
        <w:jc w:val="left"/>
        <w:tblInd w:w="103" w:type="dxa"/>
        <w:tblCellMar>
          <w:top w:w="0" w:type="dxa"/>
          <w:left w:w="92" w:type="dxa"/>
          <w:bottom w:w="0" w:type="dxa"/>
          <w:right w:w="108" w:type="dxa"/>
        </w:tblCellMar>
        <w:tblLook w:val="04a0"/>
      </w:tblPr>
      <w:tblGrid>
        <w:gridCol w:w="2835"/>
        <w:gridCol w:w="2976"/>
        <w:gridCol w:w="3204"/>
      </w:tblGrid>
      <w:tr>
        <w:trPr/>
        <w:tc>
          <w:tcPr>
            <w:tcW w:w="283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zmeny zásady</w:t>
            </w:r>
          </w:p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>
        <w:trPr>
          <w:trHeight w:val="397" w:hRule="atLeast"/>
        </w:trPr>
        <w:tc>
          <w:tcPr>
            <w:tcW w:w="283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297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>
      <w:pPr>
        <w:pStyle w:val="Normal"/>
        <w:spacing w:lineRule="auto" w:line="240" w:before="240" w:after="200"/>
        <w:ind w:left="426" w:hanging="426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     </w:t>
      </w:r>
    </w:p>
    <w:p>
      <w:pPr>
        <w:pStyle w:val="Normal"/>
        <w:spacing w:lineRule="auto" w:line="240" w:before="240" w:after="200"/>
        <w:ind w:left="426" w:hanging="426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240" w:after="200"/>
        <w:ind w:left="426" w:hanging="426"/>
        <w:jc w:val="both"/>
        <w:rPr>
          <w:rFonts w:ascii="Cambria" w:hAnsi="Cambria" w:eastAsia="MS Gothic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 xml:space="preserve">III.3 </w:t>
        <w:tab/>
      </w:r>
      <w:r>
        <w:rPr>
          <w:rFonts w:eastAsia="MS Gothic" w:cs="Arial" w:ascii="Cambria" w:hAnsi="Cambria" w:asciiTheme="majorHAnsi" w:hAnsiTheme="majorHAnsi"/>
          <w:b/>
        </w:rPr>
        <w:t>Informácie o charaktere a účele transakcií, ktoré sa neuvádzajú v súvahe:</w:t>
      </w:r>
    </w:p>
    <w:tbl>
      <w:tblPr>
        <w:tblStyle w:val="Mriekatabuky"/>
        <w:tblW w:w="9015" w:type="dxa"/>
        <w:jc w:val="left"/>
        <w:tblInd w:w="103" w:type="dxa"/>
        <w:tblCellMar>
          <w:top w:w="0" w:type="dxa"/>
          <w:left w:w="92" w:type="dxa"/>
          <w:bottom w:w="0" w:type="dxa"/>
          <w:right w:w="108" w:type="dxa"/>
        </w:tblCellMar>
        <w:tblLook w:val="04a0"/>
      </w:tblPr>
      <w:tblGrid>
        <w:gridCol w:w="2835"/>
        <w:gridCol w:w="2976"/>
        <w:gridCol w:w="3204"/>
      </w:tblGrid>
      <w:tr>
        <w:trPr/>
        <w:tc>
          <w:tcPr>
            <w:tcW w:w="283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Opis transakcie</w:t>
            </w:r>
          </w:p>
        </w:tc>
        <w:tc>
          <w:tcPr>
            <w:tcW w:w="29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Finančný vplyv transakcie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na účtovnú jednotku</w:t>
            </w:r>
          </w:p>
        </w:tc>
        <w:tc>
          <w:tcPr>
            <w:tcW w:w="32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Riziká/Prínosy transakcie</w:t>
            </w:r>
          </w:p>
        </w:tc>
      </w:tr>
      <w:tr>
        <w:trPr>
          <w:trHeight w:val="397" w:hRule="atLeast"/>
        </w:trPr>
        <w:tc>
          <w:tcPr>
            <w:tcW w:w="283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297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32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3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3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3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3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32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>
          <w:rFonts w:cs="Arial" w:ascii="Cambria" w:hAnsi="Cambria" w:asciiTheme="majorHAnsi" w:hAnsiTheme="majorHAnsi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 xml:space="preserve">III.4 a) </w:t>
      </w:r>
      <w:r>
        <w:rPr>
          <w:rFonts w:eastAsia="MS Gothic" w:cs="Arial" w:ascii="Cambria" w:hAnsi="Cambria" w:asciiTheme="majorHAnsi" w:hAnsiTheme="majorHAnsi"/>
          <w:b/>
        </w:rPr>
        <w:t xml:space="preserve">Spôsob oceňovania jednotlivých zložiek majetku a záväzkov: </w:t>
      </w:r>
      <w:r>
        <w:rPr>
          <w:rFonts w:eastAsia="MS Gothic" w:cs="Arial" w:ascii="Cambria" w:hAnsi="Cambria" w:asciiTheme="majorHAnsi" w:hAnsiTheme="majorHAnsi"/>
          <w:i/>
        </w:rPr>
        <w:t>(kurzívou označené ceny overte, či sú v súlade s ocenením v podmienkach Vašej účtovnej jednotky); tento pomocný text odstráňte.</w:t>
      </w:r>
    </w:p>
    <w:tbl>
      <w:tblPr>
        <w:tblStyle w:val="Mriekatabuky"/>
        <w:tblW w:w="9053" w:type="dxa"/>
        <w:jc w:val="left"/>
        <w:tblInd w:w="103" w:type="dxa"/>
        <w:tblCellMar>
          <w:top w:w="0" w:type="dxa"/>
          <w:left w:w="92" w:type="dxa"/>
          <w:bottom w:w="0" w:type="dxa"/>
          <w:right w:w="108" w:type="dxa"/>
        </w:tblCellMar>
        <w:tblLook w:val="04a0"/>
      </w:tblPr>
      <w:tblGrid>
        <w:gridCol w:w="4720"/>
        <w:gridCol w:w="2065"/>
        <w:gridCol w:w="2268"/>
      </w:tblGrid>
      <w:tr>
        <w:trPr/>
        <w:tc>
          <w:tcPr>
            <w:tcW w:w="47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 obstaraním</w:t>
            </w:r>
          </w:p>
        </w:tc>
      </w:tr>
      <w:tr>
        <w:trPr/>
        <w:tc>
          <w:tcPr>
            <w:tcW w:w="472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47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47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47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47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47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47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47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47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47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47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47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Zákazková výstavba nehnuteľnosti určenej na predaj</w:t>
            </w:r>
          </w:p>
        </w:tc>
        <w:tc>
          <w:tcPr>
            <w:tcW w:w="2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47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47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47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47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47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47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47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47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47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47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Iný majetok </w:t>
            </w:r>
            <w:r>
              <w:rPr>
                <w:rFonts w:cs="Arial" w:ascii="Cambria" w:hAnsi="Cambria" w:asciiTheme="majorHAnsi" w:hAnsiTheme="majorHAnsi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472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Splatná a odložená daň z príjmov</w:t>
            </w:r>
          </w:p>
        </w:tc>
        <w:tc>
          <w:tcPr>
            <w:tcW w:w="206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cs="Arial" w:ascii="Cambria" w:hAnsi="Cambria" w:asciiTheme="majorHAnsi" w:hAnsiTheme="majorHAnsi"/>
          <w:b/>
        </w:rPr>
        <w:t>III.4 b) Odhad zníženia hodnoty majetku a tvorba opravných položiek k majetku:</w:t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tbl>
      <w:tblPr>
        <w:tblStyle w:val="Mriekatabuky"/>
        <w:tblW w:w="9015" w:type="dxa"/>
        <w:jc w:val="left"/>
        <w:tblInd w:w="103" w:type="dxa"/>
        <w:tblCellMar>
          <w:top w:w="0" w:type="dxa"/>
          <w:left w:w="92" w:type="dxa"/>
          <w:bottom w:w="0" w:type="dxa"/>
          <w:right w:w="108" w:type="dxa"/>
        </w:tblCellMar>
        <w:tblLook w:val="04a0"/>
      </w:tblPr>
      <w:tblGrid>
        <w:gridCol w:w="2835"/>
        <w:gridCol w:w="2976"/>
        <w:gridCol w:w="3204"/>
      </w:tblGrid>
      <w:tr>
        <w:trPr/>
        <w:tc>
          <w:tcPr>
            <w:tcW w:w="283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Vytvorená opravná položka</w:t>
            </w:r>
          </w:p>
        </w:tc>
      </w:tr>
      <w:tr>
        <w:trPr>
          <w:trHeight w:val="397" w:hRule="atLeast"/>
        </w:trPr>
        <w:tc>
          <w:tcPr>
            <w:tcW w:w="283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297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</w:rPr>
            </w:pPr>
            <w:r>
              <w:rPr>
                <w:rFonts w:cs="Arial" w:ascii="Cambria" w:hAnsi="Cambria" w:asciiTheme="majorHAnsi" w:hAnsiTheme="majorHAnsi"/>
                <w:i/>
              </w:rPr>
              <w:t>Uviesť rozhodujúce odhady a predpoklady k danej kategórii majetku</w:t>
            </w:r>
          </w:p>
        </w:tc>
        <w:tc>
          <w:tcPr>
            <w:tcW w:w="32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b/>
        </w:rPr>
        <w:t>III. 4 c) Ocenenie záväzkov a stanovenie odhadu ocenenia rezerv: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tbl>
      <w:tblPr>
        <w:tblStyle w:val="Mriekatabuky"/>
        <w:tblW w:w="9072" w:type="dxa"/>
        <w:jc w:val="left"/>
        <w:tblInd w:w="103" w:type="dxa"/>
        <w:tblCellMar>
          <w:top w:w="0" w:type="dxa"/>
          <w:left w:w="92" w:type="dxa"/>
          <w:bottom w:w="0" w:type="dxa"/>
          <w:right w:w="108" w:type="dxa"/>
        </w:tblCellMar>
        <w:tblLook w:val="04a0"/>
      </w:tblPr>
      <w:tblGrid>
        <w:gridCol w:w="4497"/>
        <w:gridCol w:w="4574"/>
      </w:tblGrid>
      <w:tr>
        <w:trPr>
          <w:trHeight w:val="397" w:hRule="atLeast"/>
        </w:trPr>
        <w:tc>
          <w:tcPr>
            <w:tcW w:w="449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Odhad ocenenia rezerv</w:t>
            </w:r>
          </w:p>
        </w:tc>
      </w:tr>
      <w:tr>
        <w:trPr>
          <w:trHeight w:val="397" w:hRule="atLeast"/>
        </w:trPr>
        <w:tc>
          <w:tcPr>
            <w:tcW w:w="449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457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44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4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44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4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44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4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449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457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mbria" w:hAnsi="Cambria" w:cs="Arial" w:asciiTheme="majorHAnsi" w:hAnsiTheme="majorHAnsi"/>
        </w:rPr>
      </w:pPr>
      <w:r>
        <w:rPr>
          <w:rFonts w:eastAsia="MS Gothic" w:cs="Arial" w:ascii="Cambria" w:hAnsi="Cambria" w:asciiTheme="majorHAnsi" w:hAnsiTheme="majorHAnsi"/>
          <w:b/>
        </w:rPr>
        <w:t>III. 4 d) Ocenenie finančných nástrojov alebo majetku, ktorý nie je finančným nástrojom</w:t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mbria" w:hAnsi="Cambria" w:cs="Arial" w:asciiTheme="majorHAnsi" w:hAnsiTheme="majorHAnsi"/>
        </w:rPr>
      </w:pPr>
      <w:r>
        <w:rPr>
          <w:rFonts w:eastAsia="MS Gothic" w:cs="Arial" w:ascii="Cambria" w:hAnsi="Cambria" w:asciiTheme="majorHAnsi" w:hAnsiTheme="majorHAnsi"/>
          <w:b/>
        </w:rPr>
        <w:t>pri oceňovaní reálnou hodnotou: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tbl>
      <w:tblPr>
        <w:tblStyle w:val="Mriekatabuky"/>
        <w:tblW w:w="9104" w:type="dxa"/>
        <w:jc w:val="left"/>
        <w:tblInd w:w="103" w:type="dxa"/>
        <w:tblCellMar>
          <w:top w:w="0" w:type="dxa"/>
          <w:left w:w="92" w:type="dxa"/>
          <w:bottom w:w="0" w:type="dxa"/>
          <w:right w:w="108" w:type="dxa"/>
        </w:tblCellMar>
        <w:tblLook w:val="04a0"/>
      </w:tblPr>
      <w:tblGrid>
        <w:gridCol w:w="1734"/>
        <w:gridCol w:w="2377"/>
        <w:gridCol w:w="1700"/>
        <w:gridCol w:w="1700"/>
        <w:gridCol w:w="1593"/>
      </w:tblGrid>
      <w:tr>
        <w:trPr/>
        <w:tc>
          <w:tcPr>
            <w:tcW w:w="17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Aplikácia RH podľa ZoÚ alebo stanovenie významných predpokladov slúžiacich ako základ modelov a postupov ocenenia pri kvalifikovanom odhade</w:t>
            </w:r>
          </w:p>
        </w:tc>
        <w:tc>
          <w:tcPr>
            <w:tcW w:w="17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Reálna hodnota</w:t>
            </w:r>
          </w:p>
        </w:tc>
        <w:tc>
          <w:tcPr>
            <w:tcW w:w="17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Vplyv reálnej hodnoty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na výsledok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hospodárenia</w:t>
            </w:r>
          </w:p>
        </w:tc>
        <w:tc>
          <w:tcPr>
            <w:tcW w:w="159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 xml:space="preserve">Vplyv reálnej hodnoty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na vlastné imanie (cez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oceňovacie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rozdiely)</w:t>
            </w:r>
          </w:p>
        </w:tc>
      </w:tr>
      <w:tr>
        <w:trPr>
          <w:trHeight w:val="397" w:hRule="atLeast"/>
        </w:trPr>
        <w:tc>
          <w:tcPr>
            <w:tcW w:w="17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37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15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17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3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15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17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3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15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17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3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15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17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37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159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240" w:after="200"/>
        <w:jc w:val="both"/>
        <w:rPr>
          <w:rFonts w:ascii="Cambria" w:hAnsi="Cambria" w:cs="Arial" w:asciiTheme="majorHAnsi" w:hAnsiTheme="majorHAnsi"/>
          <w:b/>
          <w:b/>
          <w:sz w:val="20"/>
          <w:szCs w:val="20"/>
        </w:rPr>
      </w:pPr>
      <w:r>
        <w:rPr>
          <w:rFonts w:cs="Arial" w:ascii="Cambria" w:hAnsi="Cambria" w:asciiTheme="majorHAnsi" w:hAnsiTheme="majorHAnsi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>
      <w:pPr>
        <w:pStyle w:val="Normal"/>
        <w:spacing w:lineRule="auto" w:line="240" w:before="240" w:after="200"/>
        <w:jc w:val="both"/>
        <w:rPr/>
      </w:pPr>
      <w:r>
        <w:fldChar w:fldCharType="begin">
          <w:ffData>
            <w:name w:val="__Fieldmark__1043_145754514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7" w:name="Text18"/>
      <w:bookmarkStart w:id="68" w:name="__Fieldmark__1043_1457545148"/>
      <w:bookmarkStart w:id="69" w:name="__Fieldmark__1043_1457545148"/>
      <w:bookmarkEnd w:id="67"/>
      <w:bookmarkEnd w:id="69"/>
      <w:r>
        <w:rPr>
          <w:rFonts w:cs="Arial" w:ascii="Cambria" w:hAnsi="Cambria" w:asciiTheme="majorHAnsi" w:hAnsiTheme="majorHAnsi"/>
          <w:b/>
          <w:sz w:val="20"/>
          <w:szCs w:val="20"/>
        </w:rPr>
      </w:r>
      <w:bookmarkStart w:id="70" w:name="Text1882"/>
      <w:r>
        <w:rPr>
          <w:rFonts w:cs="Arial" w:ascii="Cambria" w:hAnsi="Cambria" w:asciiTheme="majorHAnsi" w:hAnsiTheme="majorHAnsi"/>
          <w:b/>
          <w:sz w:val="20"/>
          <w:szCs w:val="20"/>
        </w:rPr>
        <w:t>     </w:t>
      </w:r>
      <w:bookmarkStart w:id="71" w:name="Text18123"/>
      <w:bookmarkStart w:id="72" w:name="__Fieldmark__1043_1457545148"/>
      <w:bookmarkEnd w:id="70"/>
      <w:bookmarkEnd w:id="71"/>
      <w:bookmarkEnd w:id="72"/>
      <w:r>
        <w:rPr>
          <w:rFonts w:cs="Arial" w:ascii="Cambria" w:hAnsi="Cambria" w:asciiTheme="majorHAnsi" w:hAnsiTheme="majorHAnsi"/>
          <w:b/>
          <w:sz w:val="20"/>
          <w:szCs w:val="20"/>
        </w:rPr>
      </w:r>
      <w:r>
        <w:fldChar w:fldCharType="end"/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mbria" w:hAnsi="Cambria" w:eastAsia="MS Gothic" w:cs="Arial" w:asciiTheme="majorHAnsi" w:hAnsiTheme="majorHAnsi"/>
          <w:b/>
          <w:b/>
        </w:rPr>
      </w:pPr>
      <w:r>
        <w:rPr>
          <w:rFonts w:eastAsia="MS Gothic" w:cs="Arial" w:ascii="Cambria" w:hAnsi="Cambria" w:asciiTheme="majorHAnsi" w:hAnsiTheme="majorHAnsi"/>
          <w:b/>
        </w:rPr>
        <w:t>III. 4 e) Ocenenie finančných nástrojov pri oceňovaní obstarávacou cenou alebo vlastnými nákladmi:</w:t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tbl>
      <w:tblPr>
        <w:tblStyle w:val="Mriekatabuky"/>
        <w:tblW w:w="9212" w:type="dxa"/>
        <w:jc w:val="left"/>
        <w:tblInd w:w="-5" w:type="dxa"/>
        <w:tblCellMar>
          <w:top w:w="0" w:type="dxa"/>
          <w:left w:w="92" w:type="dxa"/>
          <w:bottom w:w="0" w:type="dxa"/>
          <w:right w:w="108" w:type="dxa"/>
        </w:tblCellMar>
        <w:tblLook w:val="04a0"/>
      </w:tblPr>
      <w:tblGrid>
        <w:gridCol w:w="3070"/>
        <w:gridCol w:w="3071"/>
        <w:gridCol w:w="3071"/>
      </w:tblGrid>
      <w:tr>
        <w:trPr/>
        <w:tc>
          <w:tcPr>
            <w:tcW w:w="30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Reálna hodnota FN</w:t>
            </w:r>
          </w:p>
        </w:tc>
      </w:tr>
      <w:tr>
        <w:trPr>
          <w:trHeight w:val="340" w:hRule="atLeast"/>
        </w:trPr>
        <w:tc>
          <w:tcPr>
            <w:tcW w:w="307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07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07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tbl>
      <w:tblPr>
        <w:tblStyle w:val="Mriekatabuky"/>
        <w:tblW w:w="9211" w:type="dxa"/>
        <w:jc w:val="left"/>
        <w:tblInd w:w="-5" w:type="dxa"/>
        <w:tblCellMar>
          <w:top w:w="0" w:type="dxa"/>
          <w:left w:w="92" w:type="dxa"/>
          <w:bottom w:w="0" w:type="dxa"/>
          <w:right w:w="108" w:type="dxa"/>
        </w:tblCellMar>
        <w:tblLook w:val="04a0"/>
      </w:tblPr>
      <w:tblGrid>
        <w:gridCol w:w="2302"/>
        <w:gridCol w:w="2303"/>
        <w:gridCol w:w="2304"/>
        <w:gridCol w:w="2301"/>
      </w:tblGrid>
      <w:tr>
        <w:trPr/>
        <w:tc>
          <w:tcPr>
            <w:tcW w:w="23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Dlhodobý finančný majetok</w:t>
            </w:r>
          </w:p>
        </w:tc>
        <w:tc>
          <w:tcPr>
            <w:tcW w:w="2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Dôvod nezníženia ÚH (ak je ÚH &gt; RH)</w:t>
            </w:r>
          </w:p>
        </w:tc>
      </w:tr>
      <w:tr>
        <w:trPr/>
        <w:tc>
          <w:tcPr>
            <w:tcW w:w="230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30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3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30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23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3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3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230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30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3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30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b/>
          <w:b/>
          <w:sz w:val="20"/>
          <w:szCs w:val="20"/>
        </w:rPr>
      </w:pPr>
      <w:r>
        <w:rPr>
          <w:rFonts w:cs="Arial" w:ascii="Cambria" w:hAnsi="Cambria" w:asciiTheme="majorHAnsi" w:hAnsiTheme="majorHAnsi"/>
          <w:b/>
          <w:sz w:val="20"/>
          <w:szCs w:val="20"/>
        </w:rPr>
        <w:t>Ďalšie informácie týkajúce sa dôvodov a povahy dôkazov pre nezníženie účtovnej hodnoty (ak prevyšuje hodnotu reálnu) vyhodnotené ako predpoklady na opätovné dosiahnutie účtovnej hodnoty: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240" w:after="200"/>
        <w:jc w:val="both"/>
        <w:rPr/>
      </w:pPr>
      <w:r>
        <w:fldChar w:fldCharType="begin">
          <w:ffData>
            <w:name w:val="__Fieldmark__1121_145754514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3" w:name="__Fieldmark__1188_1786540632"/>
      <w:bookmarkStart w:id="74" w:name="__Fieldmark__1121_1457545148"/>
      <w:bookmarkStart w:id="75" w:name="__Fieldmark__1121_1457545148"/>
      <w:bookmarkEnd w:id="73"/>
      <w:bookmarkEnd w:id="75"/>
      <w:r>
        <w:rPr>
          <w:rFonts w:cs="Arial" w:ascii="Cambria" w:hAnsi="Cambria" w:asciiTheme="majorHAnsi" w:hAnsiTheme="majorHAnsi"/>
          <w:b/>
          <w:sz w:val="20"/>
          <w:szCs w:val="20"/>
        </w:rPr>
        <w:t>     </w:t>
      </w:r>
      <w:bookmarkStart w:id="76" w:name="__Fieldmark__1188_178654063299"/>
      <w:bookmarkStart w:id="77" w:name="__Fieldmark__1121_1457545148"/>
      <w:bookmarkEnd w:id="76"/>
      <w:bookmarkEnd w:id="77"/>
      <w:r>
        <w:rPr>
          <w:rFonts w:cs="Arial" w:ascii="Cambria" w:hAnsi="Cambria" w:asciiTheme="majorHAnsi" w:hAnsiTheme="majorHAnsi"/>
          <w:b/>
          <w:sz w:val="20"/>
          <w:szCs w:val="20"/>
        </w:rPr>
      </w:r>
      <w:r>
        <w:fldChar w:fldCharType="end"/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mbria" w:hAnsi="Cambria" w:eastAsia="MS Gothic" w:cs="Arial" w:asciiTheme="majorHAnsi" w:hAnsiTheme="majorHAnsi"/>
          <w:b/>
          <w:b/>
        </w:rPr>
      </w:pPr>
      <w:r>
        <w:rPr>
          <w:rFonts w:eastAsia="MS Gothic" w:cs="Arial" w:ascii="Cambria" w:hAnsi="Cambria" w:asciiTheme="majorHAnsi" w:hAnsiTheme="majorHAnsi"/>
          <w:b/>
        </w:rPr>
        <w:t>III. 4 f)  Stanovenie metódy vlastného imania</w:t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mbria" w:hAnsi="Cambria" w:cs="Arial" w:asciiTheme="majorHAnsi" w:hAnsiTheme="majorHAnsi"/>
        </w:rPr>
      </w:pPr>
      <w:r>
        <w:rPr>
          <w:rFonts w:cs="Arial" w:ascii="Cambria" w:hAnsi="Cambria"/>
        </w:rPr>
      </w:r>
    </w:p>
    <w:p>
      <w:pPr>
        <w:pStyle w:val="Normal"/>
        <w:spacing w:lineRule="auto" w:line="240" w:before="240" w:after="200"/>
        <w:jc w:val="both"/>
        <w:rPr/>
      </w:pPr>
      <w:r>
        <w:fldChar w:fldCharType="begin">
          <w:ffData>
            <w:name w:val="__Fieldmark__1133_145754514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8" w:name="__Fieldmark__1199_1786540632"/>
      <w:bookmarkStart w:id="79" w:name="__Fieldmark__1133_1457545148"/>
      <w:bookmarkStart w:id="80" w:name="__Fieldmark__1133_1457545148"/>
      <w:bookmarkEnd w:id="78"/>
      <w:bookmarkEnd w:id="80"/>
      <w:r>
        <w:rPr>
          <w:rFonts w:cs="Arial" w:ascii="Cambria" w:hAnsi="Cambria" w:asciiTheme="majorHAnsi" w:hAnsiTheme="majorHAnsi"/>
          <w:b/>
          <w:sz w:val="20"/>
          <w:szCs w:val="20"/>
        </w:rPr>
        <w:t>     </w:t>
      </w:r>
      <w:bookmarkStart w:id="81" w:name="__Fieldmark__1199_1786540632103"/>
      <w:bookmarkStart w:id="82" w:name="__Fieldmark__1133_1457545148"/>
      <w:bookmarkEnd w:id="81"/>
      <w:bookmarkEnd w:id="82"/>
      <w:r>
        <w:rPr>
          <w:rFonts w:cs="Arial" w:ascii="Cambria" w:hAnsi="Cambria" w:asciiTheme="majorHAnsi" w:hAnsiTheme="majorHAnsi"/>
          <w:b/>
          <w:sz w:val="20"/>
          <w:szCs w:val="20"/>
        </w:rPr>
      </w:r>
      <w:r>
        <w:fldChar w:fldCharType="end"/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mbria" w:hAnsi="Cambria" w:cs="Arial" w:asciiTheme="majorHAnsi" w:hAnsiTheme="majorHAnsi"/>
        </w:rPr>
      </w:pPr>
      <w:r>
        <w:rPr>
          <w:rFonts w:eastAsia="MS Gothic" w:cs="Arial" w:ascii="Cambria" w:hAnsi="Cambria" w:asciiTheme="majorHAnsi" w:hAnsiTheme="majorHAnsi"/>
          <w:b/>
        </w:rPr>
        <w:t>III. 4 g) Spôsob zostavenia odpisového plánu dlhodobého majetku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9104" w:type="dxa"/>
        <w:jc w:val="left"/>
        <w:tblInd w:w="103" w:type="dxa"/>
        <w:tblCellMar>
          <w:top w:w="0" w:type="dxa"/>
          <w:left w:w="92" w:type="dxa"/>
          <w:bottom w:w="0" w:type="dxa"/>
          <w:right w:w="108" w:type="dxa"/>
        </w:tblCellMar>
        <w:tblLook w:val="04a0"/>
      </w:tblPr>
      <w:tblGrid>
        <w:gridCol w:w="2194"/>
        <w:gridCol w:w="2304"/>
        <w:gridCol w:w="2303"/>
        <w:gridCol w:w="2302"/>
      </w:tblGrid>
      <w:tr>
        <w:trPr>
          <w:trHeight w:val="397" w:hRule="atLeast"/>
        </w:trPr>
        <w:tc>
          <w:tcPr>
            <w:tcW w:w="21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majetku</w:t>
            </w:r>
          </w:p>
        </w:tc>
        <w:tc>
          <w:tcPr>
            <w:tcW w:w="23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Sadzba odpisov</w:t>
            </w:r>
          </w:p>
        </w:tc>
        <w:tc>
          <w:tcPr>
            <w:tcW w:w="23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Odpisová metóda</w:t>
            </w:r>
          </w:p>
        </w:tc>
      </w:tr>
      <w:tr>
        <w:trPr>
          <w:trHeight w:val="397" w:hRule="atLeast"/>
        </w:trPr>
        <w:tc>
          <w:tcPr>
            <w:tcW w:w="219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>Sam.hn.veci</w:t>
            </w:r>
          </w:p>
        </w:tc>
        <w:tc>
          <w:tcPr>
            <w:tcW w:w="23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 xml:space="preserve">               </w:t>
            </w:r>
            <w:r>
              <w:rPr>
                <w:rFonts w:cs="Arial" w:ascii="Cambria" w:hAnsi="Cambria"/>
                <w:sz w:val="20"/>
                <w:szCs w:val="20"/>
              </w:rPr>
              <w:t>8</w:t>
            </w:r>
          </w:p>
        </w:tc>
        <w:tc>
          <w:tcPr>
            <w:tcW w:w="230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 xml:space="preserve">                  </w:t>
            </w:r>
            <w:r>
              <w:rPr>
                <w:rFonts w:cs="Arial" w:ascii="Cambria" w:hAnsi="Cambria"/>
                <w:sz w:val="20"/>
                <w:szCs w:val="20"/>
              </w:rPr>
              <w:t>12,5</w:t>
            </w:r>
          </w:p>
        </w:tc>
        <w:tc>
          <w:tcPr>
            <w:tcW w:w="230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>rovnomerná</w:t>
            </w:r>
          </w:p>
        </w:tc>
      </w:tr>
      <w:tr>
        <w:trPr>
          <w:trHeight w:val="397" w:hRule="atLeast"/>
        </w:trPr>
        <w:tc>
          <w:tcPr>
            <w:tcW w:w="219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>Budovy a stavby</w:t>
            </w:r>
          </w:p>
        </w:tc>
        <w:tc>
          <w:tcPr>
            <w:tcW w:w="23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 xml:space="preserve">               </w:t>
            </w:r>
            <w:r>
              <w:rPr>
                <w:rFonts w:cs="Arial" w:ascii="Cambria" w:hAnsi="Cambria"/>
                <w:sz w:val="20"/>
                <w:szCs w:val="20"/>
              </w:rPr>
              <w:t>40</w:t>
            </w:r>
          </w:p>
        </w:tc>
        <w:tc>
          <w:tcPr>
            <w:tcW w:w="2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 xml:space="preserve">                    </w:t>
            </w:r>
            <w:r>
              <w:rPr>
                <w:rFonts w:cs="Arial" w:ascii="Cambria" w:hAnsi="Cambria"/>
                <w:sz w:val="20"/>
                <w:szCs w:val="20"/>
              </w:rPr>
              <w:t xml:space="preserve">2,5 </w:t>
            </w:r>
          </w:p>
        </w:tc>
        <w:tc>
          <w:tcPr>
            <w:tcW w:w="2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>rovnomerná</w:t>
            </w:r>
          </w:p>
        </w:tc>
      </w:tr>
      <w:tr>
        <w:trPr>
          <w:trHeight w:val="397" w:hRule="atLeast"/>
        </w:trPr>
        <w:tc>
          <w:tcPr>
            <w:tcW w:w="219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>Pest.celky orechy</w:t>
            </w:r>
          </w:p>
        </w:tc>
        <w:tc>
          <w:tcPr>
            <w:tcW w:w="23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 xml:space="preserve">               </w:t>
            </w:r>
            <w:r>
              <w:rPr>
                <w:rFonts w:cs="Arial" w:ascii="Cambria" w:hAnsi="Cambria"/>
                <w:sz w:val="20"/>
                <w:szCs w:val="20"/>
              </w:rPr>
              <w:t>25</w:t>
            </w:r>
          </w:p>
        </w:tc>
        <w:tc>
          <w:tcPr>
            <w:tcW w:w="2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 xml:space="preserve">                    </w:t>
            </w:r>
            <w:r>
              <w:rPr>
                <w:rFonts w:cs="Arial" w:ascii="Cambria" w:hAnsi="Cambria"/>
                <w:sz w:val="20"/>
                <w:szCs w:val="20"/>
              </w:rPr>
              <w:t>4,00</w:t>
            </w:r>
          </w:p>
        </w:tc>
        <w:tc>
          <w:tcPr>
            <w:tcW w:w="2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>rovnomerná</w:t>
            </w:r>
          </w:p>
        </w:tc>
      </w:tr>
      <w:tr>
        <w:trPr>
          <w:trHeight w:val="397" w:hRule="atLeast"/>
        </w:trPr>
        <w:tc>
          <w:tcPr>
            <w:tcW w:w="219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>Pest.celky vinica</w:t>
            </w:r>
          </w:p>
        </w:tc>
        <w:tc>
          <w:tcPr>
            <w:tcW w:w="23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 xml:space="preserve">        </w:t>
            </w:r>
            <w:r>
              <w:rPr>
                <w:rFonts w:cs="Arial" w:ascii="Cambria" w:hAnsi="Cambria"/>
                <w:sz w:val="20"/>
                <w:szCs w:val="20"/>
              </w:rPr>
              <w:t>20,       25</w:t>
            </w:r>
          </w:p>
        </w:tc>
        <w:tc>
          <w:tcPr>
            <w:tcW w:w="2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 xml:space="preserve">                    </w:t>
            </w:r>
            <w:r>
              <w:rPr>
                <w:rFonts w:cs="Arial" w:ascii="Cambria" w:hAnsi="Cambria"/>
                <w:sz w:val="20"/>
                <w:szCs w:val="20"/>
              </w:rPr>
              <w:t>5 - 4</w:t>
            </w:r>
          </w:p>
        </w:tc>
        <w:tc>
          <w:tcPr>
            <w:tcW w:w="2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>rovnomerná</w:t>
            </w:r>
          </w:p>
        </w:tc>
      </w:tr>
      <w:tr>
        <w:trPr>
          <w:trHeight w:val="397" w:hRule="atLeast"/>
        </w:trPr>
        <w:tc>
          <w:tcPr>
            <w:tcW w:w="219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>Pest.celky slivky,broskyňa</w:t>
            </w:r>
          </w:p>
        </w:tc>
        <w:tc>
          <w:tcPr>
            <w:tcW w:w="23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 xml:space="preserve">              </w:t>
            </w:r>
            <w:r>
              <w:rPr>
                <w:rFonts w:cs="Arial" w:ascii="Cambria" w:hAnsi="Cambria"/>
                <w:sz w:val="20"/>
                <w:szCs w:val="20"/>
              </w:rPr>
              <w:t>20</w:t>
            </w:r>
          </w:p>
        </w:tc>
        <w:tc>
          <w:tcPr>
            <w:tcW w:w="230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 xml:space="preserve">                     </w:t>
            </w:r>
            <w:r>
              <w:rPr>
                <w:rFonts w:cs="Arial" w:ascii="Cambria" w:hAnsi="Cambria"/>
                <w:sz w:val="20"/>
                <w:szCs w:val="20"/>
              </w:rPr>
              <w:t>5</w:t>
            </w:r>
          </w:p>
        </w:tc>
        <w:tc>
          <w:tcPr>
            <w:tcW w:w="230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>rovnomerná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/>
      </w:pPr>
      <w:sdt>
        <w:sdtPr>
          <w:id w:val="1595714758"/>
        </w:sdtPr>
        <w:sdtContent>
          <w:r>
            <w:rPr>
              <w:rFonts w:eastAsia="MS Mincho" w:cs="MS Mincho" w:ascii="MS Mincho" w:hAnsi="MS Mincho"/>
              <w:b/>
            </w:rPr>
            <w:t>☐</w:t>
          </w:r>
        </w:sdtContent>
      </w:sdt>
      <w:r>
        <w:rPr>
          <w:rFonts w:eastAsia="MS Gothic" w:cs="Arial" w:ascii="Cambria" w:hAnsi="Cambria" w:asciiTheme="majorHAnsi" w:hAnsiTheme="majorHAnsi"/>
          <w:b/>
        </w:rPr>
        <w:tab/>
      </w:r>
      <w:r>
        <w:rPr>
          <w:rFonts w:eastAsia="MS Gothic" w:cs="Arial" w:ascii="Cambria" w:hAnsi="Cambria" w:asciiTheme="majorHAnsi" w:hAnsiTheme="majorHAnsi"/>
          <w:sz w:val="20"/>
          <w:szCs w:val="20"/>
        </w:rPr>
        <w:t xml:space="preserve">Odpisový plán účtovných odpisov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dlhodobého nehmotného majetku</w:t>
      </w:r>
      <w:r>
        <w:rPr>
          <w:rFonts w:eastAsia="MS Gothic" w:cs="Arial" w:ascii="Cambria" w:hAnsi="Cambria" w:asciiTheme="majorHAnsi" w:hAnsiTheme="majorHAnsi"/>
          <w:sz w:val="20"/>
          <w:szCs w:val="20"/>
        </w:rPr>
        <w:t xml:space="preserve"> zostavený účtovnou jednotkou vychádza z predpokladanej doby použiteľnosti dlhodobého nehmotného majetku </w:t>
      </w:r>
    </w:p>
    <w:p>
      <w:pPr>
        <w:pStyle w:val="Normal"/>
        <w:spacing w:lineRule="auto" w:line="240" w:before="0" w:after="0"/>
        <w:jc w:val="both"/>
        <w:rPr/>
      </w:pPr>
      <w:bookmarkStart w:id="83" w:name="Text8"/>
      <w:bookmarkEnd w:id="83"/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     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</w:rPr>
      </w:pPr>
      <w:sdt>
        <w:sdtPr>
          <w:id w:val="162179190"/>
        </w:sdtPr>
        <w:sdtContent>
          <w:r>
            <w:rPr>
              <w:rFonts w:eastAsia="MS Mincho" w:cs="MS Mincho" w:ascii="MS Mincho" w:hAnsi="MS Mincho"/>
              <w:b/>
            </w:rPr>
            <w:t>☐</w:t>
          </w:r>
        </w:sdtContent>
      </w:sdt>
      <w:r>
        <w:rPr>
          <w:rFonts w:eastAsia="MS Gothic" w:cs="Arial" w:ascii="Cambria" w:hAnsi="Cambria" w:asciiTheme="majorHAnsi" w:hAnsiTheme="majorHAnsi"/>
          <w:b/>
        </w:rPr>
        <w:tab/>
      </w:r>
      <w:r>
        <w:rPr>
          <w:rFonts w:eastAsia="MS Gothic" w:cs="Arial" w:ascii="Cambria" w:hAnsi="Cambria" w:asciiTheme="majorHAnsi" w:hAnsiTheme="majorHAnsi"/>
          <w:sz w:val="20"/>
          <w:szCs w:val="20"/>
        </w:rPr>
        <w:t xml:space="preserve">Odpisový plán účtovných odpisov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dlhodobého hmotného majetku</w:t>
      </w:r>
      <w:r>
        <w:rPr>
          <w:rFonts w:eastAsia="MS Gothic" w:cs="Arial" w:ascii="Cambria" w:hAnsi="Cambria" w:asciiTheme="majorHAnsi" w:hAnsiTheme="majorHAnsi"/>
          <w:sz w:val="20"/>
          <w:szCs w:val="20"/>
        </w:rPr>
        <w:t xml:space="preserve"> zostavený účtovnou jednotkou interným predpisom vychádzal z predpokladaného opotrebenia zaraďovaného majetku zodpovedajúceho miere opotrebenia v bežných podmienkach jeho používania. Odpisové sadzby pre účtovné a daňové odpisy 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sa nerovnajú</w:t>
      </w:r>
      <w:r>
        <w:rPr>
          <w:rFonts w:eastAsia="MS Gothic" w:cs="Arial" w:ascii="Cambria" w:hAnsi="Cambria" w:asciiTheme="majorHAnsi" w:hAnsiTheme="majorHAnsi"/>
          <w:sz w:val="20"/>
          <w:szCs w:val="20"/>
        </w:rPr>
        <w:t>.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</w:rPr>
      </w:pPr>
      <w:r>
        <w:rPr>
          <w:rFonts w:eastAsia="MS Gothic"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 xml:space="preserve">Dodatočné informácie k tvorbe odpisového plánu: 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</w:rPr>
      </w:pPr>
      <w:r>
        <w:rPr>
          <w:rFonts w:eastAsia="MS Gothic" w:cs="Arial" w:ascii="Cambria" w:hAnsi="Cambria"/>
          <w:sz w:val="20"/>
          <w:szCs w:val="20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III. 4 h) Dotácie poskytnuté na obstaranie majetku: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</w:rPr>
      </w:pPr>
      <w:r>
        <w:rPr>
          <w:rFonts w:eastAsia="MS Gothic" w:cs="Arial" w:ascii="Cambria" w:hAnsi="Cambria"/>
          <w:sz w:val="20"/>
          <w:szCs w:val="20"/>
        </w:rPr>
      </w:r>
    </w:p>
    <w:tbl>
      <w:tblPr>
        <w:tblStyle w:val="Mriekatabuky"/>
        <w:tblW w:w="9104" w:type="dxa"/>
        <w:jc w:val="left"/>
        <w:tblInd w:w="103" w:type="dxa"/>
        <w:tblCellMar>
          <w:top w:w="0" w:type="dxa"/>
          <w:left w:w="92" w:type="dxa"/>
          <w:bottom w:w="0" w:type="dxa"/>
          <w:right w:w="108" w:type="dxa"/>
        </w:tblCellMar>
        <w:tblLook w:val="04a0"/>
      </w:tblPr>
      <w:tblGrid>
        <w:gridCol w:w="2962"/>
        <w:gridCol w:w="3071"/>
        <w:gridCol w:w="3071"/>
      </w:tblGrid>
      <w:tr>
        <w:trPr>
          <w:trHeight w:val="394" w:hRule="atLeast"/>
        </w:trPr>
        <w:tc>
          <w:tcPr>
            <w:tcW w:w="29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Majetok obstaraný z dotácie</w:t>
            </w:r>
          </w:p>
        </w:tc>
        <w:tc>
          <w:tcPr>
            <w:tcW w:w="30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Ocenenie majetku </w:t>
            </w:r>
          </w:p>
        </w:tc>
        <w:tc>
          <w:tcPr>
            <w:tcW w:w="30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Výška dotácie</w:t>
            </w:r>
          </w:p>
        </w:tc>
      </w:tr>
      <w:tr>
        <w:trPr>
          <w:trHeight w:val="397" w:hRule="atLeast"/>
        </w:trPr>
        <w:tc>
          <w:tcPr>
            <w:tcW w:w="29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9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9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240" w:after="20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III.5  Oprava významných a nevýznamných chýb minulých účtovných období vykonaných v bežnom účtovnom období: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</w:rPr>
      </w:pPr>
      <w:r>
        <w:rPr>
          <w:rFonts w:eastAsia="MS Gothic" w:cs="Arial" w:ascii="Cambria" w:hAnsi="Cambria"/>
          <w:sz w:val="20"/>
          <w:szCs w:val="20"/>
        </w:rPr>
      </w:r>
    </w:p>
    <w:tbl>
      <w:tblPr>
        <w:tblStyle w:val="Mriekatabuky"/>
        <w:tblW w:w="9104" w:type="dxa"/>
        <w:jc w:val="left"/>
        <w:tblInd w:w="103" w:type="dxa"/>
        <w:tblCellMar>
          <w:top w:w="0" w:type="dxa"/>
          <w:left w:w="92" w:type="dxa"/>
          <w:bottom w:w="0" w:type="dxa"/>
          <w:right w:w="108" w:type="dxa"/>
        </w:tblCellMar>
        <w:tblLook w:val="04a0"/>
      </w:tblPr>
      <w:tblGrid>
        <w:gridCol w:w="2962"/>
        <w:gridCol w:w="3071"/>
        <w:gridCol w:w="3071"/>
      </w:tblGrid>
      <w:tr>
        <w:trPr>
          <w:trHeight w:val="397" w:hRule="atLeast"/>
        </w:trPr>
        <w:tc>
          <w:tcPr>
            <w:tcW w:w="29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Popis chyby a vplyvu opravy na nerozdelený VH, resp. VH bežného ú. o.</w:t>
            </w:r>
          </w:p>
        </w:tc>
      </w:tr>
      <w:tr>
        <w:trPr>
          <w:trHeight w:val="397" w:hRule="atLeast"/>
        </w:trPr>
        <w:tc>
          <w:tcPr>
            <w:tcW w:w="29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Oprava </w:t>
            </w: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významných</w:t>
            </w: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 xml:space="preserve">                      </w:t>
            </w:r>
            <w:r>
              <w:rPr>
                <w:rFonts w:cs="Arial" w:ascii="Cambria" w:hAnsi="Cambria"/>
                <w:sz w:val="20"/>
                <w:szCs w:val="20"/>
              </w:rPr>
              <w:t>9605,61</w:t>
            </w:r>
          </w:p>
        </w:tc>
        <w:tc>
          <w:tcPr>
            <w:tcW w:w="30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>Účet  461300</w:t>
            </w:r>
          </w:p>
        </w:tc>
      </w:tr>
      <w:tr>
        <w:trPr>
          <w:trHeight w:val="397" w:hRule="atLeast"/>
        </w:trPr>
        <w:tc>
          <w:tcPr>
            <w:tcW w:w="29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Oprava </w:t>
            </w: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nevýznamných</w:t>
            </w: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i/>
          <w:i/>
          <w:sz w:val="20"/>
          <w:szCs w:val="20"/>
        </w:rPr>
      </w:pPr>
      <w:r>
        <w:rPr>
          <w:rFonts w:eastAsia="MS Gothic" w:cs="Arial" w:ascii="Cambria" w:hAnsi="Cambria" w:asciiTheme="majorHAnsi" w:hAnsiTheme="majorHAnsi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i/>
          <w:i/>
          <w:sz w:val="20"/>
          <w:szCs w:val="20"/>
        </w:rPr>
      </w:pPr>
      <w:r>
        <w:rPr>
          <w:rFonts w:eastAsia="MS Gothic" w:cs="Arial" w:ascii="Cambria" w:hAnsi="Cambria"/>
          <w:i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IV - Informácie, ktoré vysvetľujú a dopĺňajú súvahu a výkaz ziskov a strát</w:t>
      </w:r>
    </w:p>
    <w:p>
      <w:pPr>
        <w:pStyle w:val="Normal"/>
        <w:spacing w:lineRule="auto" w:line="240" w:before="240" w:after="20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IV.1</w:t>
        <w:tab/>
        <w:t xml:space="preserve"> Informácie ku goodwillu alebo zápornému goodwillu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tbl>
      <w:tblPr>
        <w:tblStyle w:val="Mriekatabuky"/>
        <w:tblW w:w="9104" w:type="dxa"/>
        <w:jc w:val="left"/>
        <w:tblInd w:w="103" w:type="dxa"/>
        <w:tblCellMar>
          <w:top w:w="0" w:type="dxa"/>
          <w:left w:w="92" w:type="dxa"/>
          <w:bottom w:w="0" w:type="dxa"/>
          <w:right w:w="108" w:type="dxa"/>
        </w:tblCellMar>
        <w:tblLook w:val="04a0"/>
      </w:tblPr>
      <w:tblGrid>
        <w:gridCol w:w="2962"/>
        <w:gridCol w:w="3071"/>
        <w:gridCol w:w="3071"/>
      </w:tblGrid>
      <w:tr>
        <w:trPr/>
        <w:tc>
          <w:tcPr>
            <w:tcW w:w="29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 w:asciiTheme="majorHAnsi" w:hAnsiTheme="majorHAnsi"/>
                <w:b/>
                <w:sz w:val="20"/>
                <w:szCs w:val="20"/>
              </w:rPr>
              <w:t>Dôvod vzniku goodwillu</w:t>
            </w:r>
          </w:p>
        </w:tc>
        <w:tc>
          <w:tcPr>
            <w:tcW w:w="30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 w:asciiTheme="majorHAnsi" w:hAnsiTheme="majorHAnsi"/>
                <w:b/>
                <w:sz w:val="20"/>
                <w:szCs w:val="20"/>
              </w:rPr>
              <w:t xml:space="preserve">Hodnota goodwillu </w:t>
            </w:r>
          </w:p>
        </w:tc>
        <w:tc>
          <w:tcPr>
            <w:tcW w:w="30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 w:asciiTheme="majorHAnsi" w:hAnsiTheme="majorHAnsi"/>
                <w:b/>
                <w:sz w:val="20"/>
                <w:szCs w:val="20"/>
              </w:rPr>
              <w:t>Odpis goodwillu</w:t>
            </w:r>
          </w:p>
        </w:tc>
      </w:tr>
      <w:tr>
        <w:trPr/>
        <w:tc>
          <w:tcPr>
            <w:tcW w:w="29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30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30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  <w:tr>
        <w:trPr/>
        <w:tc>
          <w:tcPr>
            <w:tcW w:w="29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30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30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  <w:tr>
        <w:trPr/>
        <w:tc>
          <w:tcPr>
            <w:tcW w:w="29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30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30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240" w:after="200"/>
        <w:jc w:val="both"/>
        <w:rPr>
          <w:rFonts w:ascii="Cambria" w:hAnsi="Cambria" w:cs="Arial" w:asciiTheme="majorHAnsi" w:hAnsiTheme="majorHAnsi"/>
          <w:b/>
          <w:b/>
          <w:sz w:val="20"/>
          <w:szCs w:val="20"/>
        </w:rPr>
      </w:pPr>
      <w:r>
        <w:rPr>
          <w:rFonts w:cs="Arial" w:ascii="Cambria" w:hAnsi="Cambria" w:asciiTheme="majorHAnsi" w:hAnsiTheme="majorHAnsi"/>
          <w:b/>
          <w:sz w:val="20"/>
          <w:szCs w:val="20"/>
        </w:rPr>
        <w:t>Dodatočné informácie súvisiace s goodwillom, predovšetkým okolnosti vzniku, spôsob výpočtu, prehodnotenie opodstatnenosti jeho výšky a spôsob odpisovania:</w:t>
      </w:r>
    </w:p>
    <w:p>
      <w:pPr>
        <w:pStyle w:val="Normal"/>
        <w:spacing w:lineRule="auto" w:line="240" w:before="240" w:after="200"/>
        <w:jc w:val="both"/>
        <w:rPr/>
      </w:pPr>
      <w:r>
        <w:fldChar w:fldCharType="begin">
          <w:ffData>
            <w:name w:val="__Fieldmark__1344_145754514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4" w:name="Text14"/>
      <w:bookmarkStart w:id="85" w:name="__Fieldmark__1344_1457545148"/>
      <w:bookmarkStart w:id="86" w:name="__Fieldmark__1344_1457545148"/>
      <w:bookmarkEnd w:id="84"/>
      <w:bookmarkEnd w:id="86"/>
      <w:r>
        <w:rPr>
          <w:rFonts w:cs="Arial" w:ascii="Cambria" w:hAnsi="Cambria" w:asciiTheme="majorHAnsi" w:hAnsiTheme="majorHAnsi"/>
          <w:sz w:val="20"/>
          <w:szCs w:val="20"/>
        </w:rPr>
      </w:r>
      <w:bookmarkStart w:id="87" w:name="Text1451"/>
      <w:r>
        <w:rPr>
          <w:rFonts w:cs="Arial" w:ascii="Cambria" w:hAnsi="Cambria" w:asciiTheme="majorHAnsi" w:hAnsiTheme="majorHAnsi"/>
          <w:sz w:val="20"/>
          <w:szCs w:val="20"/>
        </w:rPr>
        <w:t>     </w:t>
      </w:r>
      <w:bookmarkStart w:id="88" w:name="Text14101"/>
      <w:bookmarkStart w:id="89" w:name="__Fieldmark__1344_1457545148"/>
      <w:bookmarkEnd w:id="87"/>
      <w:bookmarkEnd w:id="88"/>
      <w:bookmarkEnd w:id="89"/>
      <w:r>
        <w:rPr>
          <w:rFonts w:cs="Arial" w:ascii="Cambria" w:hAnsi="Cambria" w:asciiTheme="majorHAnsi" w:hAnsiTheme="majorHAnsi"/>
          <w:sz w:val="20"/>
          <w:szCs w:val="20"/>
        </w:rPr>
      </w:r>
      <w:r>
        <w:fldChar w:fldCharType="end"/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mbria" w:hAnsi="Cambria" w:eastAsia="MS Gothic" w:cs="Arial" w:asciiTheme="majorHAnsi" w:hAnsiTheme="majorHAnsi"/>
          <w:b/>
          <w:b/>
        </w:rPr>
      </w:pPr>
      <w:r>
        <w:rPr>
          <w:rFonts w:eastAsia="MS Gothic" w:cs="Arial" w:ascii="Cambria" w:hAnsi="Cambria" w:asciiTheme="majorHAnsi" w:hAnsiTheme="majorHAnsi"/>
          <w:b/>
        </w:rPr>
        <w:t>IV. 2  Informácie o významných položkách majetku a záväzkov zabezpečených derivátmi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tbl>
      <w:tblPr>
        <w:tblStyle w:val="Mriekatabuky"/>
        <w:tblW w:w="9212" w:type="dxa"/>
        <w:jc w:val="left"/>
        <w:tblInd w:w="103" w:type="dxa"/>
        <w:tblCellMar>
          <w:top w:w="0" w:type="dxa"/>
          <w:left w:w="92" w:type="dxa"/>
          <w:bottom w:w="0" w:type="dxa"/>
          <w:right w:w="108" w:type="dxa"/>
        </w:tblCellMar>
        <w:tblLook w:val="04a0"/>
      </w:tblPr>
      <w:tblGrid>
        <w:gridCol w:w="2877"/>
        <w:gridCol w:w="1729"/>
        <w:gridCol w:w="1726"/>
        <w:gridCol w:w="1"/>
        <w:gridCol w:w="2878"/>
      </w:tblGrid>
      <w:tr>
        <w:trPr/>
        <w:tc>
          <w:tcPr>
            <w:tcW w:w="2877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 w:asciiTheme="majorHAnsi" w:hAnsiTheme="majorHAnsi"/>
                <w:b/>
                <w:sz w:val="20"/>
                <w:szCs w:val="20"/>
              </w:rPr>
              <w:t>Forma zabezpečenia</w:t>
            </w:r>
          </w:p>
        </w:tc>
        <w:tc>
          <w:tcPr>
            <w:tcW w:w="345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 w:asciiTheme="majorHAnsi" w:hAnsiTheme="majorHAnsi"/>
                <w:b/>
                <w:sz w:val="20"/>
                <w:szCs w:val="20"/>
              </w:rPr>
              <w:t>Účtovná hodnota</w:t>
            </w:r>
          </w:p>
        </w:tc>
        <w:tc>
          <w:tcPr>
            <w:tcW w:w="2879" w:type="dxa"/>
            <w:gridSpan w:val="2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 w:asciiTheme="majorHAnsi" w:hAnsiTheme="majorHAnsi"/>
                <w:b/>
                <w:sz w:val="20"/>
                <w:szCs w:val="20"/>
              </w:rPr>
              <w:t>Dohodnutá cena podkladového nástroja</w:t>
            </w:r>
          </w:p>
        </w:tc>
      </w:tr>
      <w:tr>
        <w:trPr/>
        <w:tc>
          <w:tcPr>
            <w:tcW w:w="287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72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záväzku</w:t>
            </w:r>
          </w:p>
        </w:tc>
        <w:tc>
          <w:tcPr>
            <w:tcW w:w="2878" w:type="dxa"/>
            <w:vMerge w:val="continue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  <w:tr>
        <w:trPr/>
        <w:tc>
          <w:tcPr>
            <w:tcW w:w="287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Deriváty určené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7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2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287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Menový forward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7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2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287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7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2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287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7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2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287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7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2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  <w:tr>
        <w:trPr/>
        <w:tc>
          <w:tcPr>
            <w:tcW w:w="287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Zabezpečovacie deriváty,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z toho: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7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2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287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Úrokový swap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7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2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287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7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2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287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7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2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287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72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28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mbria" w:hAnsi="Cambria" w:cs="Arial" w:asciiTheme="majorHAnsi" w:hAnsiTheme="majorHAnsi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mbria" w:hAnsi="Cambria" w:cs="Arial" w:asciiTheme="majorHAnsi" w:hAnsiTheme="majorHAnsi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tbl>
      <w:tblPr>
        <w:tblStyle w:val="Mriekatabuky"/>
        <w:tblW w:w="9184" w:type="dxa"/>
        <w:jc w:val="left"/>
        <w:tblInd w:w="103" w:type="dxa"/>
        <w:tblCellMar>
          <w:top w:w="0" w:type="dxa"/>
          <w:left w:w="92" w:type="dxa"/>
          <w:bottom w:w="0" w:type="dxa"/>
          <w:right w:w="108" w:type="dxa"/>
        </w:tblCellMar>
        <w:tblLook w:val="04a0"/>
      </w:tblPr>
      <w:tblGrid>
        <w:gridCol w:w="2608"/>
        <w:gridCol w:w="1644"/>
        <w:gridCol w:w="1644"/>
        <w:gridCol w:w="1644"/>
        <w:gridCol w:w="1644"/>
      </w:tblGrid>
      <w:tr>
        <w:trPr/>
        <w:tc>
          <w:tcPr>
            <w:tcW w:w="260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>
        <w:trPr/>
        <w:tc>
          <w:tcPr>
            <w:tcW w:w="26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328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Zmena reálnej hodnoty (+/-) s vplyvom na</w:t>
            </w:r>
          </w:p>
        </w:tc>
      </w:tr>
      <w:tr>
        <w:trPr/>
        <w:tc>
          <w:tcPr>
            <w:tcW w:w="26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6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vlastné imanie</w:t>
            </w:r>
          </w:p>
        </w:tc>
      </w:tr>
      <w:tr>
        <w:trPr/>
        <w:tc>
          <w:tcPr>
            <w:tcW w:w="260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64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64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64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26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26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26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26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</w:tr>
      <w:tr>
        <w:trPr/>
        <w:tc>
          <w:tcPr>
            <w:tcW w:w="26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26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26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26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260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</w:tr>
    </w:tbl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mbria" w:hAnsi="Cambria" w:cs="Arial" w:asciiTheme="majorHAnsi" w:hAnsiTheme="majorHAnsi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Dodatočné informácie o významných položkách derivátov za bežné účtovné obdobie</w:t>
      </w:r>
      <w:r>
        <w:rPr>
          <w:rFonts w:eastAsia="MS Gothic" w:cs="Arial" w:ascii="Cambria" w:hAnsi="Cambria" w:asciiTheme="majorHAnsi" w:hAnsiTheme="majorHAnsi"/>
          <w:sz w:val="20"/>
          <w:szCs w:val="20"/>
        </w:rPr>
        <w:t>, napr. informácie o rozsahu a povahe týchto derivátov vrátane významných podmienok, ktoré môžu ovplyvniť sumu, načasovanie a mieru istoty budúcich peňažných tokov:</w:t>
      </w:r>
    </w:p>
    <w:p>
      <w:pPr>
        <w:pStyle w:val="Normal"/>
        <w:spacing w:lineRule="auto" w:line="240" w:before="240" w:after="20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     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mbria" w:hAnsi="Cambria" w:cs="Arial" w:asciiTheme="majorHAnsi" w:hAnsiTheme="majorHAnsi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tbl>
      <w:tblPr>
        <w:tblStyle w:val="Mriekatabuky"/>
        <w:tblW w:w="9073" w:type="dxa"/>
        <w:jc w:val="left"/>
        <w:tblInd w:w="103" w:type="dxa"/>
        <w:tblCellMar>
          <w:top w:w="0" w:type="dxa"/>
          <w:left w:w="92" w:type="dxa"/>
          <w:bottom w:w="0" w:type="dxa"/>
          <w:right w:w="108" w:type="dxa"/>
        </w:tblCellMar>
        <w:tblLook w:val="04a0"/>
      </w:tblPr>
      <w:tblGrid>
        <w:gridCol w:w="3402"/>
        <w:gridCol w:w="2835"/>
        <w:gridCol w:w="2836"/>
      </w:tblGrid>
      <w:tr>
        <w:trPr/>
        <w:tc>
          <w:tcPr>
            <w:tcW w:w="3402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567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Times New Roman" w:cs="Arial" w:asciiTheme="majorHAnsi" w:hAnsiTheme="majorHAnsi"/>
                <w:b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Arial" w:ascii="Cambria" w:hAnsi="Cambria" w:asciiTheme="majorHAnsi" w:hAnsiTheme="majorHAnsi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>
        <w:trPr/>
        <w:tc>
          <w:tcPr>
            <w:tcW w:w="3402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283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8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>
        <w:trPr/>
        <w:tc>
          <w:tcPr>
            <w:tcW w:w="34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b</w:t>
            </w:r>
          </w:p>
        </w:tc>
        <w:tc>
          <w:tcPr>
            <w:tcW w:w="28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c</w:t>
            </w:r>
          </w:p>
        </w:tc>
      </w:tr>
      <w:tr>
        <w:trPr>
          <w:trHeight w:val="340" w:hRule="atLeast"/>
        </w:trPr>
        <w:tc>
          <w:tcPr>
            <w:tcW w:w="340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2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4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2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</w:tr>
      <w:tr>
        <w:trPr/>
        <w:tc>
          <w:tcPr>
            <w:tcW w:w="34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Zmluvy, ktoré sa neúčtujú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2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</w:tr>
      <w:tr>
        <w:trPr/>
        <w:tc>
          <w:tcPr>
            <w:tcW w:w="34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Očakávané budúce obchody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2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40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2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</w:tr>
    </w:tbl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mbria" w:hAnsi="Cambria" w:cs="Arial" w:asciiTheme="majorHAnsi" w:hAnsiTheme="majorHAnsi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 xml:space="preserve">Dodatočné informácie o položkách zabezpečených derivátmi </w:t>
      </w:r>
      <w:r>
        <w:rPr>
          <w:rFonts w:eastAsia="MS Gothic" w:cs="Arial" w:ascii="Cambria" w:hAnsi="Cambria" w:asciiTheme="majorHAnsi" w:hAnsiTheme="majorHAnsi"/>
          <w:sz w:val="20"/>
          <w:szCs w:val="20"/>
        </w:rPr>
        <w:t>(najmä forma zabezpečenia):</w:t>
      </w:r>
    </w:p>
    <w:p>
      <w:pPr>
        <w:pStyle w:val="Normal"/>
        <w:spacing w:lineRule="auto" w:line="240" w:before="240" w:after="20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     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</w:rPr>
      </w:pPr>
      <w:r>
        <w:rPr>
          <w:rFonts w:eastAsia="MS Gothic" w:cs="Arial" w:ascii="Cambria" w:hAnsi="Cambria" w:asciiTheme="majorHAnsi" w:hAnsiTheme="majorHAnsi"/>
          <w:b/>
        </w:rPr>
        <w:t>IV. 3 a) Záväzky so zostatkovou dobou splatnosti dlhšou ako 5 rokov: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tbl>
      <w:tblPr>
        <w:tblStyle w:val="Mriekatabuky"/>
        <w:tblW w:w="9212" w:type="dxa"/>
        <w:jc w:val="left"/>
        <w:tblInd w:w="103" w:type="dxa"/>
        <w:tblCellMar>
          <w:top w:w="0" w:type="dxa"/>
          <w:left w:w="92" w:type="dxa"/>
          <w:bottom w:w="0" w:type="dxa"/>
          <w:right w:w="108" w:type="dxa"/>
        </w:tblCellMar>
        <w:tblLook w:val="04a0"/>
      </w:tblPr>
      <w:tblGrid>
        <w:gridCol w:w="3070"/>
        <w:gridCol w:w="3071"/>
        <w:gridCol w:w="3071"/>
      </w:tblGrid>
      <w:tr>
        <w:trPr/>
        <w:tc>
          <w:tcPr>
            <w:tcW w:w="30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ascii="Cambria" w:hAnsi="Cambria"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ascii="Cambria" w:hAnsi="Cambria"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ascii="Cambria" w:hAnsi="Cambria"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>
        <w:trPr>
          <w:trHeight w:val="340" w:hRule="atLeast"/>
        </w:trPr>
        <w:tc>
          <w:tcPr>
            <w:tcW w:w="307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asciiTheme="majorHAnsi" w:hAnsiTheme="majorHAnsi"/>
                <w:b/>
                <w:b/>
              </w:rPr>
            </w:pPr>
            <w:r>
              <w:rPr>
                <w:rFonts w:ascii="Cambria" w:hAnsi="Cambria" w:asciiTheme="majorHAnsi" w:hAnsiTheme="majorHAnsi"/>
                <w:b/>
              </w:rPr>
              <w:t>Dlhodobé záväzky spolu</w:t>
            </w:r>
          </w:p>
        </w:tc>
        <w:tc>
          <w:tcPr>
            <w:tcW w:w="30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asciiTheme="majorHAnsi" w:hAnsiTheme="majorHAnsi"/>
              </w:rPr>
            </w:pPr>
            <w:r>
              <w:rPr>
                <w:rFonts w:ascii="Cambria" w:hAnsi="Cambria" w:asciiTheme="majorHAnsi" w:hAnsiTheme="majorHAnsi"/>
              </w:rPr>
              <w:t>2850660</w:t>
            </w:r>
          </w:p>
        </w:tc>
        <w:tc>
          <w:tcPr>
            <w:tcW w:w="30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asciiTheme="majorHAnsi" w:hAnsiTheme="majorHAnsi"/>
              </w:rPr>
            </w:pPr>
            <w:r>
              <w:rPr>
                <w:rFonts w:ascii="Cambria" w:hAnsi="Cambria" w:asciiTheme="majorHAnsi" w:hAnsiTheme="majorHAnsi"/>
              </w:rPr>
              <w:t>2319510</w:t>
            </w:r>
          </w:p>
        </w:tc>
      </w:tr>
      <w:tr>
        <w:trPr>
          <w:trHeight w:val="340" w:hRule="atLeast"/>
        </w:trPr>
        <w:tc>
          <w:tcPr>
            <w:tcW w:w="307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asciiTheme="majorHAnsi" w:hAnsiTheme="majorHAnsi"/>
              </w:rPr>
            </w:pPr>
            <w:r>
              <w:rPr>
                <w:rFonts w:ascii="Cambria" w:hAnsi="Cambria" w:asciiTheme="majorHAnsi" w:hAnsiTheme="majorHAnsi"/>
              </w:rPr>
              <w:t>Záväzky so zostatkovou dobou splatnosti nad 5 rokov</w:t>
            </w:r>
          </w:p>
        </w:tc>
        <w:tc>
          <w:tcPr>
            <w:tcW w:w="30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asciiTheme="majorHAnsi" w:hAnsiTheme="majorHAnsi"/>
              </w:rPr>
            </w:pPr>
            <w:r>
              <w:rPr>
                <w:rFonts w:ascii="Cambria" w:hAnsi="Cambria" w:asciiTheme="majorHAnsi" w:hAnsiTheme="majorHAnsi"/>
              </w:rPr>
              <w:t>16646</w:t>
            </w:r>
          </w:p>
        </w:tc>
        <w:tc>
          <w:tcPr>
            <w:tcW w:w="30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asciiTheme="majorHAnsi" w:hAnsiTheme="majorHAnsi"/>
              </w:rPr>
            </w:pPr>
            <w:r>
              <w:rPr>
                <w:rFonts w:ascii="Cambria" w:hAnsi="Cambria" w:asciiTheme="majorHAnsi" w:hAnsiTheme="majorHAnsi"/>
              </w:rPr>
              <w:t>16265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</w:rPr>
      </w:pPr>
      <w:r>
        <w:rPr>
          <w:rFonts w:eastAsia="MS Gothic" w:cs="Arial" w:ascii="Cambria" w:hAnsi="Cambria" w:asciiTheme="majorHAnsi" w:hAnsiTheme="majorHAnsi"/>
          <w:b/>
        </w:rPr>
        <w:t>IV. 3 b) Zabezpečené záväzky, opis a spôsob ich zabezpečenia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tbl>
      <w:tblPr>
        <w:tblStyle w:val="Mriekatabuky"/>
        <w:tblW w:w="8927" w:type="dxa"/>
        <w:jc w:val="left"/>
        <w:tblInd w:w="103" w:type="dxa"/>
        <w:tblCellMar>
          <w:top w:w="0" w:type="dxa"/>
          <w:left w:w="92" w:type="dxa"/>
          <w:bottom w:w="0" w:type="dxa"/>
          <w:right w:w="108" w:type="dxa"/>
        </w:tblCellMar>
        <w:tblLook w:val="04a0"/>
      </w:tblPr>
      <w:tblGrid>
        <w:gridCol w:w="2975"/>
        <w:gridCol w:w="2976"/>
        <w:gridCol w:w="2976"/>
      </w:tblGrid>
      <w:tr>
        <w:trPr/>
        <w:tc>
          <w:tcPr>
            <w:tcW w:w="2975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ascii="Cambria" w:hAnsi="Cambria"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ascii="Cambria" w:hAnsi="Cambria"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>
        <w:trPr/>
        <w:tc>
          <w:tcPr>
            <w:tcW w:w="2975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595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ascii="Cambria" w:hAnsi="Cambria"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>
        <w:trPr/>
        <w:tc>
          <w:tcPr>
            <w:tcW w:w="2975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29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ascii="Cambria" w:hAnsi="Cambria"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ascii="Cambria" w:hAnsi="Cambria"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>
        <w:trPr>
          <w:trHeight w:val="340" w:hRule="atLeast"/>
        </w:trPr>
        <w:tc>
          <w:tcPr>
            <w:tcW w:w="297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Flexi úver VÚB</w:t>
            </w:r>
          </w:p>
        </w:tc>
        <w:tc>
          <w:tcPr>
            <w:tcW w:w="297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133000</w:t>
            </w:r>
          </w:p>
        </w:tc>
        <w:tc>
          <w:tcPr>
            <w:tcW w:w="297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VÚB leasing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16385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VÚB leasing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31999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bookmarkStart w:id="90" w:name="__DdeLink__3500_1786540632"/>
            <w:bookmarkEnd w:id="90"/>
            <w:r>
              <w:rPr>
                <w:rFonts w:cs="Arial" w:ascii="Cambria" w:hAnsi="Cambria"/>
                <w:b/>
                <w:sz w:val="20"/>
                <w:szCs w:val="20"/>
              </w:rPr>
              <w:t>VÚB leasing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40639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VÚB leasing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16071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Dodatočné informácie o forme zabezpečenia záväzkov:</w:t>
      </w:r>
    </w:p>
    <w:p>
      <w:pPr>
        <w:pStyle w:val="Normal"/>
        <w:spacing w:lineRule="auto" w:line="240" w:before="240" w:after="20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     </w:t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mbria" w:hAnsi="Cambria" w:cs="Arial" w:asciiTheme="majorHAnsi" w:hAnsiTheme="majorHAnsi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mbria" w:hAnsi="Cambria" w:cs="Arial" w:asciiTheme="majorHAnsi" w:hAnsiTheme="majorHAnsi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tbl>
      <w:tblPr>
        <w:tblStyle w:val="Mriekatabuky"/>
        <w:tblW w:w="8927" w:type="dxa"/>
        <w:jc w:val="left"/>
        <w:tblInd w:w="103" w:type="dxa"/>
        <w:tblCellMar>
          <w:top w:w="0" w:type="dxa"/>
          <w:left w:w="92" w:type="dxa"/>
          <w:bottom w:w="0" w:type="dxa"/>
          <w:right w:w="108" w:type="dxa"/>
        </w:tblCellMar>
        <w:tblLook w:val="04a0"/>
      </w:tblPr>
      <w:tblGrid>
        <w:gridCol w:w="2975"/>
        <w:gridCol w:w="2976"/>
        <w:gridCol w:w="2976"/>
      </w:tblGrid>
      <w:tr>
        <w:trPr/>
        <w:tc>
          <w:tcPr>
            <w:tcW w:w="2975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ascii="Cambria" w:hAnsi="Cambria"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ascii="Cambria" w:hAnsi="Cambria"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>
        <w:trPr/>
        <w:tc>
          <w:tcPr>
            <w:tcW w:w="2975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595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ascii="Cambria" w:hAnsi="Cambria"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>
        <w:trPr/>
        <w:tc>
          <w:tcPr>
            <w:tcW w:w="2975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29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ascii="Cambria" w:hAnsi="Cambria"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ascii="Cambria" w:hAnsi="Cambria"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>
        <w:trPr>
          <w:trHeight w:val="340" w:hRule="atLeast"/>
        </w:trPr>
        <w:tc>
          <w:tcPr>
            <w:tcW w:w="297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Flexi úver VÚB</w:t>
            </w:r>
          </w:p>
        </w:tc>
        <w:tc>
          <w:tcPr>
            <w:tcW w:w="297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297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133000</w:t>
            </w:r>
          </w:p>
        </w:tc>
      </w:tr>
      <w:tr>
        <w:trPr>
          <w:trHeight w:val="340" w:hRule="atLeast"/>
        </w:trPr>
        <w:tc>
          <w:tcPr>
            <w:tcW w:w="297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 xml:space="preserve">VÚB </w:t>
            </w:r>
            <w:r>
              <w:rPr>
                <w:rFonts w:cs="Arial" w:ascii="Cambria" w:hAnsi="Cambria"/>
                <w:b/>
                <w:sz w:val="20"/>
                <w:szCs w:val="20"/>
                <w:u w:val="single"/>
              </w:rPr>
              <w:t>leasing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35352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VÚB leasing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106056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bookmarkStart w:id="91" w:name="__DdeLink__3099_1457545148"/>
            <w:bookmarkEnd w:id="91"/>
            <w:r>
              <w:rPr>
                <w:rFonts w:cs="Arial" w:ascii="Cambria" w:hAnsi="Cambria"/>
                <w:b/>
                <w:sz w:val="20"/>
                <w:szCs w:val="20"/>
              </w:rPr>
              <w:t>VÚB leasing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13980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VÚB leasing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41940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Dodatočné informácie o forme zabezpečenia záväzkov:</w:t>
      </w:r>
    </w:p>
    <w:p>
      <w:pPr>
        <w:pStyle w:val="Normal"/>
        <w:spacing w:lineRule="auto" w:line="240" w:before="240" w:after="20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     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240" w:after="200"/>
        <w:ind w:right="0" w:hanging="0"/>
        <w:jc w:val="both"/>
        <w:rPr>
          <w:rFonts w:ascii="Cambria" w:hAnsi="Cambria" w:eastAsia="MS Gothic" w:cs="Arial" w:asciiTheme="majorHAnsi" w:hAnsiTheme="majorHAnsi"/>
          <w:sz w:val="20"/>
          <w:szCs w:val="20"/>
        </w:rPr>
      </w:pPr>
      <w:r>
        <w:rPr>
          <w:rFonts w:eastAsia="MS Gothic" w:cs="Arial" w:ascii="Cambria" w:hAnsi="Cambria"/>
          <w:sz w:val="20"/>
          <w:szCs w:val="20"/>
        </w:rPr>
      </w:r>
    </w:p>
    <w:p>
      <w:pPr>
        <w:pStyle w:val="Normal"/>
        <w:spacing w:lineRule="auto" w:line="240" w:before="240" w:after="200"/>
        <w:ind w:right="0" w:hanging="0"/>
        <w:jc w:val="both"/>
        <w:rPr>
          <w:rFonts w:ascii="Cambria" w:hAnsi="Cambria" w:eastAsia="MS Gothic" w:cs="Arial" w:asciiTheme="majorHAnsi" w:hAnsiTheme="majorHAnsi"/>
          <w:sz w:val="20"/>
          <w:szCs w:val="20"/>
        </w:rPr>
      </w:pPr>
      <w:r>
        <w:rPr>
          <w:rFonts w:eastAsia="MS Gothic" w:cs="Arial" w:ascii="Cambria" w:hAnsi="Cambria"/>
          <w:sz w:val="20"/>
          <w:szCs w:val="20"/>
        </w:rPr>
      </w:r>
    </w:p>
    <w:p>
      <w:pPr>
        <w:pStyle w:val="Normal"/>
        <w:spacing w:lineRule="auto" w:line="240" w:before="240" w:after="200"/>
        <w:ind w:right="0" w:hanging="0"/>
        <w:jc w:val="both"/>
        <w:rPr>
          <w:rFonts w:ascii="Cambria" w:hAnsi="Cambria" w:eastAsia="MS Gothic" w:cs="Arial" w:asciiTheme="majorHAnsi" w:hAnsiTheme="majorHAnsi"/>
          <w:sz w:val="20"/>
          <w:szCs w:val="20"/>
        </w:rPr>
      </w:pPr>
      <w:r>
        <w:rPr>
          <w:rFonts w:eastAsia="MS Gothic" w:cs="Arial" w:ascii="Cambria" w:hAnsi="Cambria"/>
          <w:sz w:val="20"/>
          <w:szCs w:val="20"/>
        </w:rPr>
      </w:r>
    </w:p>
    <w:p>
      <w:pPr>
        <w:pStyle w:val="ListParagraph"/>
        <w:spacing w:lineRule="auto" w:line="240" w:before="240" w:after="200"/>
        <w:ind w:left="0" w:right="0" w:hanging="0"/>
        <w:contextualSpacing/>
        <w:jc w:val="both"/>
        <w:rPr>
          <w:rFonts w:ascii="Cambria" w:hAnsi="Cambria" w:eastAsia="MS Gothic" w:cs="Arial" w:asciiTheme="majorHAnsi" w:hAnsiTheme="majorHAnsi"/>
          <w:b/>
          <w:b/>
        </w:rPr>
      </w:pPr>
      <w:r>
        <w:rPr>
          <w:rFonts w:eastAsia="MS Gothic" w:cs="Arial" w:ascii="Cambria" w:hAnsi="Cambria" w:asciiTheme="majorHAnsi" w:hAnsiTheme="majorHAnsi"/>
          <w:b/>
        </w:rPr>
        <w:t>IV. 4 a) - c) Informácie o vlastných akciách:</w:t>
      </w:r>
    </w:p>
    <w:tbl>
      <w:tblPr>
        <w:tblStyle w:val="Mriekatabuky"/>
        <w:tblW w:w="9212" w:type="dxa"/>
        <w:jc w:val="left"/>
        <w:tblInd w:w="103" w:type="dxa"/>
        <w:tblCellMar>
          <w:top w:w="0" w:type="dxa"/>
          <w:left w:w="92" w:type="dxa"/>
          <w:bottom w:w="0" w:type="dxa"/>
          <w:right w:w="108" w:type="dxa"/>
        </w:tblCellMar>
        <w:tblLook w:val="04a0"/>
      </w:tblPr>
      <w:tblGrid>
        <w:gridCol w:w="1842"/>
        <w:gridCol w:w="1842"/>
        <w:gridCol w:w="1844"/>
        <w:gridCol w:w="1843"/>
        <w:gridCol w:w="1841"/>
      </w:tblGrid>
      <w:tr>
        <w:trPr/>
        <w:tc>
          <w:tcPr>
            <w:tcW w:w="1842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Times New Roman" w:cs="Arial" w:asciiTheme="majorHAnsi" w:hAnsiTheme="majorHAnsi"/>
                <w:b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Arial" w:ascii="Cambria" w:hAnsi="Cambria" w:asciiTheme="majorHAnsi" w:hAnsiTheme="majorHAnsi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Times New Roman" w:cs="Arial" w:asciiTheme="majorHAnsi" w:hAnsiTheme="majorHAnsi"/>
                <w:b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Arial" w:ascii="Cambria" w:hAnsi="Cambria" w:asciiTheme="majorHAnsi" w:hAnsiTheme="majorHAnsi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>
        <w:trPr/>
        <w:tc>
          <w:tcPr>
            <w:tcW w:w="1842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240" w:after="0"/>
              <w:ind w:right="0" w:hanging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2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Times New Roman" w:cs="Arial" w:asciiTheme="majorHAnsi" w:hAnsiTheme="majorHAnsi"/>
                <w:b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Arial" w:ascii="Cambria" w:hAnsi="Cambria" w:asciiTheme="majorHAnsi" w:hAnsiTheme="majorHAnsi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Times New Roman" w:cs="Arial" w:asciiTheme="majorHAnsi" w:hAnsiTheme="majorHAnsi"/>
                <w:b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Arial" w:ascii="Cambria" w:hAnsi="Cambria" w:asciiTheme="majorHAnsi" w:hAnsiTheme="majorHAnsi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Times New Roman" w:cs="Arial" w:asciiTheme="majorHAnsi" w:hAnsiTheme="majorHAnsi"/>
                <w:b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Arial" w:ascii="Cambria" w:hAnsi="Cambria" w:asciiTheme="majorHAnsi" w:hAnsiTheme="majorHAnsi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Times New Roman" w:cs="Arial" w:asciiTheme="majorHAnsi" w:hAnsiTheme="majorHAnsi"/>
                <w:b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Arial" w:ascii="Cambria" w:hAnsi="Cambria" w:asciiTheme="majorHAnsi" w:hAnsiTheme="majorHAnsi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>
        <w:trPr/>
        <w:tc>
          <w:tcPr>
            <w:tcW w:w="1842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240" w:after="0"/>
              <w:ind w:right="0" w:hanging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2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240" w:after="0"/>
              <w:ind w:right="0" w:hanging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Times New Roman" w:cs="Arial" w:asciiTheme="majorHAnsi" w:hAnsiTheme="maj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Arial" w:ascii="Cambria" w:hAnsi="Cambria" w:asciiTheme="majorHAnsi" w:hAnsiTheme="majorHAnsi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Times New Roman" w:cs="Arial" w:asciiTheme="majorHAnsi" w:hAnsiTheme="maj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Arial" w:ascii="Cambria" w:hAnsi="Cambria" w:asciiTheme="majorHAnsi" w:hAnsiTheme="majorHAnsi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Times New Roman" w:cs="Arial" w:asciiTheme="majorHAnsi" w:hAnsiTheme="maj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Arial" w:ascii="Cambria" w:hAnsi="Cambria" w:asciiTheme="majorHAnsi" w:hAnsiTheme="majorHAnsi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>
        <w:trPr/>
        <w:tc>
          <w:tcPr>
            <w:tcW w:w="1842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240" w:after="0"/>
              <w:ind w:right="0" w:hanging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2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240" w:after="0"/>
              <w:ind w:right="0" w:hanging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Times New Roman" w:cs="Arial" w:asciiTheme="majorHAnsi" w:hAnsiTheme="maj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Arial" w:ascii="Cambria" w:hAnsi="Cambria" w:asciiTheme="majorHAnsi" w:hAnsiTheme="majorHAnsi"/>
                <w:color w:val="000000"/>
                <w:sz w:val="20"/>
                <w:szCs w:val="20"/>
                <w:lang w:eastAsia="sk-SK"/>
              </w:rPr>
              <w:t>Podiel na upísanom ZI v %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Times New Roman" w:cs="Arial" w:asciiTheme="majorHAnsi" w:hAnsiTheme="maj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Arial" w:ascii="Cambria" w:hAnsi="Cambria" w:asciiTheme="majorHAnsi" w:hAnsiTheme="majorHAnsi"/>
                <w:color w:val="000000"/>
                <w:sz w:val="20"/>
                <w:szCs w:val="20"/>
                <w:lang w:eastAsia="sk-SK"/>
              </w:rPr>
              <w:t>Podiel na upísanom ZI v %</w:t>
            </w:r>
          </w:p>
        </w:tc>
        <w:tc>
          <w:tcPr>
            <w:tcW w:w="18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Times New Roman" w:cs="Arial" w:asciiTheme="majorHAnsi" w:hAnsiTheme="maj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Arial" w:ascii="Cambria" w:hAnsi="Cambria" w:asciiTheme="majorHAnsi" w:hAnsiTheme="majorHAnsi"/>
                <w:color w:val="000000"/>
                <w:sz w:val="20"/>
                <w:szCs w:val="20"/>
                <w:lang w:eastAsia="sk-SK"/>
              </w:rPr>
              <w:t>Podiel na upísanom ZI v %</w:t>
            </w:r>
          </w:p>
        </w:tc>
      </w:tr>
      <w:tr>
        <w:trPr/>
        <w:tc>
          <w:tcPr>
            <w:tcW w:w="1842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240" w:after="0"/>
              <w:ind w:right="0" w:hanging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2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240" w:after="0"/>
              <w:ind w:right="0" w:hanging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Times New Roman" w:cs="Arial" w:asciiTheme="majorHAnsi" w:hAnsiTheme="maj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Arial" w:ascii="Cambria" w:hAnsi="Cambria" w:asciiTheme="majorHAnsi" w:hAnsiTheme="majorHAnsi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Times New Roman" w:cs="Arial" w:asciiTheme="majorHAnsi" w:hAnsiTheme="maj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Arial" w:ascii="Cambria" w:hAnsi="Cambria" w:asciiTheme="majorHAnsi" w:hAnsiTheme="majorHAnsi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Times New Roman" w:cs="Arial" w:asciiTheme="majorHAnsi" w:hAnsiTheme="maj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Arial" w:ascii="Cambria" w:hAnsi="Cambria" w:asciiTheme="majorHAnsi" w:hAnsiTheme="majorHAnsi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>
        <w:trPr/>
        <w:tc>
          <w:tcPr>
            <w:tcW w:w="1842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240" w:after="0"/>
              <w:ind w:right="0" w:hanging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2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240" w:after="0"/>
              <w:ind w:right="0" w:hanging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Times New Roman" w:cs="Arial" w:asciiTheme="majorHAnsi" w:hAnsiTheme="maj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Arial" w:ascii="Cambria" w:hAnsi="Cambria" w:asciiTheme="majorHAnsi" w:hAnsiTheme="majorHAnsi"/>
                <w:color w:val="000000"/>
                <w:sz w:val="20"/>
                <w:szCs w:val="20"/>
                <w:lang w:eastAsia="sk-SK"/>
              </w:rPr>
              <w:t>Hodnota  nadobudnutia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Times New Roman" w:cs="Arial" w:asciiTheme="majorHAnsi" w:hAnsiTheme="maj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Arial" w:ascii="Cambria" w:hAnsi="Cambria" w:asciiTheme="majorHAnsi" w:hAnsiTheme="majorHAnsi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Times New Roman" w:cs="Arial" w:asciiTheme="majorHAnsi" w:hAnsiTheme="maj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Arial" w:ascii="Cambria" w:hAnsi="Cambria" w:asciiTheme="majorHAnsi" w:hAnsiTheme="majorHAnsi"/>
                <w:color w:val="000000"/>
                <w:sz w:val="20"/>
                <w:szCs w:val="20"/>
                <w:lang w:eastAsia="sk-SK"/>
              </w:rPr>
              <w:t>Hodnota nadobudnutia</w:t>
            </w:r>
          </w:p>
        </w:tc>
      </w:tr>
      <w:tr>
        <w:trPr/>
        <w:tc>
          <w:tcPr>
            <w:tcW w:w="1842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240" w:after="0"/>
              <w:ind w:right="0" w:hanging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2" w:type="dxa"/>
            <w:vMerge w:val="restart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240" w:after="0"/>
              <w:ind w:right="0" w:hanging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240" w:after="0"/>
              <w:ind w:right="0" w:hanging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240" w:after="0"/>
              <w:ind w:right="0" w:hanging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240" w:after="0"/>
              <w:ind w:right="0" w:hanging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  <w:tr>
        <w:trPr/>
        <w:tc>
          <w:tcPr>
            <w:tcW w:w="1842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240" w:after="0"/>
              <w:ind w:right="0" w:hanging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2" w:type="dxa"/>
            <w:vMerge w:val="continue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240" w:after="0"/>
              <w:ind w:right="0" w:hanging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240" w:after="0"/>
              <w:ind w:right="0" w:hanging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240" w:after="0"/>
              <w:ind w:right="0" w:hanging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240" w:after="0"/>
              <w:ind w:right="0" w:hanging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  <w:tr>
        <w:trPr/>
        <w:tc>
          <w:tcPr>
            <w:tcW w:w="1842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240" w:after="0"/>
              <w:ind w:right="0" w:hanging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2" w:type="dxa"/>
            <w:vMerge w:val="continue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240" w:after="0"/>
              <w:ind w:right="0" w:hanging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240" w:after="0"/>
              <w:ind w:right="0" w:hanging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240" w:after="0"/>
              <w:ind w:right="0" w:hanging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240" w:after="0"/>
              <w:ind w:right="0" w:hanging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  <w:tr>
        <w:trPr/>
        <w:tc>
          <w:tcPr>
            <w:tcW w:w="1842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240" w:after="0"/>
              <w:ind w:right="0" w:hanging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2" w:type="dxa"/>
            <w:vMerge w:val="continue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240" w:after="0"/>
              <w:ind w:right="0" w:hanging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240" w:after="0"/>
              <w:ind w:right="0" w:hanging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240" w:after="0"/>
              <w:ind w:right="0" w:hanging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240" w:after="0"/>
              <w:ind w:right="0" w:hanging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  <w:tr>
        <w:trPr/>
        <w:tc>
          <w:tcPr>
            <w:tcW w:w="1842" w:type="dxa"/>
            <w:vMerge w:val="restart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240" w:after="0"/>
              <w:ind w:right="0" w:hanging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240" w:after="0"/>
              <w:ind w:right="0" w:hanging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240" w:after="0"/>
              <w:ind w:right="0" w:hanging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240" w:after="0"/>
              <w:ind w:right="0" w:hanging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240" w:after="0"/>
              <w:ind w:right="0" w:hanging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  <w:tr>
        <w:trPr/>
        <w:tc>
          <w:tcPr>
            <w:tcW w:w="1842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240" w:after="0"/>
              <w:ind w:right="0" w:hanging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2" w:type="dxa"/>
            <w:vMerge w:val="continue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240" w:after="0"/>
              <w:ind w:right="0" w:hanging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240" w:after="0"/>
              <w:ind w:right="0" w:hanging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240" w:after="0"/>
              <w:ind w:right="0" w:hanging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240" w:after="0"/>
              <w:ind w:right="0" w:hanging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  <w:tr>
        <w:trPr/>
        <w:tc>
          <w:tcPr>
            <w:tcW w:w="1842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240" w:after="0"/>
              <w:ind w:right="0" w:hanging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2" w:type="dxa"/>
            <w:vMerge w:val="continue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240" w:after="0"/>
              <w:ind w:right="0" w:hanging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240" w:after="0"/>
              <w:ind w:right="0" w:hanging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240" w:after="0"/>
              <w:ind w:right="0" w:hanging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240" w:after="0"/>
              <w:ind w:right="0" w:hanging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  <w:tr>
        <w:trPr/>
        <w:tc>
          <w:tcPr>
            <w:tcW w:w="1842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240" w:after="0"/>
              <w:ind w:right="0" w:hanging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2" w:type="dxa"/>
            <w:vMerge w:val="continue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240" w:after="0"/>
              <w:ind w:right="0" w:hanging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240" w:after="0"/>
              <w:ind w:right="0" w:hanging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240" w:after="0"/>
              <w:ind w:right="0" w:hanging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240" w:after="0"/>
              <w:ind w:right="0" w:hanging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240" w:after="200"/>
        <w:ind w:right="0" w:hanging="0"/>
        <w:jc w:val="both"/>
        <w:rPr>
          <w:rFonts w:ascii="Cambria" w:hAnsi="Cambria" w:eastAsia="MS Gothic" w:cs="Arial" w:asciiTheme="majorHAnsi" w:hAnsiTheme="majorHAnsi"/>
          <w:sz w:val="20"/>
          <w:szCs w:val="20"/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Ďalšie dôležité informácie o vlastných akciách:</w:t>
      </w:r>
    </w:p>
    <w:p>
      <w:pPr>
        <w:pStyle w:val="Normal"/>
        <w:spacing w:lineRule="auto" w:line="240" w:before="240" w:after="200"/>
        <w:ind w:right="0" w:hanging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     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/>
        <w:ind w:left="993" w:hanging="993"/>
        <w:jc w:val="both"/>
        <w:rPr>
          <w:rFonts w:ascii="Cambria" w:hAnsi="Cambria" w:eastAsia="MS Gothic" w:cs="Times New Roman" w:asciiTheme="majorHAnsi" w:hAnsiTheme="majorHAnsi"/>
          <w:b/>
          <w:b/>
        </w:rPr>
      </w:pPr>
      <w:r>
        <w:rPr>
          <w:rFonts w:eastAsia="MS Gothic" w:cs="Times New Roman" w:ascii="Cambria" w:hAnsi="Cambria" w:asciiTheme="majorHAnsi" w:hAnsiTheme="majorHAnsi"/>
          <w:b/>
        </w:rPr>
        <w:t>IV. 5</w:t>
        <w:tab/>
        <w:t>Informácie o výnosoch a nákladoch, ktoré majú výnimočný rozsah alebo výskyt</w:t>
      </w:r>
    </w:p>
    <w:tbl>
      <w:tblPr>
        <w:tblW w:w="9428" w:type="dxa"/>
        <w:jc w:val="left"/>
        <w:tblInd w:w="0" w:type="dxa"/>
        <w:tblBorders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975"/>
        <w:gridCol w:w="1074"/>
        <w:gridCol w:w="494"/>
        <w:gridCol w:w="1698"/>
        <w:gridCol w:w="996"/>
        <w:gridCol w:w="102"/>
        <w:gridCol w:w="160"/>
        <w:gridCol w:w="1792"/>
        <w:gridCol w:w="977"/>
        <w:gridCol w:w="159"/>
      </w:tblGrid>
      <w:tr>
        <w:trPr>
          <w:trHeight w:val="330" w:hRule="atLeast"/>
        </w:trPr>
        <w:tc>
          <w:tcPr>
            <w:tcW w:w="1975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Times New Roman" w:cs="Times New Roman" w:asciiTheme="majorHAnsi" w:hAnsiTheme="maj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/>
                <w:color w:val="000000"/>
                <w:sz w:val="20"/>
                <w:szCs w:val="20"/>
                <w:lang w:eastAsia="sk-SK"/>
              </w:rPr>
            </w:r>
          </w:p>
        </w:tc>
        <w:tc>
          <w:tcPr>
            <w:tcW w:w="1074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Times New Roman" w:cs="Arial" w:asciiTheme="majorHAnsi" w:hAnsiTheme="maj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Arial" w:ascii="Cambria" w:hAnsi="Cambria"/>
                <w:color w:val="000000"/>
                <w:sz w:val="20"/>
                <w:szCs w:val="20"/>
                <w:lang w:eastAsia="sk-SK"/>
              </w:rPr>
            </w:r>
          </w:p>
        </w:tc>
        <w:tc>
          <w:tcPr>
            <w:tcW w:w="494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Times New Roman" w:cs="Times New Roman" w:asciiTheme="majorHAnsi" w:hAnsiTheme="majorHAnsi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/>
                <w:sz w:val="20"/>
                <w:szCs w:val="20"/>
                <w:lang w:eastAsia="sk-SK"/>
              </w:rPr>
            </w:r>
          </w:p>
        </w:tc>
        <w:tc>
          <w:tcPr>
            <w:tcW w:w="169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Times New Roman" w:cs="Times New Roman" w:asciiTheme="majorHAnsi" w:hAnsiTheme="majorHAnsi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/>
                <w:sz w:val="20"/>
                <w:szCs w:val="20"/>
                <w:lang w:eastAsia="sk-SK"/>
              </w:rPr>
            </w:r>
          </w:p>
        </w:tc>
        <w:tc>
          <w:tcPr>
            <w:tcW w:w="1098" w:type="dxa"/>
            <w:gridSpan w:val="2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Times New Roman" w:cs="Times New Roman" w:asciiTheme="majorHAnsi" w:hAnsiTheme="majorHAnsi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/>
                <w:sz w:val="20"/>
                <w:szCs w:val="20"/>
                <w:lang w:eastAsia="sk-SK"/>
              </w:rPr>
            </w:r>
          </w:p>
        </w:tc>
        <w:tc>
          <w:tcPr>
            <w:tcW w:w="16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Times New Roman" w:cs="Times New Roman" w:asciiTheme="majorHAnsi" w:hAnsiTheme="majorHAnsi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/>
                <w:sz w:val="20"/>
                <w:szCs w:val="20"/>
                <w:lang w:eastAsia="sk-SK"/>
              </w:rPr>
            </w:r>
          </w:p>
        </w:tc>
        <w:tc>
          <w:tcPr>
            <w:tcW w:w="1792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Times New Roman" w:cs="Times New Roman" w:asciiTheme="majorHAnsi" w:hAnsiTheme="majorHAnsi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/>
                <w:sz w:val="20"/>
                <w:szCs w:val="20"/>
                <w:lang w:eastAsia="sk-SK"/>
              </w:rPr>
            </w:r>
          </w:p>
        </w:tc>
        <w:tc>
          <w:tcPr>
            <w:tcW w:w="97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Times New Roman" w:cs="Times New Roman" w:asciiTheme="majorHAnsi" w:hAnsiTheme="majorHAnsi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/>
                <w:sz w:val="20"/>
                <w:szCs w:val="20"/>
                <w:lang w:eastAsia="sk-SK"/>
              </w:rPr>
            </w:r>
          </w:p>
        </w:tc>
        <w:tc>
          <w:tcPr>
            <w:tcW w:w="15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Times New Roman" w:cs="Times New Roman" w:asciiTheme="majorHAnsi" w:hAnsiTheme="majorHAnsi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/>
                <w:sz w:val="20"/>
                <w:szCs w:val="20"/>
                <w:lang w:eastAsia="sk-SK"/>
              </w:rPr>
            </w:r>
          </w:p>
        </w:tc>
      </w:tr>
      <w:tr>
        <w:trPr>
          <w:trHeight w:val="975" w:hRule="atLeast"/>
        </w:trPr>
        <w:tc>
          <w:tcPr>
            <w:tcW w:w="3543" w:type="dxa"/>
            <w:gridSpan w:val="3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Times New Roman" w:cs="Times New Roman" w:asciiTheme="majorHAnsi" w:hAnsiTheme="majorHAnsi"/>
                <w:b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4" w:type="dxa"/>
            <w:gridSpan w:val="2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Times New Roman" w:cs="Times New Roman" w:asciiTheme="majorHAnsi" w:hAnsiTheme="majorHAnsi"/>
                <w:b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90" w:type="dxa"/>
            <w:gridSpan w:val="5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Times New Roman" w:cs="Times New Roman" w:asciiTheme="majorHAnsi" w:hAnsiTheme="majorHAnsi"/>
                <w:b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543" w:type="dxa"/>
            <w:gridSpan w:val="3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00"/>
              <w:rPr>
                <w:rFonts w:ascii="Cambria" w:hAnsi="Cambria"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00"/>
              <w:jc w:val="right"/>
              <w:rPr>
                <w:rFonts w:ascii="Cambria" w:hAnsi="Cambria"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90" w:type="dxa"/>
            <w:gridSpan w:val="5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00"/>
              <w:jc w:val="right"/>
              <w:rPr>
                <w:rFonts w:ascii="Cambria" w:hAnsi="Cambria"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543" w:type="dxa"/>
            <w:gridSpan w:val="3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00"/>
              <w:rPr>
                <w:rFonts w:ascii="Cambria" w:hAnsi="Cambria"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00"/>
              <w:jc w:val="right"/>
              <w:rPr>
                <w:rFonts w:ascii="Cambria" w:hAnsi="Cambria"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90" w:type="dxa"/>
            <w:gridSpan w:val="5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00"/>
              <w:jc w:val="right"/>
              <w:rPr>
                <w:rFonts w:ascii="Cambria" w:hAnsi="Cambria"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543" w:type="dxa"/>
            <w:gridSpan w:val="3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00"/>
              <w:rPr>
                <w:rFonts w:ascii="Cambria" w:hAnsi="Cambria"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00"/>
              <w:jc w:val="right"/>
              <w:rPr>
                <w:rFonts w:ascii="Cambria" w:hAnsi="Cambria"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90" w:type="dxa"/>
            <w:gridSpan w:val="5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00"/>
              <w:jc w:val="right"/>
              <w:rPr>
                <w:rFonts w:ascii="Cambria" w:hAnsi="Cambria"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543" w:type="dxa"/>
            <w:gridSpan w:val="3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00"/>
              <w:rPr>
                <w:rFonts w:ascii="Cambria" w:hAnsi="Cambria"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4" w:type="dxa"/>
            <w:gridSpan w:val="2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00"/>
              <w:jc w:val="right"/>
              <w:rPr>
                <w:rFonts w:ascii="Cambria" w:hAnsi="Cambria"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90" w:type="dxa"/>
            <w:gridSpan w:val="5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00"/>
              <w:jc w:val="right"/>
              <w:rPr>
                <w:rFonts w:ascii="Cambria" w:hAnsi="Cambria"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200"/>
        <w:jc w:val="both"/>
        <w:rPr>
          <w:rFonts w:ascii="Cambria" w:hAnsi="Cambria" w:eastAsia="MS Gothic" w:cs="Times New Roman" w:asciiTheme="majorHAnsi" w:hAnsiTheme="majorHAnsi"/>
          <w:b/>
          <w:b/>
          <w:sz w:val="20"/>
          <w:szCs w:val="20"/>
        </w:rPr>
      </w:pPr>
      <w:r>
        <w:rPr>
          <w:rFonts w:eastAsia="MS Gothic" w:cs="Times New Roman" w:ascii="Cambria" w:hAnsi="Cambria" w:asciiTheme="majorHAnsi" w:hAnsiTheme="majorHAnsi"/>
          <w:b/>
          <w:sz w:val="20"/>
          <w:szCs w:val="20"/>
        </w:rPr>
        <w:t>Dodatočné informácie o výnosoch, ktoré majú výnimočný rozsah alebo výskyt:</w:t>
      </w:r>
    </w:p>
    <w:p>
      <w:pPr>
        <w:pStyle w:val="Normal"/>
        <w:spacing w:lineRule="auto" w:line="240" w:before="240" w:after="200"/>
        <w:ind w:right="0" w:hanging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     </w:t>
      </w:r>
    </w:p>
    <w:tbl>
      <w:tblPr>
        <w:tblW w:w="9428" w:type="dxa"/>
        <w:jc w:val="left"/>
        <w:tblInd w:w="0" w:type="dxa"/>
        <w:tblBorders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976"/>
        <w:gridCol w:w="1074"/>
        <w:gridCol w:w="634"/>
        <w:gridCol w:w="1"/>
        <w:gridCol w:w="1557"/>
        <w:gridCol w:w="1097"/>
        <w:gridCol w:w="323"/>
        <w:gridCol w:w="1629"/>
        <w:gridCol w:w="977"/>
        <w:gridCol w:w="159"/>
      </w:tblGrid>
      <w:tr>
        <w:trPr>
          <w:trHeight w:val="330" w:hRule="atLeast"/>
        </w:trPr>
        <w:tc>
          <w:tcPr>
            <w:tcW w:w="1976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Times New Roman" w:cs="Times New Roman" w:asciiTheme="majorHAnsi" w:hAnsiTheme="maj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/>
                <w:color w:val="000000"/>
                <w:sz w:val="20"/>
                <w:szCs w:val="20"/>
                <w:lang w:eastAsia="sk-SK"/>
              </w:rPr>
            </w:r>
          </w:p>
        </w:tc>
        <w:tc>
          <w:tcPr>
            <w:tcW w:w="1074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Times New Roman" w:cs="Arial" w:asciiTheme="majorHAnsi" w:hAnsiTheme="maj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Arial" w:ascii="Cambria" w:hAnsi="Cambria"/>
                <w:color w:val="000000"/>
                <w:sz w:val="20"/>
                <w:szCs w:val="20"/>
                <w:lang w:eastAsia="sk-SK"/>
              </w:rPr>
            </w:r>
          </w:p>
        </w:tc>
        <w:tc>
          <w:tcPr>
            <w:tcW w:w="634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Times New Roman" w:cs="Times New Roman" w:asciiTheme="majorHAnsi" w:hAnsiTheme="majorHAnsi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/>
                <w:sz w:val="20"/>
                <w:szCs w:val="20"/>
                <w:lang w:eastAsia="sk-SK"/>
              </w:rPr>
            </w:r>
          </w:p>
        </w:tc>
        <w:tc>
          <w:tcPr>
            <w:tcW w:w="1558" w:type="dxa"/>
            <w:gridSpan w:val="2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Times New Roman" w:cs="Times New Roman" w:asciiTheme="majorHAnsi" w:hAnsiTheme="majorHAnsi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/>
                <w:sz w:val="20"/>
                <w:szCs w:val="20"/>
                <w:lang w:eastAsia="sk-SK"/>
              </w:rPr>
            </w:r>
          </w:p>
        </w:tc>
        <w:tc>
          <w:tcPr>
            <w:tcW w:w="1097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Times New Roman" w:cs="Times New Roman" w:asciiTheme="majorHAnsi" w:hAnsiTheme="majorHAnsi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/>
                <w:sz w:val="20"/>
                <w:szCs w:val="20"/>
                <w:lang w:eastAsia="sk-SK"/>
              </w:rPr>
            </w:r>
          </w:p>
        </w:tc>
        <w:tc>
          <w:tcPr>
            <w:tcW w:w="323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Times New Roman" w:cs="Times New Roman" w:asciiTheme="majorHAnsi" w:hAnsiTheme="majorHAnsi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/>
                <w:sz w:val="20"/>
                <w:szCs w:val="20"/>
                <w:lang w:eastAsia="sk-SK"/>
              </w:rPr>
            </w:r>
          </w:p>
        </w:tc>
        <w:tc>
          <w:tcPr>
            <w:tcW w:w="1629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Times New Roman" w:cs="Times New Roman" w:asciiTheme="majorHAnsi" w:hAnsiTheme="majorHAnsi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/>
                <w:sz w:val="20"/>
                <w:szCs w:val="20"/>
                <w:lang w:eastAsia="sk-SK"/>
              </w:rPr>
            </w:r>
          </w:p>
        </w:tc>
        <w:tc>
          <w:tcPr>
            <w:tcW w:w="97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Times New Roman" w:cs="Times New Roman" w:asciiTheme="majorHAnsi" w:hAnsiTheme="majorHAnsi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/>
                <w:sz w:val="20"/>
                <w:szCs w:val="20"/>
                <w:lang w:eastAsia="sk-SK"/>
              </w:rPr>
            </w:r>
          </w:p>
        </w:tc>
        <w:tc>
          <w:tcPr>
            <w:tcW w:w="159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Times New Roman" w:cs="Times New Roman" w:asciiTheme="majorHAnsi" w:hAnsiTheme="majorHAnsi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/>
                <w:sz w:val="20"/>
                <w:szCs w:val="20"/>
                <w:lang w:eastAsia="sk-SK"/>
              </w:rPr>
            </w:r>
          </w:p>
        </w:tc>
      </w:tr>
      <w:tr>
        <w:trPr>
          <w:trHeight w:val="694" w:hRule="atLeast"/>
        </w:trPr>
        <w:tc>
          <w:tcPr>
            <w:tcW w:w="3685" w:type="dxa"/>
            <w:gridSpan w:val="4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Times New Roman" w:cs="Times New Roman" w:asciiTheme="majorHAnsi" w:hAnsiTheme="majorHAnsi"/>
                <w:b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Times New Roman" w:cs="Times New Roman" w:asciiTheme="majorHAnsi" w:hAnsiTheme="majorHAnsi"/>
                <w:b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765" w:type="dxa"/>
            <w:gridSpan w:val="3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Times New Roman" w:cs="Times New Roman" w:asciiTheme="majorHAnsi" w:hAnsiTheme="majorHAnsi"/>
                <w:b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685" w:type="dxa"/>
            <w:gridSpan w:val="4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Times New Roman" w:cs="Times New Roman" w:asciiTheme="majorHAnsi" w:hAnsiTheme="maj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00"/>
              <w:jc w:val="right"/>
              <w:rPr>
                <w:rFonts w:ascii="Cambria" w:hAnsi="Cambria"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00"/>
              <w:jc w:val="right"/>
              <w:rPr>
                <w:rFonts w:ascii="Cambria" w:hAnsi="Cambria"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685" w:type="dxa"/>
            <w:gridSpan w:val="4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Times New Roman" w:cs="Times New Roman" w:asciiTheme="majorHAnsi" w:hAnsiTheme="maj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00"/>
              <w:jc w:val="right"/>
              <w:rPr>
                <w:rFonts w:ascii="Cambria" w:hAnsi="Cambria"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00"/>
              <w:jc w:val="right"/>
              <w:rPr>
                <w:rFonts w:ascii="Cambria" w:hAnsi="Cambria"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685" w:type="dxa"/>
            <w:gridSpan w:val="4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00"/>
              <w:rPr>
                <w:rFonts w:ascii="Cambria" w:hAnsi="Cambria"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00"/>
              <w:jc w:val="right"/>
              <w:rPr>
                <w:rFonts w:ascii="Cambria" w:hAnsi="Cambria"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00"/>
              <w:jc w:val="right"/>
              <w:rPr>
                <w:rFonts w:ascii="Cambria" w:hAnsi="Cambria"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685" w:type="dxa"/>
            <w:gridSpan w:val="4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00"/>
              <w:rPr>
                <w:rFonts w:ascii="Cambria" w:hAnsi="Cambria"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00"/>
              <w:jc w:val="right"/>
              <w:rPr>
                <w:rFonts w:ascii="Cambria" w:hAnsi="Cambria"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65" w:type="dxa"/>
            <w:gridSpan w:val="3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00"/>
              <w:jc w:val="right"/>
              <w:rPr>
                <w:rFonts w:ascii="Cambria" w:hAnsi="Cambria"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200"/>
        <w:jc w:val="both"/>
        <w:rPr>
          <w:rFonts w:ascii="Cambria" w:hAnsi="Cambria" w:eastAsia="MS Gothic" w:cs="Times New Roman" w:asciiTheme="majorHAnsi" w:hAnsiTheme="majorHAnsi"/>
          <w:b/>
          <w:b/>
          <w:sz w:val="20"/>
          <w:szCs w:val="20"/>
        </w:rPr>
      </w:pPr>
      <w:r>
        <w:rPr>
          <w:rFonts w:eastAsia="MS Gothic" w:cs="Times New Roman" w:ascii="Cambria" w:hAnsi="Cambria" w:asciiTheme="majorHAnsi" w:hAnsiTheme="majorHAnsi"/>
          <w:b/>
          <w:sz w:val="20"/>
          <w:szCs w:val="20"/>
        </w:rPr>
        <w:t>Dodatočné informácie o nákladoch, ktoré majú výnimočný rozsah alebo výskyt:</w:t>
      </w:r>
    </w:p>
    <w:p>
      <w:pPr>
        <w:pStyle w:val="Normal"/>
        <w:spacing w:lineRule="auto" w:line="240" w:before="240" w:after="200"/>
        <w:ind w:right="0" w:hanging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     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</w:rPr>
      </w:pPr>
      <w:r>
        <w:rPr>
          <w:rFonts w:eastAsia="MS Gothic"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V - Informácie o iných aktívach a iných pasívach</w:t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mbria" w:hAnsi="Cambria" w:eastAsia="MS Gothic" w:cs="Arial" w:asciiTheme="majorHAnsi" w:hAnsiTheme="majorHAnsi"/>
          <w:b/>
          <w:b/>
        </w:rPr>
      </w:pPr>
      <w:r>
        <w:rPr>
          <w:rFonts w:eastAsia="MS Gothic" w:cs="Arial" w:ascii="Cambria" w:hAnsi="Cambria" w:asciiTheme="majorHAnsi" w:hAnsiTheme="majorHAnsi"/>
          <w:b/>
        </w:rPr>
        <w:t>V. 1 a) Informácie o podmienenom majetku</w:t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mbria" w:hAnsi="Cambria" w:eastAsia="MS Gothic" w:cs="Arial" w:asciiTheme="majorHAnsi" w:hAnsiTheme="majorHAnsi"/>
          <w:b/>
          <w:b/>
        </w:rPr>
      </w:pPr>
      <w:r>
        <w:rPr>
          <w:rFonts w:eastAsia="MS Gothic" w:cs="Arial" w:ascii="Cambria" w:hAnsi="Cambria"/>
          <w:b/>
        </w:rPr>
      </w:r>
    </w:p>
    <w:tbl>
      <w:tblPr>
        <w:tblW w:w="9341" w:type="dxa"/>
        <w:jc w:val="left"/>
        <w:tblInd w:w="-22" w:type="dxa"/>
        <w:tblBorders>
          <w:top w:val="single" w:sz="18" w:space="0" w:color="000001"/>
          <w:left w:val="single" w:sz="18" w:space="0" w:color="000001"/>
          <w:bottom w:val="single" w:sz="12" w:space="0" w:color="000001"/>
          <w:right w:val="single" w:sz="12" w:space="0" w:color="000001"/>
          <w:insideH w:val="single" w:sz="12" w:space="0" w:color="000001"/>
          <w:insideV w:val="single" w:sz="12" w:space="0" w:color="000001"/>
        </w:tblBorders>
        <w:tblCellMar>
          <w:top w:w="0" w:type="dxa"/>
          <w:left w:w="24" w:type="dxa"/>
          <w:bottom w:w="0" w:type="dxa"/>
          <w:right w:w="70" w:type="dxa"/>
        </w:tblCellMar>
        <w:tblLook w:val="04a0"/>
      </w:tblPr>
      <w:tblGrid>
        <w:gridCol w:w="4138"/>
        <w:gridCol w:w="2651"/>
        <w:gridCol w:w="2552"/>
      </w:tblGrid>
      <w:tr>
        <w:trPr>
          <w:trHeight w:val="330" w:hRule="atLeast"/>
        </w:trPr>
        <w:tc>
          <w:tcPr>
            <w:tcW w:w="4138" w:type="dxa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Times New Roman" w:cs="Times New Roman" w:asciiTheme="majorHAnsi" w:hAnsiTheme="majorHAnsi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3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Times New Roman" w:cs="Times New Roman" w:asciiTheme="majorHAnsi" w:hAnsiTheme="majorHAnsi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b/>
                <w:bCs/>
                <w:lang w:eastAsia="sk-SK"/>
              </w:rPr>
              <w:t>Hodnota</w:t>
            </w:r>
          </w:p>
        </w:tc>
      </w:tr>
      <w:tr>
        <w:trPr>
          <w:trHeight w:val="330" w:hRule="atLeast"/>
        </w:trPr>
        <w:tc>
          <w:tcPr>
            <w:tcW w:w="4138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Times New Roman" w:cs="Times New Roman" w:asciiTheme="majorHAnsi" w:hAnsiTheme="majorHAnsi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Cambria" w:hAnsi="Cambria"/>
                <w:b/>
                <w:bCs/>
                <w:lang w:eastAsia="sk-SK"/>
              </w:rPr>
            </w:r>
          </w:p>
        </w:tc>
        <w:tc>
          <w:tcPr>
            <w:tcW w:w="2651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Times New Roman" w:cs="Times New Roman" w:asciiTheme="majorHAnsi" w:hAnsiTheme="majorHAnsi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Times New Roman" w:cs="Times New Roman" w:asciiTheme="majorHAnsi" w:hAnsiTheme="majorHAnsi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b/>
                <w:bCs/>
                <w:lang w:eastAsia="sk-SK"/>
              </w:rPr>
              <w:t>Bezprostredne predchádzajúce účtovné obdobie</w:t>
            </w:r>
          </w:p>
        </w:tc>
      </w:tr>
      <w:tr>
        <w:trPr>
          <w:trHeight w:val="135" w:hRule="atLeast"/>
        </w:trPr>
        <w:tc>
          <w:tcPr>
            <w:tcW w:w="4138" w:type="dxa"/>
            <w:tcBorders>
              <w:top w:val="single" w:sz="18" w:space="0" w:color="000001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Times New Roman" w:cs="Times New Roman" w:asciiTheme="majorHAnsi" w:hAnsiTheme="majorHAnsi"/>
                <w:color w:val="000000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51" w:type="dxa"/>
            <w:tcBorders>
              <w:top w:val="single" w:sz="18" w:space="0" w:color="000001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Cambria" w:hAnsi="Cambria" w:eastAsia="Times New Roman" w:cs="Times New Roman" w:asciiTheme="majorHAnsi" w:hAnsiTheme="majorHAnsi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1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Cambria" w:hAnsi="Cambria" w:eastAsia="Times New Roman" w:cs="Times New Roman" w:asciiTheme="majorHAnsi" w:hAnsiTheme="majorHAnsi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18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Times New Roman" w:cs="Times New Roman" w:asciiTheme="majorHAnsi" w:hAnsiTheme="majorHAnsi"/>
                <w:color w:val="000000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000000"/>
                <w:lang w:eastAsia="sk-SK"/>
              </w:rPr>
              <w:t>Práva z poistných zmlúv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Cambria" w:hAnsi="Cambria" w:eastAsia="Times New Roman" w:cs="Times New Roman" w:asciiTheme="majorHAnsi" w:hAnsiTheme="majorHAnsi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Cambria" w:hAnsi="Cambria" w:eastAsia="Times New Roman" w:cs="Times New Roman" w:asciiTheme="majorHAnsi" w:hAnsiTheme="majorHAnsi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308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Times New Roman" w:cs="Times New Roman" w:asciiTheme="majorHAnsi" w:hAnsiTheme="majorHAnsi"/>
                <w:color w:val="000000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Cambria" w:hAnsi="Cambria" w:eastAsia="Times New Roman" w:cs="Times New Roman" w:asciiTheme="majorHAnsi" w:hAnsiTheme="majorHAnsi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Cambria" w:hAnsi="Cambria" w:eastAsia="Times New Roman" w:cs="Times New Roman" w:asciiTheme="majorHAnsi" w:hAnsiTheme="majorHAnsi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43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Times New Roman" w:cs="Times New Roman" w:asciiTheme="majorHAnsi" w:hAnsiTheme="majorHAnsi"/>
                <w:color w:val="000000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Cambria" w:hAnsi="Cambria" w:eastAsia="Times New Roman" w:cs="Times New Roman" w:asciiTheme="majorHAnsi" w:hAnsiTheme="majorHAnsi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Cambria" w:hAnsi="Cambria" w:eastAsia="Times New Roman" w:cs="Times New Roman" w:asciiTheme="majorHAnsi" w:hAnsiTheme="majorHAnsi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473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Times New Roman" w:cs="Times New Roman" w:asciiTheme="majorHAnsi" w:hAnsiTheme="majorHAnsi"/>
                <w:color w:val="000000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Cambria" w:hAnsi="Cambria" w:eastAsia="Times New Roman" w:cs="Times New Roman" w:asciiTheme="majorHAnsi" w:hAnsiTheme="majorHAnsi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Cambria" w:hAnsi="Cambria" w:eastAsia="Times New Roman" w:cs="Times New Roman" w:asciiTheme="majorHAnsi" w:hAnsiTheme="majorHAnsi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40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Times New Roman" w:cs="Times New Roman" w:asciiTheme="majorHAnsi" w:hAnsiTheme="majorHAnsi"/>
                <w:color w:val="000000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000000"/>
                <w:lang w:eastAsia="sk-SK"/>
              </w:rPr>
              <w:t>Práva z privatizácie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Cambria" w:hAnsi="Cambria" w:eastAsia="Times New Roman" w:cs="Times New Roman" w:asciiTheme="majorHAnsi" w:hAnsiTheme="majorHAnsi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Cambria" w:hAnsi="Cambria" w:eastAsia="Times New Roman" w:cs="Times New Roman" w:asciiTheme="majorHAnsi" w:hAnsiTheme="majorHAnsi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188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Times New Roman" w:cs="Times New Roman" w:asciiTheme="majorHAnsi" w:hAnsiTheme="majorHAnsi"/>
                <w:color w:val="000000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000000"/>
                <w:lang w:eastAsia="sk-SK"/>
              </w:rPr>
              <w:t>Práva zo súdnych sporov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Cambria" w:hAnsi="Cambria" w:eastAsia="Times New Roman" w:cs="Times New Roman" w:asciiTheme="majorHAnsi" w:hAnsiTheme="majorHAnsi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Cambria" w:hAnsi="Cambria" w:eastAsia="Times New Roman" w:cs="Times New Roman" w:asciiTheme="majorHAnsi" w:hAnsiTheme="majorHAnsi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45" w:hRule="atLeast"/>
        </w:trPr>
        <w:tc>
          <w:tcPr>
            <w:tcW w:w="413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Times New Roman" w:cs="Times New Roman" w:asciiTheme="majorHAnsi" w:hAnsiTheme="majorHAnsi"/>
                <w:color w:val="000000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000000"/>
                <w:lang w:eastAsia="sk-SK"/>
              </w:rPr>
              <w:t>Iné práva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Cambria" w:hAnsi="Cambria" w:eastAsia="Times New Roman" w:cs="Times New Roman" w:asciiTheme="majorHAnsi" w:hAnsiTheme="majorHAnsi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Cambria" w:hAnsi="Cambria" w:eastAsia="Times New Roman" w:cs="Times New Roman" w:asciiTheme="majorHAnsi" w:hAnsiTheme="majorHAnsi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b/>
                <w:bCs/>
                <w:color w:val="2F75B5"/>
                <w:lang w:eastAsia="sk-SK"/>
              </w:rPr>
              <w:t> </w:t>
            </w:r>
          </w:p>
        </w:tc>
      </w:tr>
    </w:tbl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mbria" w:hAnsi="Cambria" w:eastAsia="MS Gothic" w:cs="Arial" w:asciiTheme="majorHAnsi" w:hAnsiTheme="majorHAnsi"/>
          <w:b/>
          <w:b/>
        </w:rPr>
      </w:pPr>
      <w:r>
        <w:rPr>
          <w:rFonts w:eastAsia="MS Gothic" w:cs="Arial" w:ascii="Cambria" w:hAnsi="Cambria"/>
          <w:b/>
        </w:rPr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Dodatočné  informácie o podmienenom majetku:</w:t>
      </w:r>
    </w:p>
    <w:p>
      <w:pPr>
        <w:pStyle w:val="Normal"/>
        <w:spacing w:lineRule="auto" w:line="240" w:before="240" w:after="20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     </w:t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</w:rPr>
      </w:pPr>
      <w:r>
        <w:rPr>
          <w:rFonts w:eastAsia="MS Gothic" w:cs="Arial" w:ascii="Cambria" w:hAnsi="Cambria" w:asciiTheme="majorHAnsi" w:hAnsiTheme="majorHAnsi"/>
          <w:b/>
        </w:rPr>
        <w:t>V. 1 b) Informácie o podmienených záväzkoch:</w:t>
      </w:r>
    </w:p>
    <w:tbl>
      <w:tblPr>
        <w:tblW w:w="9356" w:type="dxa"/>
        <w:jc w:val="left"/>
        <w:tblInd w:w="-22" w:type="dxa"/>
        <w:tblBorders>
          <w:top w:val="single" w:sz="18" w:space="0" w:color="000001"/>
          <w:left w:val="single" w:sz="18" w:space="0" w:color="000001"/>
          <w:bottom w:val="single" w:sz="12" w:space="0" w:color="000001"/>
          <w:right w:val="single" w:sz="12" w:space="0" w:color="000001"/>
          <w:insideH w:val="single" w:sz="12" w:space="0" w:color="000001"/>
          <w:insideV w:val="single" w:sz="12" w:space="0" w:color="000001"/>
        </w:tblBorders>
        <w:tblCellMar>
          <w:top w:w="0" w:type="dxa"/>
          <w:left w:w="24" w:type="dxa"/>
          <w:bottom w:w="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39"/>
        <w:gridCol w:w="65"/>
        <w:gridCol w:w="95"/>
        <w:gridCol w:w="1840"/>
        <w:gridCol w:w="160"/>
        <w:gridCol w:w="1"/>
        <w:gridCol w:w="1799"/>
        <w:gridCol w:w="216"/>
      </w:tblGrid>
      <w:tr>
        <w:trPr>
          <w:trHeight w:val="253" w:hRule="atLeast"/>
        </w:trPr>
        <w:tc>
          <w:tcPr>
            <w:tcW w:w="5244" w:type="dxa"/>
            <w:gridSpan w:val="6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Times New Roman" w:cs="Times New Roman" w:asciiTheme="majorHAnsi" w:hAnsiTheme="majorHAnsi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6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Times New Roman" w:cs="Times New Roman" w:asciiTheme="majorHAnsi" w:hAnsiTheme="majorHAnsi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b/>
                <w:bCs/>
                <w:lang w:eastAsia="sk-SK"/>
              </w:rPr>
              <w:t>Bežné účtovné obdobie</w:t>
            </w:r>
          </w:p>
        </w:tc>
      </w:tr>
      <w:tr>
        <w:trPr>
          <w:trHeight w:val="316" w:hRule="atLeast"/>
        </w:trPr>
        <w:tc>
          <w:tcPr>
            <w:tcW w:w="5244" w:type="dxa"/>
            <w:gridSpan w:val="6"/>
            <w:vMerge w:val="continue"/>
            <w:tcBorders>
              <w:top w:val="single" w:sz="12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Times New Roman" w:cs="Times New Roman" w:asciiTheme="majorHAnsi" w:hAnsiTheme="majorHAnsi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Cambria" w:hAnsi="Cambria"/>
                <w:b/>
                <w:bCs/>
                <w:color w:val="000000"/>
                <w:lang w:eastAsia="sk-SK"/>
              </w:rPr>
            </w:r>
          </w:p>
        </w:tc>
        <w:tc>
          <w:tcPr>
            <w:tcW w:w="2096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Times New Roman" w:cs="Times New Roman" w:asciiTheme="majorHAnsi" w:hAnsiTheme="majorHAnsi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b/>
                <w:bCs/>
                <w:lang w:eastAsia="sk-SK"/>
              </w:rPr>
              <w:t>Hodnota celkom</w:t>
            </w:r>
          </w:p>
        </w:tc>
        <w:tc>
          <w:tcPr>
            <w:tcW w:w="201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Times New Roman" w:cs="Times New Roman" w:asciiTheme="majorHAnsi" w:hAnsiTheme="majorHAnsi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b/>
                <w:bCs/>
                <w:lang w:eastAsia="sk-SK"/>
              </w:rPr>
              <w:t>Spriaznené osoby</w:t>
            </w:r>
          </w:p>
        </w:tc>
      </w:tr>
      <w:tr>
        <w:trPr>
          <w:trHeight w:val="228" w:hRule="atLeast"/>
        </w:trPr>
        <w:tc>
          <w:tcPr>
            <w:tcW w:w="5244" w:type="dxa"/>
            <w:gridSpan w:val="6"/>
            <w:tcBorders>
              <w:top w:val="single" w:sz="12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Times New Roman" w:cs="Times New Roman" w:asciiTheme="majorHAnsi" w:hAnsiTheme="majorHAnsi"/>
                <w:color w:val="000000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000000"/>
                <w:lang w:eastAsia="sk-SK"/>
              </w:rPr>
              <w:t>Zo súdnych rozhodnutí</w:t>
            </w:r>
          </w:p>
        </w:tc>
        <w:tc>
          <w:tcPr>
            <w:tcW w:w="2096" w:type="dxa"/>
            <w:gridSpan w:val="4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Cambria" w:hAnsi="Cambria" w:eastAsia="Times New Roman" w:cs="Times New Roman" w:asciiTheme="majorHAnsi" w:hAnsiTheme="majorHAnsi"/>
                <w:color w:val="2F75B5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2F75B5"/>
                <w:lang w:eastAsia="sk-SK"/>
              </w:rPr>
              <w:t> </w:t>
            </w:r>
          </w:p>
        </w:tc>
        <w:tc>
          <w:tcPr>
            <w:tcW w:w="201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Cambria" w:hAnsi="Cambria" w:eastAsia="Times New Roman" w:cs="Times New Roman" w:asciiTheme="majorHAnsi" w:hAnsiTheme="majorHAnsi"/>
                <w:color w:val="2F75B5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2F75B5"/>
                <w:lang w:eastAsia="sk-SK"/>
              </w:rPr>
              <w:t> </w:t>
            </w:r>
          </w:p>
        </w:tc>
      </w:tr>
      <w:tr>
        <w:trPr>
          <w:trHeight w:val="242" w:hRule="atLeast"/>
        </w:trPr>
        <w:tc>
          <w:tcPr>
            <w:tcW w:w="5244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Times New Roman" w:cs="Times New Roman" w:asciiTheme="majorHAnsi" w:hAnsiTheme="majorHAnsi"/>
                <w:color w:val="000000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000000"/>
                <w:lang w:eastAsia="sk-SK"/>
              </w:rPr>
              <w:t>Z poskytnutých záruk</w:t>
            </w:r>
          </w:p>
        </w:tc>
        <w:tc>
          <w:tcPr>
            <w:tcW w:w="2096" w:type="dxa"/>
            <w:gridSpan w:val="4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Cambria" w:hAnsi="Cambria" w:eastAsia="Times New Roman" w:cs="Times New Roman" w:asciiTheme="majorHAnsi" w:hAnsiTheme="majorHAnsi"/>
                <w:color w:val="2F75B5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2F75B5"/>
                <w:lang w:eastAsia="sk-SK"/>
              </w:rPr>
              <w:t> </w:t>
            </w:r>
          </w:p>
        </w:tc>
        <w:tc>
          <w:tcPr>
            <w:tcW w:w="2015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Cambria" w:hAnsi="Cambria" w:eastAsia="Times New Roman" w:cs="Times New Roman" w:asciiTheme="majorHAnsi" w:hAnsiTheme="majorHAnsi"/>
                <w:color w:val="2F75B5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2F75B5"/>
                <w:lang w:eastAsia="sk-SK"/>
              </w:rPr>
              <w:t> </w:t>
            </w:r>
          </w:p>
        </w:tc>
      </w:tr>
      <w:tr>
        <w:trPr>
          <w:trHeight w:val="246" w:hRule="atLeast"/>
        </w:trPr>
        <w:tc>
          <w:tcPr>
            <w:tcW w:w="5244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Times New Roman" w:cs="Times New Roman" w:asciiTheme="majorHAnsi" w:hAnsiTheme="majorHAnsi"/>
                <w:color w:val="000000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6" w:type="dxa"/>
            <w:gridSpan w:val="4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Cambria" w:hAnsi="Cambria" w:eastAsia="Times New Roman" w:cs="Times New Roman" w:asciiTheme="majorHAnsi" w:hAnsiTheme="majorHAnsi"/>
                <w:color w:val="2F75B5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2F75B5"/>
                <w:lang w:eastAsia="sk-SK"/>
              </w:rPr>
              <w:t> </w:t>
            </w:r>
          </w:p>
        </w:tc>
        <w:tc>
          <w:tcPr>
            <w:tcW w:w="2015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Cambria" w:hAnsi="Cambria" w:eastAsia="Times New Roman" w:cs="Times New Roman" w:asciiTheme="majorHAnsi" w:hAnsiTheme="majorHAnsi"/>
                <w:color w:val="2F75B5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2F75B5"/>
                <w:lang w:eastAsia="sk-SK"/>
              </w:rPr>
              <w:t> </w:t>
            </w:r>
          </w:p>
        </w:tc>
      </w:tr>
      <w:tr>
        <w:trPr>
          <w:trHeight w:val="122" w:hRule="atLeast"/>
        </w:trPr>
        <w:tc>
          <w:tcPr>
            <w:tcW w:w="5244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Times New Roman" w:cs="Times New Roman" w:asciiTheme="majorHAnsi" w:hAnsiTheme="majorHAnsi"/>
                <w:color w:val="000000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6" w:type="dxa"/>
            <w:gridSpan w:val="4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Cambria" w:hAnsi="Cambria" w:eastAsia="Times New Roman" w:cs="Times New Roman" w:asciiTheme="majorHAnsi" w:hAnsiTheme="majorHAnsi"/>
                <w:color w:val="2F75B5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2F75B5"/>
                <w:lang w:eastAsia="sk-SK"/>
              </w:rPr>
              <w:t> </w:t>
            </w:r>
          </w:p>
        </w:tc>
        <w:tc>
          <w:tcPr>
            <w:tcW w:w="2015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Cambria" w:hAnsi="Cambria" w:eastAsia="Times New Roman" w:cs="Times New Roman" w:asciiTheme="majorHAnsi" w:hAnsiTheme="majorHAnsi"/>
                <w:color w:val="2F75B5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2F75B5"/>
                <w:lang w:eastAsia="sk-SK"/>
              </w:rPr>
              <w:t> </w:t>
            </w:r>
          </w:p>
        </w:tc>
      </w:tr>
      <w:tr>
        <w:trPr>
          <w:trHeight w:val="126" w:hRule="atLeast"/>
        </w:trPr>
        <w:tc>
          <w:tcPr>
            <w:tcW w:w="5244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Times New Roman" w:cs="Times New Roman" w:asciiTheme="majorHAnsi" w:hAnsiTheme="majorHAnsi"/>
                <w:color w:val="000000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000000"/>
                <w:lang w:eastAsia="sk-SK"/>
              </w:rPr>
              <w:t>Z ručenia</w:t>
            </w:r>
          </w:p>
        </w:tc>
        <w:tc>
          <w:tcPr>
            <w:tcW w:w="2096" w:type="dxa"/>
            <w:gridSpan w:val="4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Cambria" w:hAnsi="Cambria" w:eastAsia="Times New Roman" w:cs="Times New Roman" w:asciiTheme="majorHAnsi" w:hAnsiTheme="majorHAnsi"/>
                <w:color w:val="2F75B5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2F75B5"/>
                <w:lang w:eastAsia="sk-SK"/>
              </w:rPr>
              <w:t> </w:t>
            </w:r>
          </w:p>
        </w:tc>
        <w:tc>
          <w:tcPr>
            <w:tcW w:w="2015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Cambria" w:hAnsi="Cambria" w:eastAsia="Times New Roman" w:cs="Times New Roman" w:asciiTheme="majorHAnsi" w:hAnsiTheme="majorHAnsi"/>
                <w:color w:val="2F75B5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2F75B5"/>
                <w:lang w:eastAsia="sk-SK"/>
              </w:rPr>
              <w:t> </w:t>
            </w:r>
          </w:p>
        </w:tc>
      </w:tr>
      <w:tr>
        <w:trPr>
          <w:trHeight w:val="144" w:hRule="atLeast"/>
        </w:trPr>
        <w:tc>
          <w:tcPr>
            <w:tcW w:w="5244" w:type="dxa"/>
            <w:gridSpan w:val="6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Times New Roman" w:cs="Times New Roman" w:asciiTheme="majorHAnsi" w:hAnsiTheme="majorHAnsi"/>
                <w:color w:val="000000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000000"/>
                <w:lang w:eastAsia="sk-SK"/>
              </w:rPr>
              <w:t>Iné podmienené záväzky</w:t>
            </w:r>
          </w:p>
        </w:tc>
        <w:tc>
          <w:tcPr>
            <w:tcW w:w="2096" w:type="dxa"/>
            <w:gridSpan w:val="4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Cambria" w:hAnsi="Cambria" w:eastAsia="Times New Roman" w:cs="Times New Roman" w:asciiTheme="majorHAnsi" w:hAnsiTheme="majorHAnsi"/>
                <w:color w:val="2F75B5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2F75B5"/>
                <w:lang w:eastAsia="sk-SK"/>
              </w:rPr>
              <w:t> </w:t>
            </w:r>
          </w:p>
        </w:tc>
        <w:tc>
          <w:tcPr>
            <w:tcW w:w="2015" w:type="dxa"/>
            <w:gridSpan w:val="2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Cambria" w:hAnsi="Cambria" w:eastAsia="Times New Roman" w:cs="Times New Roman" w:asciiTheme="majorHAnsi" w:hAnsiTheme="majorHAnsi"/>
                <w:color w:val="2F75B5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2F75B5"/>
                <w:lang w:eastAsia="sk-SK"/>
              </w:rPr>
              <w:t> </w:t>
            </w:r>
          </w:p>
        </w:tc>
      </w:tr>
      <w:tr>
        <w:trPr>
          <w:trHeight w:val="23" w:hRule="exact"/>
        </w:trPr>
        <w:tc>
          <w:tcPr>
            <w:tcW w:w="1000" w:type="dxa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46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Cambria" w:hAnsi="Cambria" w:eastAsia="Times New Roman" w:cs="Arial" w:asciiTheme="majorHAnsi" w:hAnsiTheme="majorHAnsi"/>
                <w:color w:val="2F75B5"/>
                <w:lang w:eastAsia="sk-SK"/>
              </w:rPr>
            </w:pPr>
            <w:r>
              <w:rPr>
                <w:rFonts w:eastAsia="Times New Roman" w:cs="Arial" w:ascii="Cambria" w:hAnsi="Cambria"/>
                <w:color w:val="2F75B5"/>
                <w:lang w:eastAsia="sk-SK"/>
              </w:rPr>
            </w:r>
          </w:p>
        </w:tc>
        <w:tc>
          <w:tcPr>
            <w:tcW w:w="960" w:type="dxa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Times New Roman" w:cs="Times New Roman" w:asciiTheme="majorHAnsi" w:hAnsiTheme="majorHAnsi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/>
                <w:sz w:val="20"/>
                <w:szCs w:val="20"/>
                <w:lang w:eastAsia="sk-SK"/>
              </w:rPr>
            </w:r>
          </w:p>
        </w:tc>
        <w:tc>
          <w:tcPr>
            <w:tcW w:w="1060" w:type="dxa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Times New Roman" w:cs="Times New Roman" w:asciiTheme="majorHAnsi" w:hAnsiTheme="majorHAnsi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/>
                <w:sz w:val="20"/>
                <w:szCs w:val="20"/>
                <w:lang w:eastAsia="sk-SK"/>
              </w:rPr>
            </w:r>
          </w:p>
        </w:tc>
        <w:tc>
          <w:tcPr>
            <w:tcW w:w="1120" w:type="dxa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Times New Roman" w:cs="Times New Roman" w:asciiTheme="majorHAnsi" w:hAnsiTheme="majorHAnsi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/>
                <w:sz w:val="20"/>
                <w:szCs w:val="20"/>
                <w:lang w:eastAsia="sk-SK"/>
              </w:rPr>
            </w:r>
          </w:p>
        </w:tc>
        <w:tc>
          <w:tcPr>
            <w:tcW w:w="1039" w:type="dxa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Times New Roman" w:cs="Times New Roman" w:asciiTheme="majorHAnsi" w:hAnsiTheme="majorHAnsi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/>
                <w:sz w:val="20"/>
                <w:szCs w:val="20"/>
                <w:lang w:eastAsia="sk-SK"/>
              </w:rPr>
            </w:r>
          </w:p>
        </w:tc>
        <w:tc>
          <w:tcPr>
            <w:tcW w:w="160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Times New Roman" w:cs="Times New Roman" w:asciiTheme="majorHAnsi" w:hAnsiTheme="majorHAnsi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/>
                <w:sz w:val="20"/>
                <w:szCs w:val="20"/>
                <w:lang w:eastAsia="sk-SK"/>
              </w:rPr>
            </w:r>
          </w:p>
        </w:tc>
        <w:tc>
          <w:tcPr>
            <w:tcW w:w="1840" w:type="dxa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Times New Roman" w:cs="Times New Roman" w:asciiTheme="majorHAnsi" w:hAnsiTheme="majorHAnsi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/>
                <w:sz w:val="20"/>
                <w:szCs w:val="20"/>
                <w:lang w:eastAsia="sk-SK"/>
              </w:rPr>
            </w:r>
          </w:p>
        </w:tc>
        <w:tc>
          <w:tcPr>
            <w:tcW w:w="160" w:type="dxa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00"/>
              <w:jc w:val="right"/>
              <w:rPr>
                <w:rFonts w:ascii="Cambria" w:hAnsi="Cambria" w:eastAsia="Times New Roman" w:cs="Times New Roman" w:asciiTheme="majorHAnsi" w:hAnsiTheme="majorHAnsi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/>
                <w:sz w:val="20"/>
                <w:szCs w:val="20"/>
                <w:lang w:eastAsia="sk-SK"/>
              </w:rPr>
            </w:r>
          </w:p>
        </w:tc>
        <w:tc>
          <w:tcPr>
            <w:tcW w:w="1800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00"/>
              <w:jc w:val="right"/>
              <w:rPr>
                <w:rFonts w:ascii="Cambria" w:hAnsi="Cambria" w:eastAsia="Times New Roman" w:cs="Times New Roman" w:asciiTheme="majorHAnsi" w:hAnsiTheme="majorHAnsi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/>
                <w:sz w:val="20"/>
                <w:szCs w:val="20"/>
                <w:lang w:eastAsia="sk-SK"/>
              </w:rPr>
            </w:r>
          </w:p>
        </w:tc>
        <w:tc>
          <w:tcPr>
            <w:tcW w:w="216" w:type="dxa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00"/>
              <w:jc w:val="right"/>
              <w:rPr>
                <w:rFonts w:ascii="Cambria" w:hAnsi="Cambria" w:eastAsia="Times New Roman" w:cs="Times New Roman" w:asciiTheme="majorHAnsi" w:hAnsiTheme="majorHAnsi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/>
                <w:sz w:val="20"/>
                <w:szCs w:val="20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1960" w:type="dxa"/>
            <w:gridSpan w:val="2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4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Times New Roman" w:cs="Arial" w:asciiTheme="majorHAnsi" w:hAnsiTheme="majorHAnsi"/>
                <w:lang w:eastAsia="sk-SK"/>
              </w:rPr>
            </w:pPr>
            <w:r>
              <w:rPr>
                <w:rFonts w:eastAsia="Times New Roman" w:cs="Arial" w:ascii="Cambria" w:hAnsi="Cambria"/>
                <w:lang w:eastAsia="sk-SK"/>
              </w:rPr>
            </w:r>
          </w:p>
        </w:tc>
        <w:tc>
          <w:tcPr>
            <w:tcW w:w="1060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Times New Roman" w:cs="Arial" w:asciiTheme="majorHAnsi" w:hAnsiTheme="majorHAnsi"/>
                <w:lang w:eastAsia="sk-SK"/>
              </w:rPr>
            </w:pPr>
            <w:r>
              <w:rPr>
                <w:rFonts w:eastAsia="Times New Roman" w:cs="Arial" w:ascii="Cambria" w:hAnsi="Cambria"/>
                <w:lang w:eastAsia="sk-SK"/>
              </w:rPr>
            </w:r>
          </w:p>
        </w:tc>
        <w:tc>
          <w:tcPr>
            <w:tcW w:w="1120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Times New Roman" w:cs="Times New Roman" w:asciiTheme="majorHAnsi" w:hAnsiTheme="majorHAnsi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/>
                <w:sz w:val="20"/>
                <w:szCs w:val="20"/>
                <w:lang w:eastAsia="sk-SK"/>
              </w:rPr>
            </w:r>
          </w:p>
        </w:tc>
        <w:tc>
          <w:tcPr>
            <w:tcW w:w="1039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Times New Roman" w:cs="Times New Roman" w:asciiTheme="majorHAnsi" w:hAnsiTheme="majorHAnsi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/>
                <w:sz w:val="20"/>
                <w:szCs w:val="20"/>
                <w:lang w:eastAsia="sk-SK"/>
              </w:rPr>
            </w:r>
          </w:p>
        </w:tc>
        <w:tc>
          <w:tcPr>
            <w:tcW w:w="160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Times New Roman" w:cs="Times New Roman" w:asciiTheme="majorHAnsi" w:hAnsiTheme="majorHAnsi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/>
                <w:sz w:val="20"/>
                <w:szCs w:val="20"/>
                <w:lang w:eastAsia="sk-SK"/>
              </w:rPr>
            </w:r>
          </w:p>
        </w:tc>
        <w:tc>
          <w:tcPr>
            <w:tcW w:w="1840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Times New Roman" w:cs="Times New Roman" w:asciiTheme="majorHAnsi" w:hAnsiTheme="majorHAnsi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/>
                <w:sz w:val="20"/>
                <w:szCs w:val="20"/>
                <w:lang w:eastAsia="sk-SK"/>
              </w:rPr>
            </w:r>
          </w:p>
        </w:tc>
        <w:tc>
          <w:tcPr>
            <w:tcW w:w="160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Times New Roman" w:cs="Times New Roman" w:asciiTheme="majorHAnsi" w:hAnsiTheme="majorHAnsi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/>
                <w:sz w:val="20"/>
                <w:szCs w:val="20"/>
                <w:lang w:eastAsia="sk-SK"/>
              </w:rPr>
            </w:r>
          </w:p>
        </w:tc>
        <w:tc>
          <w:tcPr>
            <w:tcW w:w="1800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Times New Roman" w:cs="Times New Roman" w:asciiTheme="majorHAnsi" w:hAnsiTheme="majorHAnsi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/>
                <w:sz w:val="20"/>
                <w:szCs w:val="20"/>
                <w:lang w:eastAsia="sk-SK"/>
              </w:rPr>
            </w:r>
          </w:p>
        </w:tc>
        <w:tc>
          <w:tcPr>
            <w:tcW w:w="216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Times New Roman" w:cs="Times New Roman" w:asciiTheme="majorHAnsi" w:hAnsiTheme="majorHAnsi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Cambria" w:hAnsi="Cambria"/>
                <w:sz w:val="20"/>
                <w:szCs w:val="20"/>
                <w:lang w:eastAsia="sk-SK"/>
              </w:rPr>
            </w:r>
          </w:p>
        </w:tc>
      </w:tr>
      <w:tr>
        <w:trPr>
          <w:trHeight w:val="443" w:hRule="atLeast"/>
        </w:trPr>
        <w:tc>
          <w:tcPr>
            <w:tcW w:w="5244" w:type="dxa"/>
            <w:gridSpan w:val="6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Times New Roman" w:cs="Times New Roman" w:asciiTheme="majorHAnsi" w:hAnsiTheme="majorHAnsi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6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Times New Roman" w:cs="Times New Roman" w:asciiTheme="majorHAnsi" w:hAnsiTheme="majorHAnsi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b/>
                <w:bCs/>
                <w:lang w:eastAsia="sk-SK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5244" w:type="dxa"/>
            <w:gridSpan w:val="6"/>
            <w:vMerge w:val="continue"/>
            <w:tcBorders>
              <w:top w:val="single" w:sz="12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Times New Roman" w:cs="Times New Roman" w:asciiTheme="majorHAnsi" w:hAnsiTheme="majorHAnsi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Cambria" w:hAnsi="Cambria"/>
                <w:b/>
                <w:bCs/>
                <w:color w:val="000000"/>
                <w:lang w:eastAsia="sk-SK"/>
              </w:rPr>
            </w:r>
          </w:p>
        </w:tc>
        <w:tc>
          <w:tcPr>
            <w:tcW w:w="2096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Times New Roman" w:cs="Times New Roman" w:asciiTheme="majorHAnsi" w:hAnsiTheme="majorHAnsi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b/>
                <w:bCs/>
                <w:lang w:eastAsia="sk-SK"/>
              </w:rPr>
              <w:t>Hodnota celkom</w:t>
            </w:r>
          </w:p>
        </w:tc>
        <w:tc>
          <w:tcPr>
            <w:tcW w:w="201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Times New Roman" w:cs="Times New Roman" w:asciiTheme="majorHAnsi" w:hAnsiTheme="majorHAnsi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b/>
                <w:bCs/>
                <w:lang w:eastAsia="sk-SK"/>
              </w:rPr>
              <w:t>Spriaznené osoby</w:t>
            </w:r>
          </w:p>
        </w:tc>
      </w:tr>
      <w:tr>
        <w:trPr>
          <w:trHeight w:val="198" w:hRule="atLeast"/>
        </w:trPr>
        <w:tc>
          <w:tcPr>
            <w:tcW w:w="5244" w:type="dxa"/>
            <w:gridSpan w:val="6"/>
            <w:tcBorders>
              <w:top w:val="single" w:sz="12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Times New Roman" w:cs="Times New Roman" w:asciiTheme="majorHAnsi" w:hAnsiTheme="majorHAnsi"/>
                <w:color w:val="000000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000000"/>
                <w:lang w:eastAsia="sk-SK"/>
              </w:rPr>
              <w:t>Zo súdnych rozhodnutí</w:t>
            </w:r>
          </w:p>
        </w:tc>
        <w:tc>
          <w:tcPr>
            <w:tcW w:w="2096" w:type="dxa"/>
            <w:gridSpan w:val="4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Cambria" w:hAnsi="Cambria" w:eastAsia="Times New Roman" w:cs="Times New Roman" w:asciiTheme="majorHAnsi" w:hAnsiTheme="majorHAnsi"/>
                <w:color w:val="2F75B5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2F75B5"/>
                <w:lang w:eastAsia="sk-SK"/>
              </w:rPr>
              <w:t> </w:t>
            </w:r>
          </w:p>
        </w:tc>
        <w:tc>
          <w:tcPr>
            <w:tcW w:w="201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Cambria" w:hAnsi="Cambria" w:eastAsia="Times New Roman" w:cs="Times New Roman" w:asciiTheme="majorHAnsi" w:hAnsiTheme="majorHAnsi"/>
                <w:color w:val="2F75B5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2F75B5"/>
                <w:lang w:eastAsia="sk-SK"/>
              </w:rPr>
              <w:t> </w:t>
            </w:r>
          </w:p>
        </w:tc>
      </w:tr>
      <w:tr>
        <w:trPr>
          <w:trHeight w:val="208" w:hRule="atLeast"/>
        </w:trPr>
        <w:tc>
          <w:tcPr>
            <w:tcW w:w="5244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Times New Roman" w:cs="Times New Roman" w:asciiTheme="majorHAnsi" w:hAnsiTheme="majorHAnsi"/>
                <w:color w:val="000000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000000"/>
                <w:lang w:eastAsia="sk-SK"/>
              </w:rPr>
              <w:t>Z poskytnutých záruk</w:t>
            </w:r>
          </w:p>
        </w:tc>
        <w:tc>
          <w:tcPr>
            <w:tcW w:w="2096" w:type="dxa"/>
            <w:gridSpan w:val="4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Cambria" w:hAnsi="Cambria" w:eastAsia="Times New Roman" w:cs="Times New Roman" w:asciiTheme="majorHAnsi" w:hAnsiTheme="majorHAnsi"/>
                <w:color w:val="2F75B5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2F75B5"/>
                <w:lang w:eastAsia="sk-SK"/>
              </w:rPr>
              <w:t> </w:t>
            </w:r>
          </w:p>
        </w:tc>
        <w:tc>
          <w:tcPr>
            <w:tcW w:w="2015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Cambria" w:hAnsi="Cambria" w:eastAsia="Times New Roman" w:cs="Times New Roman" w:asciiTheme="majorHAnsi" w:hAnsiTheme="majorHAnsi"/>
                <w:color w:val="2F75B5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2F75B5"/>
                <w:lang w:eastAsia="sk-SK"/>
              </w:rPr>
              <w:t> </w:t>
            </w:r>
          </w:p>
        </w:tc>
      </w:tr>
      <w:tr>
        <w:trPr>
          <w:trHeight w:val="240" w:hRule="atLeast"/>
        </w:trPr>
        <w:tc>
          <w:tcPr>
            <w:tcW w:w="5244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Times New Roman" w:cs="Times New Roman" w:asciiTheme="majorHAnsi" w:hAnsiTheme="majorHAnsi"/>
                <w:color w:val="000000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6" w:type="dxa"/>
            <w:gridSpan w:val="4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Cambria" w:hAnsi="Cambria" w:eastAsia="Times New Roman" w:cs="Times New Roman" w:asciiTheme="majorHAnsi" w:hAnsiTheme="majorHAnsi"/>
                <w:color w:val="2F75B5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2F75B5"/>
                <w:lang w:eastAsia="sk-SK"/>
              </w:rPr>
              <w:t> </w:t>
            </w:r>
          </w:p>
        </w:tc>
        <w:tc>
          <w:tcPr>
            <w:tcW w:w="2015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Cambria" w:hAnsi="Cambria" w:eastAsia="Times New Roman" w:cs="Times New Roman" w:asciiTheme="majorHAnsi" w:hAnsiTheme="majorHAnsi"/>
                <w:color w:val="2F75B5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2F75B5"/>
                <w:lang w:eastAsia="sk-SK"/>
              </w:rPr>
              <w:t> </w:t>
            </w:r>
          </w:p>
        </w:tc>
      </w:tr>
      <w:tr>
        <w:trPr>
          <w:trHeight w:val="258" w:hRule="atLeast"/>
        </w:trPr>
        <w:tc>
          <w:tcPr>
            <w:tcW w:w="5244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Times New Roman" w:cs="Times New Roman" w:asciiTheme="majorHAnsi" w:hAnsiTheme="majorHAnsi"/>
                <w:color w:val="000000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6" w:type="dxa"/>
            <w:gridSpan w:val="4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Cambria" w:hAnsi="Cambria" w:eastAsia="Times New Roman" w:cs="Times New Roman" w:asciiTheme="majorHAnsi" w:hAnsiTheme="majorHAnsi"/>
                <w:color w:val="2F75B5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2F75B5"/>
                <w:lang w:eastAsia="sk-SK"/>
              </w:rPr>
              <w:t> </w:t>
            </w:r>
          </w:p>
        </w:tc>
        <w:tc>
          <w:tcPr>
            <w:tcW w:w="2015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Cambria" w:hAnsi="Cambria" w:eastAsia="Times New Roman" w:cs="Times New Roman" w:asciiTheme="majorHAnsi" w:hAnsiTheme="majorHAnsi"/>
                <w:color w:val="2F75B5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2F75B5"/>
                <w:lang w:eastAsia="sk-SK"/>
              </w:rPr>
              <w:t> </w:t>
            </w:r>
          </w:p>
        </w:tc>
      </w:tr>
      <w:tr>
        <w:trPr>
          <w:trHeight w:val="150" w:hRule="atLeast"/>
        </w:trPr>
        <w:tc>
          <w:tcPr>
            <w:tcW w:w="5244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Times New Roman" w:cs="Times New Roman" w:asciiTheme="majorHAnsi" w:hAnsiTheme="majorHAnsi"/>
                <w:color w:val="000000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000000"/>
                <w:lang w:eastAsia="sk-SK"/>
              </w:rPr>
              <w:t>Z ručenia</w:t>
            </w:r>
          </w:p>
        </w:tc>
        <w:tc>
          <w:tcPr>
            <w:tcW w:w="2096" w:type="dxa"/>
            <w:gridSpan w:val="4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Cambria" w:hAnsi="Cambria" w:eastAsia="Times New Roman" w:cs="Times New Roman" w:asciiTheme="majorHAnsi" w:hAnsiTheme="majorHAnsi"/>
                <w:color w:val="2F75B5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2F75B5"/>
                <w:lang w:eastAsia="sk-SK"/>
              </w:rPr>
              <w:t> </w:t>
            </w:r>
          </w:p>
        </w:tc>
        <w:tc>
          <w:tcPr>
            <w:tcW w:w="2015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Cambria" w:hAnsi="Cambria" w:eastAsia="Times New Roman" w:cs="Times New Roman" w:asciiTheme="majorHAnsi" w:hAnsiTheme="majorHAnsi"/>
                <w:color w:val="2F75B5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2F75B5"/>
                <w:lang w:eastAsia="sk-SK"/>
              </w:rPr>
              <w:t> </w:t>
            </w:r>
          </w:p>
        </w:tc>
      </w:tr>
      <w:tr>
        <w:trPr>
          <w:trHeight w:val="168" w:hRule="atLeast"/>
        </w:trPr>
        <w:tc>
          <w:tcPr>
            <w:tcW w:w="5244" w:type="dxa"/>
            <w:gridSpan w:val="6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Times New Roman" w:cs="Times New Roman" w:asciiTheme="majorHAnsi" w:hAnsiTheme="majorHAnsi"/>
                <w:color w:val="000000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000000"/>
                <w:lang w:eastAsia="sk-SK"/>
              </w:rPr>
              <w:t>Iné podmienené záväzky</w:t>
            </w:r>
          </w:p>
        </w:tc>
        <w:tc>
          <w:tcPr>
            <w:tcW w:w="2096" w:type="dxa"/>
            <w:gridSpan w:val="4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Cambria" w:hAnsi="Cambria" w:eastAsia="Times New Roman" w:cs="Times New Roman" w:asciiTheme="majorHAnsi" w:hAnsiTheme="majorHAnsi"/>
                <w:color w:val="2F75B5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2F75B5"/>
                <w:lang w:eastAsia="sk-SK"/>
              </w:rPr>
              <w:t> </w:t>
            </w:r>
          </w:p>
        </w:tc>
        <w:tc>
          <w:tcPr>
            <w:tcW w:w="2015" w:type="dxa"/>
            <w:gridSpan w:val="2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Cambria" w:hAnsi="Cambria" w:eastAsia="Times New Roman" w:cs="Times New Roman" w:asciiTheme="majorHAnsi" w:hAnsiTheme="majorHAnsi"/>
                <w:color w:val="2F75B5"/>
                <w:lang w:eastAsia="sk-SK"/>
              </w:rPr>
            </w:pPr>
            <w:r>
              <w:rPr>
                <w:rFonts w:eastAsia="Times New Roman" w:cs="Times New Roman" w:ascii="Cambria" w:hAnsi="Cambria" w:asciiTheme="majorHAnsi" w:hAnsiTheme="majorHAnsi"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200"/>
        <w:jc w:val="both"/>
        <w:rPr>
          <w:rFonts w:ascii="Cambria" w:hAnsi="Cambria" w:eastAsia="MS Gothic" w:cs="Times New Roman" w:asciiTheme="majorHAnsi" w:hAnsiTheme="majorHAnsi"/>
          <w:b/>
          <w:b/>
          <w:szCs w:val="24"/>
        </w:rPr>
      </w:pPr>
      <w:r>
        <w:rPr>
          <w:rFonts w:eastAsia="MS Gothic" w:cs="Times New Roman" w:ascii="Cambria" w:hAnsi="Cambria" w:asciiTheme="majorHAnsi" w:hAnsiTheme="majorHAnsi"/>
          <w:b/>
          <w:szCs w:val="24"/>
        </w:rPr>
        <w:t>Dodatočné informácie o podmienených záväzkoch:</w:t>
      </w:r>
    </w:p>
    <w:p>
      <w:pPr>
        <w:pStyle w:val="Normal"/>
        <w:spacing w:lineRule="auto" w:line="240" w:before="240" w:after="200"/>
        <w:ind w:right="0" w:hanging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     </w:t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mbria" w:hAnsi="Cambria" w:eastAsia="MS Gothic" w:cs="Arial" w:asciiTheme="majorHAnsi" w:hAnsiTheme="majorHAnsi"/>
          <w:b/>
          <w:b/>
        </w:rPr>
      </w:pPr>
      <w:r>
        <w:rPr>
          <w:rFonts w:eastAsia="MS Gothic" w:cs="Arial" w:ascii="Cambria" w:hAnsi="Cambria" w:asciiTheme="majorHAnsi" w:hAnsiTheme="majorHAnsi"/>
          <w:b/>
        </w:rPr>
        <w:t>V. 2  Ostatné významné finančné povinnosti nevykázané v účtovných výkazoch</w:t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mbria" w:hAnsi="Cambria" w:cs="Arial" w:asciiTheme="majorHAnsi" w:hAnsiTheme="majorHAnsi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tbl>
      <w:tblPr>
        <w:tblStyle w:val="Mriekatabuky"/>
        <w:tblW w:w="9071" w:type="dxa"/>
        <w:jc w:val="left"/>
        <w:tblInd w:w="103" w:type="dxa"/>
        <w:tblCellMar>
          <w:top w:w="0" w:type="dxa"/>
          <w:left w:w="92" w:type="dxa"/>
          <w:bottom w:w="0" w:type="dxa"/>
          <w:right w:w="108" w:type="dxa"/>
        </w:tblCellMar>
        <w:tblLook w:val="04a0"/>
      </w:tblPr>
      <w:tblGrid>
        <w:gridCol w:w="5669"/>
        <w:gridCol w:w="1701"/>
        <w:gridCol w:w="1701"/>
      </w:tblGrid>
      <w:tr>
        <w:trPr/>
        <w:tc>
          <w:tcPr>
            <w:tcW w:w="5669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 ostatnej finančnej povinnosti, ktorá sa nevykazuje v účtovných výkazoch</w:t>
            </w:r>
          </w:p>
        </w:tc>
        <w:tc>
          <w:tcPr>
            <w:tcW w:w="340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>
        <w:trPr/>
        <w:tc>
          <w:tcPr>
            <w:tcW w:w="5669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Hodnota</w:t>
            </w:r>
          </w:p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Hodnota voči</w:t>
            </w:r>
          </w:p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spriazneným</w:t>
            </w:r>
          </w:p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osobám</w:t>
            </w:r>
          </w:p>
        </w:tc>
      </w:tr>
      <w:tr>
        <w:trPr>
          <w:trHeight w:val="340" w:hRule="atLeast"/>
        </w:trPr>
        <w:tc>
          <w:tcPr>
            <w:tcW w:w="566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566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566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566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566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mbria" w:hAnsi="Cambria" w:cs="Arial" w:asciiTheme="majorHAnsi" w:hAnsiTheme="majorHAnsi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mbria" w:hAnsi="Cambria" w:cs="Arial" w:asciiTheme="majorHAnsi" w:hAnsiTheme="majorHAnsi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tbl>
      <w:tblPr>
        <w:tblStyle w:val="Mriekatabuky"/>
        <w:tblW w:w="9071" w:type="dxa"/>
        <w:jc w:val="left"/>
        <w:tblInd w:w="103" w:type="dxa"/>
        <w:tblCellMar>
          <w:top w:w="0" w:type="dxa"/>
          <w:left w:w="92" w:type="dxa"/>
          <w:bottom w:w="0" w:type="dxa"/>
          <w:right w:w="108" w:type="dxa"/>
        </w:tblCellMar>
        <w:tblLook w:val="04a0"/>
      </w:tblPr>
      <w:tblGrid>
        <w:gridCol w:w="5669"/>
        <w:gridCol w:w="1701"/>
        <w:gridCol w:w="1701"/>
      </w:tblGrid>
      <w:tr>
        <w:trPr/>
        <w:tc>
          <w:tcPr>
            <w:tcW w:w="5669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340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Bezprostredne predchádzajúce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účtovné obdobie</w:t>
            </w:r>
          </w:p>
        </w:tc>
      </w:tr>
      <w:tr>
        <w:trPr/>
        <w:tc>
          <w:tcPr>
            <w:tcW w:w="5669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Hodnota</w:t>
            </w:r>
          </w:p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Hodnota voči</w:t>
            </w:r>
          </w:p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spriazneným</w:t>
            </w:r>
          </w:p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osobám</w:t>
            </w:r>
          </w:p>
        </w:tc>
      </w:tr>
      <w:tr>
        <w:trPr>
          <w:trHeight w:val="340" w:hRule="atLeast"/>
        </w:trPr>
        <w:tc>
          <w:tcPr>
            <w:tcW w:w="566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566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566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566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566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mbria" w:hAnsi="Cambria" w:cs="Arial" w:asciiTheme="majorHAnsi" w:hAnsiTheme="majorHAnsi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Dodatočné informácie o ostatných finančných povinnostiach nevykázaných v účtovných výkazoch:</w:t>
      </w:r>
    </w:p>
    <w:p>
      <w:pPr>
        <w:pStyle w:val="Normal"/>
        <w:spacing w:lineRule="auto" w:line="240" w:before="240" w:after="20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     </w:t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mbria" w:hAnsi="Cambria" w:eastAsia="MS Gothic" w:cs="Arial" w:asciiTheme="majorHAnsi" w:hAnsiTheme="majorHAnsi"/>
          <w:b/>
          <w:b/>
        </w:rPr>
      </w:pPr>
      <w:r>
        <w:rPr>
          <w:rFonts w:eastAsia="MS Gothic" w:cs="Arial" w:ascii="Cambria" w:hAnsi="Cambria" w:asciiTheme="majorHAnsi" w:hAnsiTheme="majorHAnsi"/>
          <w:b/>
        </w:rPr>
        <w:t>V. 3  Informácie o údajoch na podsúvahových účtoch</w:t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tbl>
      <w:tblPr>
        <w:tblStyle w:val="Mriekatabuky"/>
        <w:tblW w:w="9212" w:type="dxa"/>
        <w:jc w:val="left"/>
        <w:tblInd w:w="103" w:type="dxa"/>
        <w:tblCellMar>
          <w:top w:w="0" w:type="dxa"/>
          <w:left w:w="92" w:type="dxa"/>
          <w:bottom w:w="0" w:type="dxa"/>
          <w:right w:w="108" w:type="dxa"/>
        </w:tblCellMar>
        <w:tblLook w:val="04a0"/>
      </w:tblPr>
      <w:tblGrid>
        <w:gridCol w:w="4606"/>
        <w:gridCol w:w="2303"/>
        <w:gridCol w:w="2303"/>
      </w:tblGrid>
      <w:tr>
        <w:trPr/>
        <w:tc>
          <w:tcPr>
            <w:tcW w:w="46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ascii="Cambria" w:hAnsi="Cambria"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ascii="Cambria" w:hAnsi="Cambria"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ascii="Cambria" w:hAnsi="Cambria"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>
        <w:trPr>
          <w:trHeight w:val="340" w:hRule="atLeast"/>
        </w:trPr>
        <w:tc>
          <w:tcPr>
            <w:tcW w:w="460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asciiTheme="majorHAnsi" w:hAnsiTheme="majorHAnsi"/>
                <w:sz w:val="20"/>
                <w:szCs w:val="20"/>
              </w:rPr>
            </w:pPr>
            <w:r>
              <w:rPr>
                <w:rFonts w:ascii="Cambria" w:hAnsi="Cambria"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asciiTheme="majorHAnsi" w:hAnsiTheme="majorHAnsi"/>
              </w:rPr>
            </w:pPr>
            <w:r>
              <w:rPr>
                <w:rFonts w:asciiTheme="majorHAnsi" w:hAnsiTheme="majorHAnsi" w:ascii="Cambria" w:hAnsi="Cambria"/>
              </w:rPr>
            </w:r>
          </w:p>
        </w:tc>
        <w:tc>
          <w:tcPr>
            <w:tcW w:w="230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asciiTheme="majorHAnsi" w:hAnsiTheme="majorHAnsi"/>
              </w:rPr>
            </w:pPr>
            <w:r>
              <w:rPr>
                <w:rFonts w:asciiTheme="majorHAnsi" w:hAnsiTheme="majorHAnsi" w:ascii="Cambria" w:hAnsi="Cambria"/>
              </w:rPr>
            </w:r>
          </w:p>
        </w:tc>
      </w:tr>
      <w:tr>
        <w:trPr>
          <w:trHeight w:val="340" w:hRule="atLeast"/>
        </w:trPr>
        <w:tc>
          <w:tcPr>
            <w:tcW w:w="460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asciiTheme="majorHAnsi" w:hAnsiTheme="majorHAnsi"/>
                <w:sz w:val="20"/>
                <w:szCs w:val="20"/>
              </w:rPr>
            </w:pPr>
            <w:r>
              <w:rPr>
                <w:rFonts w:ascii="Cambria" w:hAnsi="Cambria"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asciiTheme="majorHAnsi" w:hAnsiTheme="majorHAnsi"/>
              </w:rPr>
            </w:pPr>
            <w:r>
              <w:rPr>
                <w:rFonts w:asciiTheme="majorHAnsi" w:hAnsiTheme="majorHAnsi" w:ascii="Cambria" w:hAnsi="Cambria"/>
              </w:rPr>
            </w:r>
          </w:p>
        </w:tc>
        <w:tc>
          <w:tcPr>
            <w:tcW w:w="2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asciiTheme="majorHAnsi" w:hAnsiTheme="majorHAnsi"/>
              </w:rPr>
            </w:pPr>
            <w:r>
              <w:rPr>
                <w:rFonts w:asciiTheme="majorHAnsi" w:hAnsiTheme="majorHAnsi" w:ascii="Cambria" w:hAnsi="Cambria"/>
              </w:rPr>
            </w:r>
          </w:p>
        </w:tc>
      </w:tr>
      <w:tr>
        <w:trPr>
          <w:trHeight w:val="340" w:hRule="atLeast"/>
        </w:trPr>
        <w:tc>
          <w:tcPr>
            <w:tcW w:w="460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asciiTheme="majorHAnsi" w:hAnsiTheme="majorHAnsi"/>
                <w:sz w:val="20"/>
                <w:szCs w:val="20"/>
              </w:rPr>
            </w:pPr>
            <w:r>
              <w:rPr>
                <w:rFonts w:ascii="Cambria" w:hAnsi="Cambria"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asciiTheme="majorHAnsi" w:hAnsiTheme="majorHAnsi"/>
              </w:rPr>
            </w:pPr>
            <w:r>
              <w:rPr>
                <w:rFonts w:asciiTheme="majorHAnsi" w:hAnsiTheme="majorHAnsi" w:ascii="Cambria" w:hAnsi="Cambria"/>
              </w:rPr>
            </w:r>
          </w:p>
        </w:tc>
        <w:tc>
          <w:tcPr>
            <w:tcW w:w="2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asciiTheme="majorHAnsi" w:hAnsiTheme="majorHAnsi"/>
              </w:rPr>
            </w:pPr>
            <w:r>
              <w:rPr>
                <w:rFonts w:asciiTheme="majorHAnsi" w:hAnsiTheme="majorHAnsi" w:ascii="Cambria" w:hAnsi="Cambria"/>
              </w:rPr>
            </w:r>
          </w:p>
        </w:tc>
      </w:tr>
      <w:tr>
        <w:trPr>
          <w:trHeight w:val="340" w:hRule="atLeast"/>
        </w:trPr>
        <w:tc>
          <w:tcPr>
            <w:tcW w:w="460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asciiTheme="majorHAnsi" w:hAnsiTheme="majorHAnsi"/>
                <w:sz w:val="20"/>
                <w:szCs w:val="20"/>
              </w:rPr>
            </w:pPr>
            <w:r>
              <w:rPr>
                <w:rFonts w:ascii="Cambria" w:hAnsi="Cambria"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asciiTheme="majorHAnsi" w:hAnsiTheme="majorHAnsi"/>
              </w:rPr>
            </w:pPr>
            <w:r>
              <w:rPr>
                <w:rFonts w:asciiTheme="majorHAnsi" w:hAnsiTheme="majorHAnsi" w:ascii="Cambria" w:hAnsi="Cambria"/>
              </w:rPr>
            </w:r>
          </w:p>
        </w:tc>
        <w:tc>
          <w:tcPr>
            <w:tcW w:w="2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asciiTheme="majorHAnsi" w:hAnsiTheme="majorHAnsi"/>
              </w:rPr>
            </w:pPr>
            <w:r>
              <w:rPr>
                <w:rFonts w:asciiTheme="majorHAnsi" w:hAnsiTheme="majorHAnsi" w:ascii="Cambria" w:hAnsi="Cambria"/>
              </w:rPr>
            </w:r>
          </w:p>
        </w:tc>
      </w:tr>
      <w:tr>
        <w:trPr>
          <w:trHeight w:val="340" w:hRule="atLeast"/>
        </w:trPr>
        <w:tc>
          <w:tcPr>
            <w:tcW w:w="460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asciiTheme="majorHAnsi" w:hAnsiTheme="majorHAnsi"/>
                <w:sz w:val="20"/>
                <w:szCs w:val="20"/>
              </w:rPr>
            </w:pPr>
            <w:r>
              <w:rPr>
                <w:rFonts w:ascii="Cambria" w:hAnsi="Cambria"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asciiTheme="majorHAnsi" w:hAnsiTheme="majorHAnsi"/>
              </w:rPr>
            </w:pPr>
            <w:r>
              <w:rPr>
                <w:rFonts w:asciiTheme="majorHAnsi" w:hAnsiTheme="majorHAnsi" w:ascii="Cambria" w:hAnsi="Cambria"/>
              </w:rPr>
            </w:r>
          </w:p>
        </w:tc>
        <w:tc>
          <w:tcPr>
            <w:tcW w:w="2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asciiTheme="majorHAnsi" w:hAnsiTheme="majorHAnsi"/>
              </w:rPr>
            </w:pPr>
            <w:r>
              <w:rPr>
                <w:rFonts w:asciiTheme="majorHAnsi" w:hAnsiTheme="majorHAnsi" w:ascii="Cambria" w:hAnsi="Cambria"/>
              </w:rPr>
            </w:r>
          </w:p>
        </w:tc>
      </w:tr>
      <w:tr>
        <w:trPr>
          <w:trHeight w:val="340" w:hRule="atLeast"/>
        </w:trPr>
        <w:tc>
          <w:tcPr>
            <w:tcW w:w="460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asciiTheme="majorHAnsi" w:hAnsiTheme="majorHAnsi"/>
                <w:sz w:val="20"/>
                <w:szCs w:val="20"/>
              </w:rPr>
            </w:pPr>
            <w:r>
              <w:rPr>
                <w:rFonts w:ascii="Cambria" w:hAnsi="Cambria"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asciiTheme="majorHAnsi" w:hAnsiTheme="majorHAnsi"/>
              </w:rPr>
            </w:pPr>
            <w:r>
              <w:rPr>
                <w:rFonts w:asciiTheme="majorHAnsi" w:hAnsiTheme="majorHAnsi" w:ascii="Cambria" w:hAnsi="Cambria"/>
              </w:rPr>
            </w:r>
          </w:p>
        </w:tc>
        <w:tc>
          <w:tcPr>
            <w:tcW w:w="2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asciiTheme="majorHAnsi" w:hAnsiTheme="majorHAnsi"/>
              </w:rPr>
            </w:pPr>
            <w:r>
              <w:rPr>
                <w:rFonts w:asciiTheme="majorHAnsi" w:hAnsiTheme="majorHAnsi" w:ascii="Cambria" w:hAnsi="Cambria"/>
              </w:rPr>
            </w:r>
          </w:p>
        </w:tc>
      </w:tr>
      <w:tr>
        <w:trPr>
          <w:trHeight w:val="340" w:hRule="atLeast"/>
        </w:trPr>
        <w:tc>
          <w:tcPr>
            <w:tcW w:w="460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asciiTheme="majorHAnsi" w:hAnsiTheme="majorHAnsi"/>
                <w:sz w:val="20"/>
                <w:szCs w:val="20"/>
              </w:rPr>
            </w:pPr>
            <w:r>
              <w:rPr>
                <w:rFonts w:ascii="Cambria" w:hAnsi="Cambria"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asciiTheme="majorHAnsi" w:hAnsiTheme="majorHAnsi"/>
              </w:rPr>
            </w:pPr>
            <w:r>
              <w:rPr>
                <w:rFonts w:asciiTheme="majorHAnsi" w:hAnsiTheme="majorHAnsi" w:ascii="Cambria" w:hAnsi="Cambria"/>
              </w:rPr>
            </w:r>
          </w:p>
        </w:tc>
        <w:tc>
          <w:tcPr>
            <w:tcW w:w="2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asciiTheme="majorHAnsi" w:hAnsiTheme="majorHAnsi"/>
              </w:rPr>
            </w:pPr>
            <w:r>
              <w:rPr>
                <w:rFonts w:asciiTheme="majorHAnsi" w:hAnsiTheme="majorHAnsi" w:ascii="Cambria" w:hAnsi="Cambria"/>
              </w:rPr>
            </w:r>
          </w:p>
        </w:tc>
      </w:tr>
      <w:tr>
        <w:trPr>
          <w:trHeight w:val="340" w:hRule="atLeast"/>
        </w:trPr>
        <w:tc>
          <w:tcPr>
            <w:tcW w:w="460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asciiTheme="majorHAnsi" w:hAnsiTheme="majorHAnsi"/>
                <w:sz w:val="20"/>
                <w:szCs w:val="20"/>
              </w:rPr>
            </w:pPr>
            <w:r>
              <w:rPr>
                <w:rFonts w:ascii="Cambria" w:hAnsi="Cambria"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asciiTheme="majorHAnsi" w:hAnsiTheme="majorHAnsi"/>
              </w:rPr>
            </w:pPr>
            <w:r>
              <w:rPr>
                <w:rFonts w:asciiTheme="majorHAnsi" w:hAnsiTheme="majorHAnsi" w:ascii="Cambria" w:hAnsi="Cambria"/>
              </w:rPr>
            </w:r>
          </w:p>
        </w:tc>
        <w:tc>
          <w:tcPr>
            <w:tcW w:w="2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asciiTheme="majorHAnsi" w:hAnsiTheme="majorHAnsi"/>
              </w:rPr>
            </w:pPr>
            <w:r>
              <w:rPr>
                <w:rFonts w:asciiTheme="majorHAnsi" w:hAnsiTheme="majorHAnsi" w:ascii="Cambria" w:hAnsi="Cambria"/>
              </w:rPr>
            </w:r>
          </w:p>
        </w:tc>
      </w:tr>
      <w:tr>
        <w:trPr>
          <w:trHeight w:val="340" w:hRule="atLeast"/>
        </w:trPr>
        <w:tc>
          <w:tcPr>
            <w:tcW w:w="460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asciiTheme="majorHAnsi" w:hAnsiTheme="majorHAnsi"/>
                <w:sz w:val="20"/>
                <w:szCs w:val="20"/>
              </w:rPr>
            </w:pPr>
            <w:r>
              <w:rPr>
                <w:rFonts w:ascii="Cambria" w:hAnsi="Cambria"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asciiTheme="majorHAnsi" w:hAnsiTheme="majorHAnsi"/>
              </w:rPr>
            </w:pPr>
            <w:r>
              <w:rPr>
                <w:rFonts w:asciiTheme="majorHAnsi" w:hAnsiTheme="majorHAnsi" w:ascii="Cambria" w:hAnsi="Cambria"/>
              </w:rPr>
            </w:r>
          </w:p>
        </w:tc>
        <w:tc>
          <w:tcPr>
            <w:tcW w:w="2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asciiTheme="majorHAnsi" w:hAnsiTheme="majorHAnsi"/>
              </w:rPr>
            </w:pPr>
            <w:r>
              <w:rPr>
                <w:rFonts w:asciiTheme="majorHAnsi" w:hAnsiTheme="majorHAnsi" w:ascii="Cambria" w:hAnsi="Cambria"/>
              </w:rPr>
            </w:r>
          </w:p>
        </w:tc>
      </w:tr>
      <w:tr>
        <w:trPr>
          <w:trHeight w:val="340" w:hRule="atLeast"/>
        </w:trPr>
        <w:tc>
          <w:tcPr>
            <w:tcW w:w="460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asciiTheme="majorHAnsi" w:hAnsiTheme="majorHAnsi"/>
                <w:sz w:val="20"/>
                <w:szCs w:val="20"/>
              </w:rPr>
            </w:pPr>
            <w:r>
              <w:rPr>
                <w:rFonts w:ascii="Cambria" w:hAnsi="Cambria"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asciiTheme="majorHAnsi" w:hAnsiTheme="majorHAnsi"/>
              </w:rPr>
            </w:pPr>
            <w:r>
              <w:rPr>
                <w:rFonts w:asciiTheme="majorHAnsi" w:hAnsiTheme="majorHAnsi" w:ascii="Cambria" w:hAnsi="Cambria"/>
              </w:rPr>
            </w:r>
          </w:p>
        </w:tc>
        <w:tc>
          <w:tcPr>
            <w:tcW w:w="230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asciiTheme="majorHAnsi" w:hAnsiTheme="majorHAnsi"/>
              </w:rPr>
            </w:pPr>
            <w:r>
              <w:rPr>
                <w:rFonts w:asciiTheme="majorHAnsi" w:hAnsiTheme="majorHAnsi" w:ascii="Cambria" w:hAnsi="Cambria"/>
              </w:rPr>
            </w:r>
          </w:p>
        </w:tc>
      </w:tr>
    </w:tbl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 xml:space="preserve">Dodatočné informácie o sumách na podsúvahových účtoch: </w:t>
      </w:r>
    </w:p>
    <w:p>
      <w:pPr>
        <w:pStyle w:val="Normal"/>
        <w:spacing w:lineRule="auto" w:line="240" w:before="240" w:after="20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     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VI - Udalosti, ktoré nastali po dni, ku ktorému sa zostavuje účtovná závierka</w:t>
      </w:r>
    </w:p>
    <w:tbl>
      <w:tblPr>
        <w:tblStyle w:val="Mriekatabuky"/>
        <w:tblW w:w="9071" w:type="dxa"/>
        <w:jc w:val="left"/>
        <w:tblInd w:w="103" w:type="dxa"/>
        <w:tblCellMar>
          <w:top w:w="0" w:type="dxa"/>
          <w:left w:w="92" w:type="dxa"/>
          <w:bottom w:w="0" w:type="dxa"/>
          <w:right w:w="108" w:type="dxa"/>
        </w:tblCellMar>
        <w:tblLook w:val="04a0"/>
      </w:tblPr>
      <w:tblGrid>
        <w:gridCol w:w="3968"/>
        <w:gridCol w:w="1701"/>
        <w:gridCol w:w="1701"/>
        <w:gridCol w:w="1700"/>
      </w:tblGrid>
      <w:tr>
        <w:trPr/>
        <w:tc>
          <w:tcPr>
            <w:tcW w:w="396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Zoznam udalostí, ktoré nastali alebo sú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dôsledkom okolností po dni, ku ktorému sa zostavuje účtovná závierka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Dôvod</w:t>
            </w:r>
          </w:p>
        </w:tc>
        <w:tc>
          <w:tcPr>
            <w:tcW w:w="340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Hodnota</w:t>
            </w:r>
          </w:p>
        </w:tc>
      </w:tr>
      <w:tr>
        <w:trPr/>
        <w:tc>
          <w:tcPr>
            <w:tcW w:w="39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701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17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>
        <w:trPr/>
        <w:tc>
          <w:tcPr>
            <w:tcW w:w="396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Pokles alebo zvýšenie trhovej ceny</w:t>
            </w:r>
          </w:p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</w:tr>
      <w:tr>
        <w:trPr/>
        <w:tc>
          <w:tcPr>
            <w:tcW w:w="39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Zmena výšky rezerv a opravných položiek, o ktorých sa účtovná jednotka dozvedela v hore uvedenom období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9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</w:tr>
      <w:tr>
        <w:trPr/>
        <w:tc>
          <w:tcPr>
            <w:tcW w:w="39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</w:tr>
      <w:tr>
        <w:trPr/>
        <w:tc>
          <w:tcPr>
            <w:tcW w:w="39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Zmeny významných položiek dlhodobého</w:t>
            </w:r>
          </w:p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</w:tr>
      <w:tr>
        <w:trPr/>
        <w:tc>
          <w:tcPr>
            <w:tcW w:w="39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</w:tr>
      <w:tr>
        <w:trPr/>
        <w:tc>
          <w:tcPr>
            <w:tcW w:w="39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</w:tr>
      <w:tr>
        <w:trPr/>
        <w:tc>
          <w:tcPr>
            <w:tcW w:w="39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</w:tr>
      <w:tr>
        <w:trPr/>
        <w:tc>
          <w:tcPr>
            <w:tcW w:w="39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</w:tr>
      <w:tr>
        <w:trPr/>
        <w:tc>
          <w:tcPr>
            <w:tcW w:w="396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 xml:space="preserve">Dodatočné informácie o skutočnostiach, ktoré nastali po dni, ku ktorému sa zostavuje účtovná závierka do dňa zostavenia účtovnej závierky: </w:t>
      </w:r>
    </w:p>
    <w:p>
      <w:pPr>
        <w:pStyle w:val="Normal"/>
        <w:spacing w:lineRule="auto" w:line="240" w:before="240" w:after="20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     </w:t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mbria" w:hAnsi="Cambria" w:eastAsia="MS Gothic" w:cs="Arial" w:asciiTheme="majorHAnsi" w:hAnsiTheme="majorHAnsi"/>
          <w:b/>
          <w:b/>
          <w:i/>
          <w:i/>
          <w:sz w:val="20"/>
          <w:szCs w:val="20"/>
        </w:rPr>
      </w:pPr>
      <w:r>
        <w:rPr/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mbria" w:hAnsi="Cambria" w:eastAsia="MS Gothic" w:cs="Arial" w:asciiTheme="majorHAnsi" w:hAnsiTheme="majorHAnsi"/>
          <w:b/>
          <w:b/>
          <w:i/>
          <w:i/>
          <w:sz w:val="20"/>
          <w:szCs w:val="20"/>
        </w:rPr>
      </w:pPr>
      <w:r>
        <w:rPr>
          <w:rFonts w:eastAsia="MS Gothic" w:cs="Arial" w:ascii="Cambria" w:hAnsi="Cambria" w:asciiTheme="majorHAnsi" w:hAnsiTheme="majorHAnsi"/>
          <w:b/>
          <w:i/>
          <w:sz w:val="20"/>
          <w:szCs w:val="20"/>
        </w:rPr>
        <w:t>V období medzi dňom, ku ktorému sa zostavuje účtovná závierka a dňom jej zostavenia nenastali žiadne udalosti, ktoré by mali významný vplyv na verné zobrazenie skutočností, ktoré sú predmetom účtovníctva.</w:t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mbria" w:hAnsi="Cambria" w:eastAsia="MS Gothic" w:cs="Arial" w:asciiTheme="majorHAnsi" w:hAnsiTheme="majorHAnsi"/>
          <w:i/>
          <w:i/>
          <w:sz w:val="20"/>
          <w:szCs w:val="20"/>
        </w:rPr>
      </w:pPr>
      <w:r>
        <w:rPr/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VII - Ostatné informácie</w:t>
      </w:r>
    </w:p>
    <w:p>
      <w:pPr>
        <w:pStyle w:val="Normal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 xml:space="preserve">VII. 1 a) – c)  </w:t>
      </w:r>
      <w:r>
        <w:rPr>
          <w:rFonts w:eastAsia="MS Gothic" w:cs="Arial" w:ascii="Cambria" w:hAnsi="Cambria" w:asciiTheme="majorHAnsi" w:hAnsiTheme="majorHAnsi"/>
          <w:b/>
        </w:rPr>
        <w:t xml:space="preserve">Informácie </w:t>
      </w:r>
      <w:r>
        <w:rPr>
          <w:rFonts w:cs="Arial" w:ascii="Cambria" w:hAnsi="Cambria" w:asciiTheme="majorHAnsi" w:hAnsiTheme="majorHAnsi"/>
          <w:b/>
        </w:rPr>
        <w:t>o výlučných právach alebo osobitných právach udelených účtovnej jednotke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všetkých formách prijatej náhrady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účtovných zásadách použitých pri prideľovaní nákladov a výnosov a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všetkých druhoch činnosti účtovnej jednotky.</w:t>
      </w:r>
    </w:p>
    <w:p>
      <w:pPr>
        <w:pStyle w:val="Normal"/>
        <w:spacing w:lineRule="auto" w:line="240" w:before="240" w:after="20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     </w:t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</w:rPr>
      </w:pPr>
      <w:r>
        <w:rPr>
          <w:rFonts w:eastAsia="MS Gothic" w:cs="Arial" w:ascii="Cambria" w:hAnsi="Cambria" w:asciiTheme="majorHAnsi" w:hAnsiTheme="majorHAnsi"/>
          <w:b/>
        </w:rPr>
        <w:t>VII. 2 a) a b) Informácie týkajúce sa účtovnej jednotky, na ktorú sa vzťahuje § 23d ods. 6 ZoÚ, jej činnosť   je zaradená do kategórie priemyselnej výroby a jej čistý obrat za</w:t>
      </w:r>
      <w:r>
        <w:rPr>
          <w:rFonts w:cs="Arial" w:ascii="Cambria" w:hAnsi="Cambria" w:asciiTheme="majorHAnsi" w:hAnsiTheme="majorHAnsi"/>
        </w:rPr>
        <w:t xml:space="preserve"> </w:t>
      </w:r>
      <w:r>
        <w:rPr>
          <w:rFonts w:eastAsia="MS Gothic" w:cs="Arial" w:ascii="Cambria" w:hAnsi="Cambria" w:asciiTheme="majorHAnsi" w:hAnsiTheme="majorHAnsi"/>
          <w:b/>
        </w:rPr>
        <w:t>bezprostredne predchádzajúce účtovné obdobie bol väčší ako 250 000 000 €: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tbl>
      <w:tblPr>
        <w:tblStyle w:val="Mriekatabuky"/>
        <w:tblW w:w="9212" w:type="dxa"/>
        <w:jc w:val="left"/>
        <w:tblInd w:w="103" w:type="dxa"/>
        <w:tblCellMar>
          <w:top w:w="0" w:type="dxa"/>
          <w:left w:w="92" w:type="dxa"/>
          <w:bottom w:w="0" w:type="dxa"/>
          <w:right w:w="108" w:type="dxa"/>
        </w:tblCellMar>
        <w:tblLook w:val="04a0"/>
      </w:tblPr>
      <w:tblGrid>
        <w:gridCol w:w="1842"/>
        <w:gridCol w:w="1842"/>
        <w:gridCol w:w="1842"/>
        <w:gridCol w:w="2"/>
        <w:gridCol w:w="1843"/>
        <w:gridCol w:w="1841"/>
      </w:tblGrid>
      <w:tr>
        <w:trPr/>
        <w:tc>
          <w:tcPr>
            <w:tcW w:w="1842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Informácie o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368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>
        <w:trPr/>
        <w:tc>
          <w:tcPr>
            <w:tcW w:w="1842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368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Vlastníctvo pripadajúce na:</w:t>
            </w:r>
          </w:p>
        </w:tc>
      </w:tr>
      <w:tr>
        <w:trPr/>
        <w:tc>
          <w:tcPr>
            <w:tcW w:w="1842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iné osoby,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iné osoby,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>
        <w:trPr>
          <w:trHeight w:val="340" w:hRule="atLeast"/>
        </w:trPr>
        <w:tc>
          <w:tcPr>
            <w:tcW w:w="184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184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Druh akcií/CP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  <w:tr>
        <w:trPr/>
        <w:tc>
          <w:tcPr>
            <w:tcW w:w="184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  <w:tr>
        <w:trPr/>
        <w:tc>
          <w:tcPr>
            <w:tcW w:w="184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  <w:tr>
        <w:trPr/>
        <w:tc>
          <w:tcPr>
            <w:tcW w:w="184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  <w:tr>
        <w:trPr/>
        <w:tc>
          <w:tcPr>
            <w:tcW w:w="184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  <w:tr>
        <w:trPr/>
        <w:tc>
          <w:tcPr>
            <w:tcW w:w="184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DAEEF3" w:themeFill="accent5" w:themeFillTint="33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Druh akcií/CP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DAEEF3" w:themeFill="accent5" w:themeFillTint="33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DAEEF3" w:themeFill="accent5" w:themeFillTint="33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DAEEF3" w:themeFill="accent5" w:themeFillTint="33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auto" w:fill="DAEEF3" w:themeFill="accent5" w:themeFillTint="33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  <w:tr>
        <w:trPr/>
        <w:tc>
          <w:tcPr>
            <w:tcW w:w="184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DAEEF3" w:themeFill="accent5" w:themeFillTint="33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DAEEF3" w:themeFill="accent5" w:themeFillTint="33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DAEEF3" w:themeFill="accent5" w:themeFillTint="33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DAEEF3" w:themeFill="accent5" w:themeFillTint="33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auto" w:fill="DAEEF3" w:themeFill="accent5" w:themeFillTint="33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  <w:tr>
        <w:trPr/>
        <w:tc>
          <w:tcPr>
            <w:tcW w:w="184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DAEEF3" w:themeFill="accent5" w:themeFillTint="33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DAEEF3" w:themeFill="accent5" w:themeFillTint="33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DAEEF3" w:themeFill="accent5" w:themeFillTint="33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DAEEF3" w:themeFill="accent5" w:themeFillTint="33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auto" w:fill="DAEEF3" w:themeFill="accent5" w:themeFillTint="33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  <w:tr>
        <w:trPr/>
        <w:tc>
          <w:tcPr>
            <w:tcW w:w="184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DAEEF3" w:themeFill="accent5" w:themeFillTint="33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DAEEF3" w:themeFill="accent5" w:themeFillTint="33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DAEEF3" w:themeFill="accent5" w:themeFillTint="33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DAEEF3" w:themeFill="accent5" w:themeFillTint="33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auto" w:fill="DAEEF3" w:themeFill="accent5" w:themeFillTint="33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  <w:tr>
        <w:trPr/>
        <w:tc>
          <w:tcPr>
            <w:tcW w:w="184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color="auto" w:fill="DAEEF3" w:themeFill="accent5" w:themeFillTint="33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color="auto" w:fill="DAEEF3" w:themeFill="accent5" w:themeFillTint="33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color="auto" w:fill="DAEEF3" w:themeFill="accent5" w:themeFillTint="33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color="auto" w:fill="DAEEF3" w:themeFill="accent5" w:themeFillTint="33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184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DAEEF3" w:themeFill="accent5" w:themeFillTint="33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</w:rPr>
      </w:pPr>
      <w:r>
        <w:rPr>
          <w:rFonts w:eastAsia="MS Gothic" w:cs="Arial" w:ascii="Cambria" w:hAnsi="Cambria" w:asciiTheme="majorHAnsi" w:hAnsiTheme="majorHAnsi"/>
          <w:b/>
        </w:rPr>
        <w:t>VII. 2 c) – g)  I</w:t>
      </w: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nformácie týkajúce sa účtovnej jednotky, na ktorú sa vzťahuje § 23d ods. 6 ZoÚ, jej činnosť je zaradená do kategórie priemyselnej výroby a jej čistý obrat za</w:t>
      </w:r>
      <w:r>
        <w:rPr>
          <w:rFonts w:cs="Arial" w:ascii="Cambria" w:hAnsi="Cambria" w:asciiTheme="majorHAnsi" w:hAnsiTheme="majorHAnsi"/>
          <w:sz w:val="20"/>
          <w:szCs w:val="20"/>
        </w:rPr>
        <w:t xml:space="preserve">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bezprostredne predchádzajúce účtovné obdobie bol väčší ako 250 000 000 €: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tbl>
      <w:tblPr>
        <w:tblStyle w:val="Mriekatabuky"/>
        <w:tblW w:w="9212" w:type="dxa"/>
        <w:jc w:val="left"/>
        <w:tblInd w:w="103" w:type="dxa"/>
        <w:tblCellMar>
          <w:top w:w="0" w:type="dxa"/>
          <w:left w:w="92" w:type="dxa"/>
          <w:bottom w:w="0" w:type="dxa"/>
          <w:right w:w="108" w:type="dxa"/>
        </w:tblCellMar>
        <w:tblLook w:val="04a0"/>
      </w:tblPr>
      <w:tblGrid>
        <w:gridCol w:w="3453"/>
        <w:gridCol w:w="2879"/>
        <w:gridCol w:w="2880"/>
      </w:tblGrid>
      <w:tr>
        <w:trPr/>
        <w:tc>
          <w:tcPr>
            <w:tcW w:w="3453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Informácie o výške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Suma</w:t>
            </w:r>
          </w:p>
        </w:tc>
      </w:tr>
      <w:tr>
        <w:trPr/>
        <w:tc>
          <w:tcPr>
            <w:tcW w:w="3453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287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45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288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45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45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45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Poskytnuté prečerpania úverov</w:t>
            </w:r>
          </w:p>
        </w:tc>
        <w:tc>
          <w:tcPr>
            <w:tcW w:w="2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45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45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45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45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45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Záruky poskytnuté inou účtovnou jednotkou, v ktorej má orgán verejnej moci väčšinový podiel na hlasovacích právach</w:t>
            </w:r>
          </w:p>
        </w:tc>
        <w:tc>
          <w:tcPr>
            <w:tcW w:w="2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45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45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45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</w:tbl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VII. 3  Informácie týkajúce sa účtovnej jednotky, na ktorú sa vzťahuje § 23d ods. 6 ZoÚ, jej činnosť je zaradená do kategórie priemyselnej výroby a jej čistý obrat za bezprostredne predchádzajúce účtovné obdobie bol väčší ako 250 000 000 € -  finančné vzťahy  medzi orgánom verejnej moci a účtovnou jednotkou: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tbl>
      <w:tblPr>
        <w:tblStyle w:val="Mriekatabuky"/>
        <w:tblW w:w="9212" w:type="dxa"/>
        <w:jc w:val="left"/>
        <w:tblInd w:w="103" w:type="dxa"/>
        <w:tblCellMar>
          <w:top w:w="0" w:type="dxa"/>
          <w:left w:w="92" w:type="dxa"/>
          <w:bottom w:w="0" w:type="dxa"/>
          <w:right w:w="108" w:type="dxa"/>
        </w:tblCellMar>
        <w:tblLook w:val="04a0"/>
      </w:tblPr>
      <w:tblGrid>
        <w:gridCol w:w="3453"/>
        <w:gridCol w:w="2879"/>
        <w:gridCol w:w="2880"/>
      </w:tblGrid>
      <w:tr>
        <w:trPr/>
        <w:tc>
          <w:tcPr>
            <w:tcW w:w="3453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Informácie o</w:t>
            </w:r>
          </w:p>
        </w:tc>
        <w:tc>
          <w:tcPr>
            <w:tcW w:w="575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Suma</w:t>
            </w:r>
          </w:p>
        </w:tc>
      </w:tr>
      <w:tr>
        <w:trPr/>
        <w:tc>
          <w:tcPr>
            <w:tcW w:w="3453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287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45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288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45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45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45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45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45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45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45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Arial" w:ascii="Cambria" w:hAnsi="Cambria"/>
                <w:b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  <w:t>Rúbaň 27.03.2018</w:t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/>
      </w:r>
    </w:p>
    <w:p>
      <w:pPr>
        <w:pStyle w:val="Normal"/>
        <w:spacing w:lineRule="auto" w:line="240" w:before="240" w:after="200"/>
        <w:jc w:val="both"/>
        <w:rPr/>
      </w:pPr>
      <w:r>
        <w:rPr>
          <w:rFonts w:eastAsia="MS Gothic" w:cs="Arial" w:ascii="Cambria" w:hAnsi="Cambria" w:asciiTheme="majorHAnsi" w:hAnsiTheme="majorHAnsi"/>
          <w:i/>
          <w:sz w:val="20"/>
          <w:szCs w:val="20"/>
        </w:rPr>
        <w:t xml:space="preserve"> </w:t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240" w:after="200"/>
        <w:jc w:val="right"/>
        <w:rPr>
          <w:rFonts w:ascii="Cambria" w:hAnsi="Cambria" w:eastAsia="MS Gothic" w:cs="Arial" w:asciiTheme="majorHAnsi" w:hAnsiTheme="majorHAnsi"/>
          <w:b/>
          <w:b/>
          <w:i/>
          <w:i/>
          <w:sz w:val="20"/>
          <w:szCs w:val="20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S Mincho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"/>
      </w:docPartObj>
      <w:id w:val="1222970491"/>
      <w:alias w:val="Title"/>
    </w:sdtPr>
    <w:sdtContent>
      <w:p>
        <w:pPr>
          <w:pStyle w:val="Zpat"/>
          <w:jc w:val="right"/>
          <w:rPr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18</w:t>
        </w:r>
        <w:r>
          <w:fldChar w:fldCharType="end"/>
        </w:r>
      </w:p>
    </w:sdtContent>
  </w:sdt>
  <w:p>
    <w:pPr>
      <w:pStyle w:val="Zpa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Zhlav"/>
      <w:jc w:val="right"/>
      <w:rPr>
        <w:color w:val="365F91" w:themeColor="accent1" w:themeShade="bf"/>
        <w:sz w:val="36"/>
        <w:szCs w:val="36"/>
      </w:rPr>
    </w:pPr>
    <w:r>
      <mc:AlternateContent>
        <mc:Choice Requires="wpg">
          <w:drawing>
            <wp:anchor behindDoc="1" distT="0" distB="0" distL="114300" distR="114300" simplePos="0" locked="0" layoutInCell="1" allowOverlap="1" relativeHeight="19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53205" cy="953135"/>
              <wp:effectExtent l="0" t="0" r="0" b="0"/>
              <wp:wrapNone/>
              <wp:docPr id="1" name="Group 6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907800">
                        <a:off x="0" y="0"/>
                        <a:ext cx="4052520" cy="952560"/>
                      </a:xfrm>
                    </wpg:grpSpPr>
                    <wps:wsp>
                      <wps:cNvSpPr/>
                      <wps:spPr>
                        <a:xfrm>
                          <a:off x="530280" y="0"/>
                          <a:ext cx="3522240" cy="952560"/>
                        </a:xfrm>
                        <a:prstGeom prst="line">
                          <a:avLst/>
                        </a:prstGeom>
                        <a:ln>
                          <a:solidFill>
                            <a:srgbClr val="95b3d7"/>
                          </a:solidFill>
                        </a:ln>
                      </wps:spPr>
                      <wps:bodyPr/>
                    </wps:wsp>
                    <wps:wsp>
                      <wps:cNvSpPr/>
                      <wps:spPr>
                        <a:xfrm rot="21550200">
                          <a:off x="3600" y="277560"/>
                          <a:ext cx="562680" cy="536040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rgbClr val="95b3d7"/>
                            </a:gs>
                            <a:gs pos="100000">
                              <a:srgbClr val="95b3d7"/>
                            </a:gs>
                          </a:gsLst>
                          <a:lin ang="0"/>
                        </a:gra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63" style="position:absolute;margin-left:9.35pt;margin-top:0.05pt;width:318.75pt;height:74.95pt" coordorigin="187,1" coordsize="6375,1499">
              <v:line id="shape_0" from="1015,0" to="6561,1499" stroked="t" style="position:absolute;mso-position-horizontal:left;mso-position-horizontal-relative:page;mso-position-vertical:top;mso-position-vertical-relative:page">
                <v:stroke color="#95b3d7" joinstyle="round" endcap="flat"/>
                <v:fill on="false" o:detectmouseclick="t"/>
              </v:line>
              <v:oval id="shape_0" fillcolor="#95b3d7" stroked="f" style="position:absolute;left:186;top:450;width:885;height:843;rotation:359;mso-position-horizontal:left;mso-position-horizontal-relative:page;mso-position-vertical:top;mso-position-vertical-relative:page">
                <w10:wrap type="none"/>
                <v:fill color2="#95b3d7" o:detectmouseclick="t"/>
                <v:stroke color="#3465a4" joinstyle="round" endcap="flat"/>
              </v:oval>
            </v:group>
          </w:pict>
        </mc:Fallback>
      </mc:AlternateContent>
    </w:r>
    <w:r>
      <w:rPr>
        <w:rFonts w:ascii="Cambria" w:hAnsi="Cambria" w:asciiTheme="majorHAnsi" w:hAnsiTheme="majorHAnsi"/>
        <w:sz w:val="36"/>
        <w:szCs w:val="36"/>
      </w:rPr>
      <w:t>Poznámky Úč PODV 3 - 01</w:t>
    </w:r>
  </w:p>
  <w:p>
    <w:pPr>
      <w:pStyle w:val="Zhlav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Zhlav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tbl>
    <w:tblPr>
      <w:tblStyle w:val="Mriekatabuky"/>
      <w:tblW w:w="7987" w:type="dxa"/>
      <w:jc w:val="right"/>
      <w:tblInd w:w="0" w:type="dxa"/>
      <w:tblCellMar>
        <w:top w:w="0" w:type="dxa"/>
        <w:left w:w="103" w:type="dxa"/>
        <w:bottom w:w="0" w:type="dxa"/>
        <w:right w:w="108" w:type="dxa"/>
      </w:tblCellMar>
      <w:tblLook w:val="04a0"/>
    </w:tblPr>
    <w:tblGrid>
      <w:gridCol w:w="622"/>
      <w:gridCol w:w="329"/>
      <w:gridCol w:w="327"/>
      <w:gridCol w:w="328"/>
      <w:gridCol w:w="328"/>
      <w:gridCol w:w="328"/>
      <w:gridCol w:w="328"/>
      <w:gridCol w:w="328"/>
      <w:gridCol w:w="327"/>
      <w:gridCol w:w="851"/>
      <w:gridCol w:w="623"/>
      <w:gridCol w:w="328"/>
      <w:gridCol w:w="328"/>
      <w:gridCol w:w="328"/>
      <w:gridCol w:w="327"/>
      <w:gridCol w:w="329"/>
      <w:gridCol w:w="327"/>
      <w:gridCol w:w="328"/>
      <w:gridCol w:w="328"/>
      <w:gridCol w:w="328"/>
      <w:gridCol w:w="315"/>
    </w:tblGrid>
    <w:tr>
      <w:trPr>
        <w:trHeight w:val="340" w:hRule="atLeast"/>
      </w:trPr>
      <w:tc>
        <w:tcPr>
          <w:tcW w:w="622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Zhlav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IČO:</w:t>
          </w:r>
        </w:p>
      </w:tc>
      <w:tc>
        <w:tcPr>
          <w:tcW w:w="329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Zhlav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Zhlav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6</w:t>
          </w:r>
        </w:p>
      </w:tc>
      <w:tc>
        <w:tcPr>
          <w:tcW w:w="328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Zhlav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5</w:t>
          </w:r>
        </w:p>
      </w:tc>
      <w:tc>
        <w:tcPr>
          <w:tcW w:w="328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Zhlav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5</w:t>
          </w:r>
        </w:p>
      </w:tc>
      <w:tc>
        <w:tcPr>
          <w:tcW w:w="328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Zhlav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9</w:t>
          </w:r>
        </w:p>
      </w:tc>
      <w:tc>
        <w:tcPr>
          <w:tcW w:w="328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Zhlav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0</w:t>
          </w:r>
        </w:p>
      </w:tc>
      <w:tc>
        <w:tcPr>
          <w:tcW w:w="328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Zhlav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8</w:t>
          </w:r>
        </w:p>
      </w:tc>
      <w:tc>
        <w:tcPr>
          <w:tcW w:w="327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Zhlav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  <w:insideH w:val="nil"/>
          </w:tcBorders>
          <w:shd w:fill="auto" w:val="clear"/>
          <w:tcMar>
            <w:left w:w="103" w:type="dxa"/>
          </w:tcMar>
          <w:vAlign w:val="center"/>
        </w:tcPr>
        <w:p>
          <w:pPr>
            <w:pStyle w:val="Zhlav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</w:r>
        </w:p>
      </w:tc>
      <w:tc>
        <w:tcPr>
          <w:tcW w:w="623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Zhlav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DIČ:</w:t>
          </w:r>
        </w:p>
      </w:tc>
      <w:tc>
        <w:tcPr>
          <w:tcW w:w="328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Zhlav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328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Zhlav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0</w:t>
          </w:r>
        </w:p>
      </w:tc>
      <w:tc>
        <w:tcPr>
          <w:tcW w:w="328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Zhlav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Zhlav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1</w:t>
          </w:r>
        </w:p>
      </w:tc>
      <w:tc>
        <w:tcPr>
          <w:tcW w:w="329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Zhlav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8</w:t>
          </w:r>
        </w:p>
      </w:tc>
      <w:tc>
        <w:tcPr>
          <w:tcW w:w="327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Zhlav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1</w:t>
          </w:r>
        </w:p>
      </w:tc>
      <w:tc>
        <w:tcPr>
          <w:tcW w:w="328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Zhlav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4</w:t>
          </w:r>
        </w:p>
      </w:tc>
      <w:tc>
        <w:tcPr>
          <w:tcW w:w="328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Zhlav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1</w:t>
          </w:r>
        </w:p>
      </w:tc>
      <w:tc>
        <w:tcPr>
          <w:tcW w:w="328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Zhlav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4</w:t>
          </w:r>
        </w:p>
      </w:tc>
      <w:tc>
        <w:tcPr>
          <w:tcW w:w="315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Zhlav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6</w:t>
          </w:r>
        </w:p>
      </w:tc>
    </w:tr>
  </w:tbl>
  <w:p>
    <w:pPr>
      <w:pStyle w:val="Zhlav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Zhlav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ind w:left="3276" w:hanging="360"/>
      </w:pPr>
      <w:rPr>
        <w:sz w:val="20"/>
        <w:b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2"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4205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paragraph" w:styleId="Nadpis1">
    <w:name w:val="Nadpis 1"/>
    <w:basedOn w:val="Normal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dpis2">
    <w:name w:val="Nadpis 2"/>
    <w:basedOn w:val="Normal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f0301d"/>
    <w:rPr/>
  </w:style>
  <w:style w:type="character" w:styleId="PtaChar" w:customStyle="1">
    <w:name w:val="Päta Char"/>
    <w:basedOn w:val="DefaultParagraphFont"/>
    <w:link w:val="Pta"/>
    <w:uiPriority w:val="99"/>
    <w:qFormat/>
    <w:rsid w:val="00f0301d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rsid w:val="006a748c"/>
    <w:rPr>
      <w:color w:val="808080"/>
    </w:rPr>
  </w:style>
  <w:style w:type="character" w:styleId="Nadpis1Char" w:customStyle="1">
    <w:name w:val="Nadpis 1 Char"/>
    <w:basedOn w:val="DefaultParagraphFont"/>
    <w:link w:val="Nadpis1"/>
    <w:uiPriority w:val="9"/>
    <w:qFormat/>
    <w:rsid w:val="00cc0c09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ZHornokrajformulraChar" w:customStyle="1">
    <w:name w:val="z-Horný okraj formulára Char"/>
    <w:basedOn w:val="DefaultParagraphFont"/>
    <w:link w:val="z-Hornokrajformulra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ZSpodnokrajformulraChar" w:customStyle="1">
    <w:name w:val="z-Spodný okraj formulára Char"/>
    <w:basedOn w:val="DefaultParagraphFont"/>
    <w:link w:val="z-Spodnokrajformulra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93dc7"/>
    <w:rPr>
      <w:sz w:val="16"/>
      <w:szCs w:val="16"/>
    </w:rPr>
  </w:style>
  <w:style w:type="character" w:styleId="TextkomentraChar" w:customStyle="1">
    <w:name w:val="Text komentára Char"/>
    <w:basedOn w:val="DefaultParagraphFont"/>
    <w:link w:val="Textkomentra"/>
    <w:uiPriority w:val="99"/>
    <w:semiHidden/>
    <w:qFormat/>
    <w:rsid w:val="00c93dc7"/>
    <w:rPr>
      <w:sz w:val="20"/>
      <w:szCs w:val="20"/>
    </w:rPr>
  </w:style>
  <w:style w:type="character" w:styleId="PredmetkomentraChar" w:customStyle="1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styleId="CitciaChar" w:customStyle="1">
    <w:name w:val="Citácia Char"/>
    <w:basedOn w:val="DefaultParagraphFont"/>
    <w:link w:val="Citcia"/>
    <w:uiPriority w:val="29"/>
    <w:qFormat/>
    <w:rsid w:val="00567bed"/>
    <w:rPr>
      <w:i/>
      <w:iCs/>
      <w:color w:val="000000" w:themeColor="text1"/>
    </w:rPr>
  </w:style>
  <w:style w:type="character" w:styleId="Nadpis2Char" w:customStyle="1">
    <w:name w:val="Nadpis 2 Char"/>
    <w:basedOn w:val="DefaultParagraphFont"/>
    <w:link w:val="Nadpis2"/>
    <w:uiPriority w:val="9"/>
    <w:qFormat/>
    <w:rsid w:val="00567bed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SubtleReference">
    <w:name w:val="Subtle Reference"/>
    <w:basedOn w:val="DefaultParagraphFont"/>
    <w:uiPriority w:val="31"/>
    <w:qFormat/>
    <w:rsid w:val="00b47d63"/>
    <w:rPr>
      <w:smallCaps/>
      <w:color w:val="C0504D" w:themeColor="accent2"/>
      <w:u w:val="single"/>
    </w:rPr>
  </w:style>
  <w:style w:type="character" w:styleId="ListLabel1">
    <w:name w:val="ListLabel 1"/>
    <w:qFormat/>
    <w:rPr>
      <w:rFonts w:ascii="Cambria" w:hAnsi="Cambria"/>
      <w:b/>
      <w:sz w:val="20"/>
    </w:rPr>
  </w:style>
  <w:style w:type="character" w:styleId="ListLabel2">
    <w:name w:val="ListLabel 2"/>
    <w:qFormat/>
    <w:rPr>
      <w:b/>
      <w:sz w:val="24"/>
      <w:szCs w:val="24"/>
    </w:rPr>
  </w:style>
  <w:style w:type="character" w:styleId="ListLabel3">
    <w:name w:val="ListLabel 3"/>
    <w:qFormat/>
    <w:rPr>
      <w:rFonts w:eastAsia="MS Gothic" w:cs="Arial"/>
      <w:b/>
      <w:sz w:val="20"/>
      <w:szCs w:val="24"/>
    </w:rPr>
  </w:style>
  <w:style w:type="character" w:styleId="ListLabel4">
    <w:name w:val="ListLabel 4"/>
    <w:qFormat/>
    <w:rPr>
      <w:rFonts w:eastAsia="Times New Roman"/>
    </w:rPr>
  </w:style>
  <w:style w:type="character" w:styleId="ListLabel5">
    <w:name w:val="ListLabel 5"/>
    <w:qFormat/>
    <w:rPr>
      <w:rFonts w:eastAsia="Calibri"/>
    </w:rPr>
  </w:style>
  <w:style w:type="character" w:styleId="ListLabel6">
    <w:name w:val="ListLabel 6"/>
    <w:qFormat/>
    <w:rPr>
      <w:rFonts w:ascii="Cambria" w:hAnsi="Cambria"/>
      <w:b/>
      <w:sz w:val="20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Tělo textu"/>
    <w:basedOn w:val="Normal"/>
    <w:pPr>
      <w:spacing w:lineRule="auto" w:line="288" w:before="0" w:after="140"/>
    </w:pPr>
    <w:rPr/>
  </w:style>
  <w:style w:type="paragraph" w:styleId="Seznam">
    <w:name w:val="Seznam"/>
    <w:basedOn w:val="Tlotextu"/>
    <w:pPr/>
    <w:rPr>
      <w:rFonts w:cs="Mangal"/>
    </w:rPr>
  </w:style>
  <w:style w:type="paragraph" w:styleId="Popisek">
    <w:name w:val="Popisek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Zhlav">
    <w:name w:val="Záhlaví"/>
    <w:basedOn w:val="Normal"/>
    <w:link w:val="HlavikaChar"/>
    <w:uiPriority w:val="99"/>
    <w:unhideWhenUsed/>
    <w:rsid w:val="00f0301d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pat">
    <w:name w:val="Zápatí"/>
    <w:basedOn w:val="Normal"/>
    <w:link w:val="PtaChar"/>
    <w:uiPriority w:val="99"/>
    <w:unhideWhenUsed/>
    <w:rsid w:val="00f0301d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f0301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5300"/>
    <w:pPr>
      <w:spacing w:before="0" w:after="200"/>
      <w:ind w:left="720" w:hanging="0"/>
      <w:contextualSpacing/>
    </w:pPr>
    <w:rPr/>
  </w:style>
  <w:style w:type="paragraph" w:styleId="HTMLTopofForm">
    <w:name w:val="HTML Top of Form"/>
    <w:basedOn w:val="Normal"/>
    <w:link w:val="z-HornokrajformulraChar"/>
    <w:uiPriority w:val="99"/>
    <w:semiHidden/>
    <w:unhideWhenUsed/>
    <w:qFormat/>
    <w:rsid w:val="00361862"/>
    <w:pPr>
      <w:pBdr>
        <w:bottom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HTMLBottomofForm">
    <w:name w:val="HTML Bottom of Form"/>
    <w:basedOn w:val="Normal"/>
    <w:link w:val="z-SpodnokrajformulraChar"/>
    <w:uiPriority w:val="99"/>
    <w:semiHidden/>
    <w:unhideWhenUsed/>
    <w:qFormat/>
    <w:rsid w:val="00361862"/>
    <w:pPr>
      <w:pBdr>
        <w:top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195675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paragraph" w:styleId="Annotationtext">
    <w:name w:val="annotation text"/>
    <w:basedOn w:val="Normal"/>
    <w:link w:val="TextkomentraChar"/>
    <w:uiPriority w:val="99"/>
    <w:semiHidden/>
    <w:unhideWhenUsed/>
    <w:qFormat/>
    <w:rsid w:val="00c93dc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PredmetkomentraChar"/>
    <w:uiPriority w:val="99"/>
    <w:semiHidden/>
    <w:unhideWhenUsed/>
    <w:qFormat/>
    <w:rsid w:val="00c93dc7"/>
    <w:pPr/>
    <w:rPr>
      <w:b/>
      <w:bCs/>
    </w:rPr>
  </w:style>
  <w:style w:type="paragraph" w:styleId="Quote">
    <w:name w:val="Quote"/>
    <w:basedOn w:val="Normal"/>
    <w:link w:val="CitciaChar"/>
    <w:uiPriority w:val="29"/>
    <w:qFormat/>
    <w:rsid w:val="00567bed"/>
    <w:pPr/>
    <w:rPr>
      <w:i/>
      <w:iCs/>
      <w:color w:val="000000" w:themeColor="text1"/>
    </w:rPr>
  </w:style>
  <w:style w:type="paragraph" w:styleId="Obsahtabulky">
    <w:name w:val="Obsah tabulky"/>
    <w:basedOn w:val="Normal"/>
    <w:qFormat/>
    <w:pPr/>
    <w:rPr/>
  </w:style>
  <w:style w:type="paragraph" w:styleId="Nadpistabulky">
    <w:name w:val="Nadpis tabulky"/>
    <w:basedOn w:val="Obsahtabulky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glossaryDocument" Target="glossary/document.xml"/><Relationship Id="rId9" Type="http://schemas.openxmlformats.org/officeDocument/2006/relationships/customXml" Target="../customXml/item1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Textzstupnhosymbolu"/>
            </w:rPr>
            <w:t>Choose an item.</w:t>
          </w:r>
        </w:p>
      </w:docPartBody>
    </w:docPart>
    <w:docPart>
      <w:docPartPr>
        <w:name w:val="6E5BC754153D47879BB3C121D4C8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2369-F24A-4382-B55F-B67B69CDA7D3}"/>
      </w:docPartPr>
      <w:docPartBody>
        <w:p w:rsidR="00C731F6" w:rsidRDefault="00C731F6" w:rsidP="00C731F6">
          <w:pPr>
            <w:pStyle w:val="6E5BC754153D47879BB3C121D4C8E11C"/>
          </w:pPr>
          <w:r w:rsidRPr="00382CB3">
            <w:rPr>
              <w:rStyle w:val="Textzstupnhosymbolu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297AA4"/>
    <w:rsid w:val="002D5101"/>
    <w:rsid w:val="004D37E1"/>
    <w:rsid w:val="00505AE4"/>
    <w:rsid w:val="005D39AB"/>
    <w:rsid w:val="005F76D2"/>
    <w:rsid w:val="00734361"/>
    <w:rsid w:val="00765710"/>
    <w:rsid w:val="008560A4"/>
    <w:rsid w:val="008B615A"/>
    <w:rsid w:val="009A4CBA"/>
    <w:rsid w:val="00A108B6"/>
    <w:rsid w:val="00A319A9"/>
    <w:rsid w:val="00A64B9E"/>
    <w:rsid w:val="00C731F6"/>
    <w:rsid w:val="00C80211"/>
    <w:rsid w:val="00CE0B5C"/>
    <w:rsid w:val="00CF451A"/>
    <w:rsid w:val="00D96ED7"/>
    <w:rsid w:val="00DA5BD5"/>
    <w:rsid w:val="00E06618"/>
    <w:rsid w:val="00E30D79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4B9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8B17E-9212-41DA-AEC4-8EE427952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2293</TotalTime>
  <Application>LibreOffice/4.4.0.3$Windows_x86 LibreOffice_project/de093506bcdc5fafd9023ee680b8c60e3e0645d7</Application>
  <Paragraphs>616</Paragraphs>
  <Company>ATC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2018-03-02T09:18:00Z</dcterms:created>
  <dc:creator>R</dc:creator>
  <dc:language>sk-SK</dc:language>
  <cp:lastPrinted>2018-01-31T17:17:00Z</cp:lastPrinted>
  <dcterms:modified xsi:type="dcterms:W3CDTF">2018-03-28T14:23:22Z</dcterms:modified>
  <cp:revision>10</cp:revision>
  <dc:title>Poznámky Úč PODV 3 - 01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ATC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