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glossary/_rels/document.xml.rels" ContentType="application/vnd.openxmlformats-package.relationships+xml"/>
  <Override PartName="/word/glossary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bookmarkStart w:id="0" w:name="_GoBack"/>
      <w:bookmarkStart w:id="1" w:name="_GoBack"/>
      <w:bookmarkEnd w:id="1"/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informácie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I.1</w:t>
        <w:tab/>
        <w:t>Obchodné meno účtovnej jednotky:   Rúbanka, s.r.o.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(právnická osoba alebo fyzická osoba podnikateľ)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 </w:t>
      </w:r>
      <w:r>
        <w:rPr>
          <w:rFonts w:cs="Arial" w:ascii="Cambria" w:hAnsi="Cambria"/>
          <w:b/>
        </w:rPr>
        <w:t>941 36 Rúbaň 470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 podnikateľa)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 xml:space="preserve">Opis hospodárskej činnosti účtovnej jednotky: </w:t>
      </w:r>
      <w:r>
        <w:fldChar w:fldCharType="begin">
          <w:ffData>
            <w:name w:val="__Fieldmark__31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" w:name="Text21"/>
      <w:bookmarkStart w:id="3" w:name="__Fieldmark__31_1457545148"/>
      <w:bookmarkStart w:id="4" w:name="__Fieldmark__31_1457545148"/>
      <w:bookmarkEnd w:id="2"/>
      <w:bookmarkEnd w:id="4"/>
      <w:r>
        <w:rPr>
          <w:rFonts w:cs="Arial" w:ascii="Cambria" w:hAnsi="Cambria"/>
          <w:b/>
        </w:rPr>
      </w:r>
      <w:bookmarkStart w:id="5" w:name="Text214"/>
      <w:r>
        <w:rPr>
          <w:rFonts w:cs="Arial" w:ascii="Cambria" w:hAnsi="Cambria"/>
          <w:b/>
        </w:rPr>
        <w:t>    Pestovanie obilnín a služby spojené s poľnohospodárskou výrobou </w:t>
      </w:r>
      <w:bookmarkStart w:id="6" w:name="Text219"/>
      <w:bookmarkStart w:id="7" w:name="__Fieldmark__31_1457545148"/>
      <w:bookmarkEnd w:id="5"/>
      <w:bookmarkEnd w:id="6"/>
      <w:bookmarkEnd w:id="7"/>
      <w:r>
        <w:rPr>
          <w:rFonts w:cs="Arial" w:ascii="Cambria" w:hAnsi="Cambria"/>
          <w:b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fldChar w:fldCharType="begin">
          <w:ffData>
            <w:name w:val="__Fieldmark__49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Text22"/>
      <w:bookmarkStart w:id="9" w:name="__Fieldmark__49_1457545148"/>
      <w:bookmarkStart w:id="10" w:name="__Fieldmark__49_1457545148"/>
      <w:bookmarkEnd w:id="8"/>
      <w:bookmarkEnd w:id="10"/>
      <w:r>
        <w:rPr>
          <w:rFonts w:cs="Arial" w:ascii="Cambria" w:hAnsi="Cambria"/>
          <w:b/>
          <w:sz w:val="20"/>
          <w:szCs w:val="20"/>
        </w:rPr>
      </w:r>
      <w:bookmarkStart w:id="11" w:name="Text226"/>
      <w:r>
        <w:rPr>
          <w:rFonts w:cs="Arial" w:ascii="Cambria" w:hAnsi="Cambria"/>
          <w:b/>
          <w:sz w:val="20"/>
          <w:szCs w:val="20"/>
        </w:rPr>
        <w:t>    10.04.2017 </w:t>
      </w:r>
      <w:bookmarkStart w:id="12" w:name="Text2214"/>
      <w:bookmarkStart w:id="13" w:name="__Fieldmark__49_1457545148"/>
      <w:bookmarkEnd w:id="11"/>
      <w:bookmarkEnd w:id="12"/>
      <w:bookmarkEnd w:id="13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Schvaľovací orgán 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>rozhodnutie jediného spoločníka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 xml:space="preserve">Právny dôvod na zostavenie účtovnej závierky: </w:t>
      </w:r>
      <w:r>
        <w:rPr>
          <w:rFonts w:cs="Arial" w:ascii="Cambria" w:hAnsi="Cambria"/>
          <w:b/>
        </w:rPr>
      </w:r>
      <w:sdt>
        <w:sdtP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t>riadna</w:t>
          </w:r>
        </w:sdtContent>
      </w:sdt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Dôvod na zostavenie mimoriadnej účtovnej závierky: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>
            <w:t>vyberte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>Odporúčaný text v prípade riadnej účtovnej závierky: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Arial" w:ascii="Cambria" w:hAnsi="Cambria"/>
          <w:sz w:val="20"/>
          <w:szCs w:val="20"/>
        </w:rPr>
        <w:t xml:space="preserve">Účtovná závierka Spoločnosti k </w:t>
      </w:r>
      <w:r>
        <w:fldChar w:fldCharType="begin">
          <w:ffData>
            <w:name w:val="__Fieldmark__73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4" w:name="Text248"/>
      <w:bookmarkStart w:id="15" w:name="Text24"/>
      <w:bookmarkStart w:id="16" w:name="__Fieldmark__73_1457545148"/>
      <w:bookmarkStart w:id="17" w:name="__Fieldmark__73_1457545148"/>
      <w:bookmarkEnd w:id="15"/>
      <w:bookmarkEnd w:id="17"/>
      <w:r>
        <w:rPr>
          <w:rFonts w:cs="Arial" w:ascii="Cambria" w:hAnsi="Cambria"/>
          <w:sz w:val="20"/>
          <w:szCs w:val="20"/>
        </w:rPr>
        <w:t>   31.12.2017  </w:t>
      </w:r>
      <w:bookmarkStart w:id="18" w:name="Text2419"/>
      <w:bookmarkStart w:id="19" w:name="__Fieldmark__73_1457545148"/>
      <w:bookmarkEnd w:id="18"/>
      <w:bookmarkEnd w:id="19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14"/>
      <w:r>
        <w:rPr>
          <w:rFonts w:cs="Arial" w:ascii="Cambria" w:hAnsi="Cambria"/>
          <w:sz w:val="20"/>
          <w:szCs w:val="20"/>
        </w:rPr>
        <w:t xml:space="preserve"> je zostavená ako riadna účtovná závierka podľa § 17 ods. 6 zákona č. 431/2002 Z. z. o účtovníctve v platnom znení (ďalej „zákon o účtovníctve“) za účtovné obdobie od </w:t>
      </w:r>
      <w:r>
        <w:fldChar w:fldCharType="begin">
          <w:ffData>
            <w:name w:val="__Fieldmark__88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Text2510"/>
      <w:bookmarkStart w:id="21" w:name="Text25"/>
      <w:bookmarkStart w:id="22" w:name="__Fieldmark__88_1457545148"/>
      <w:bookmarkStart w:id="23" w:name="__Fieldmark__88_1457545148"/>
      <w:bookmarkEnd w:id="21"/>
      <w:bookmarkEnd w:id="23"/>
      <w:r>
        <w:rPr>
          <w:rFonts w:cs="Arial" w:ascii="Cambria" w:hAnsi="Cambria"/>
          <w:sz w:val="20"/>
          <w:szCs w:val="20"/>
        </w:rPr>
        <w:t> 01.01.    </w:t>
      </w:r>
      <w:bookmarkStart w:id="24" w:name="Text2524"/>
      <w:bookmarkStart w:id="25" w:name="__Fieldmark__88_1457545148"/>
      <w:bookmarkEnd w:id="24"/>
      <w:bookmarkEnd w:id="25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20"/>
      <w:r>
        <w:rPr>
          <w:rFonts w:cs="Arial" w:ascii="Cambria" w:hAnsi="Cambria"/>
          <w:sz w:val="20"/>
          <w:szCs w:val="20"/>
        </w:rPr>
        <w:t xml:space="preserve"> do </w:t>
      </w:r>
      <w:r>
        <w:fldChar w:fldCharType="begin">
          <w:ffData>
            <w:name w:val="__Fieldmark__103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6" w:name="Text2612"/>
      <w:bookmarkStart w:id="27" w:name="Text26"/>
      <w:bookmarkStart w:id="28" w:name="__Fieldmark__103_1457545148"/>
      <w:bookmarkStart w:id="29" w:name="__Fieldmark__103_1457545148"/>
      <w:bookmarkEnd w:id="27"/>
      <w:bookmarkEnd w:id="29"/>
      <w:r>
        <w:rPr>
          <w:rFonts w:cs="Arial" w:ascii="Cambria" w:hAnsi="Cambria"/>
          <w:sz w:val="20"/>
          <w:szCs w:val="20"/>
        </w:rPr>
        <w:t>    31.12. </w:t>
      </w:r>
      <w:bookmarkStart w:id="30" w:name="Text2629"/>
      <w:bookmarkStart w:id="31" w:name="__Fieldmark__103_1457545148"/>
      <w:bookmarkEnd w:id="30"/>
      <w:bookmarkEnd w:id="31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26"/>
      <w:r>
        <w:rPr>
          <w:rFonts w:cs="Arial" w:ascii="Cambria" w:hAnsi="Cambria"/>
          <w:sz w:val="20"/>
          <w:szCs w:val="20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I.4</w:t>
        <w:tab/>
        <w:t>Informácie o skupine účtovných jednotiek, ak je účtovná jednotka jej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Účtovná jednotka, ktorá zostavuje konsolidovanú účtovnú závierku za najväčšiu skupinu, ktorej súčasťou je účtovná jednotka ako dcérska účtovná jednotka: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122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2" w:name="Text5"/>
      <w:bookmarkStart w:id="33" w:name="__Fieldmark__122_1457545148"/>
      <w:bookmarkStart w:id="34" w:name="__Fieldmark__122_1457545148"/>
      <w:bookmarkEnd w:id="32"/>
      <w:bookmarkEnd w:id="34"/>
      <w:r>
        <w:rPr>
          <w:rFonts w:cs="Arial" w:ascii="Cambria" w:hAnsi="Cambria"/>
          <w:b/>
          <w:sz w:val="20"/>
          <w:szCs w:val="20"/>
        </w:rPr>
        <w:t>     </w:t>
      </w:r>
      <w:bookmarkStart w:id="35" w:name="Text533"/>
      <w:bookmarkStart w:id="36" w:name="__Fieldmark__122_1457545148"/>
      <w:bookmarkEnd w:id="35"/>
      <w:bookmarkEnd w:id="3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34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7" w:name="Text6"/>
      <w:bookmarkStart w:id="38" w:name="__Fieldmark__134_1457545148"/>
      <w:bookmarkStart w:id="39" w:name="__Fieldmark__134_1457545148"/>
      <w:bookmarkEnd w:id="37"/>
      <w:bookmarkEnd w:id="39"/>
      <w:r>
        <w:rPr>
          <w:rFonts w:cs="Arial" w:ascii="Cambria" w:hAnsi="Cambria"/>
          <w:b/>
          <w:sz w:val="20"/>
          <w:szCs w:val="20"/>
        </w:rPr>
        <w:t>     </w:t>
      </w:r>
      <w:bookmarkStart w:id="40" w:name="Text637"/>
      <w:bookmarkStart w:id="41" w:name="__Fieldmark__134_1457545148"/>
      <w:bookmarkEnd w:id="40"/>
      <w:bookmarkEnd w:id="4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147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2" w:name="__Fieldmark__139_1786540632"/>
      <w:bookmarkStart w:id="43" w:name="__Fieldmark__147_1457545148"/>
      <w:bookmarkStart w:id="44" w:name="__Fieldmark__147_1457545148"/>
      <w:bookmarkEnd w:id="42"/>
      <w:bookmarkEnd w:id="44"/>
      <w:r>
        <w:rPr>
          <w:rFonts w:cs="Arial" w:ascii="Cambria" w:hAnsi="Cambria"/>
          <w:b/>
          <w:sz w:val="20"/>
          <w:szCs w:val="20"/>
        </w:rPr>
        <w:t>     </w:t>
      </w:r>
      <w:bookmarkStart w:id="45" w:name="__Fieldmark__139_178654063241"/>
      <w:bookmarkStart w:id="46" w:name="__Fieldmark__147_1457545148"/>
      <w:bookmarkEnd w:id="45"/>
      <w:bookmarkEnd w:id="4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59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7" w:name="__Fieldmark__148_1786540632"/>
      <w:bookmarkStart w:id="48" w:name="__Fieldmark__159_1457545148"/>
      <w:bookmarkStart w:id="49" w:name="__Fieldmark__159_1457545148"/>
      <w:bookmarkEnd w:id="47"/>
      <w:bookmarkEnd w:id="49"/>
      <w:r>
        <w:rPr>
          <w:rFonts w:cs="Arial" w:ascii="Cambria" w:hAnsi="Cambria"/>
          <w:b/>
          <w:sz w:val="20"/>
          <w:szCs w:val="20"/>
        </w:rPr>
        <w:t>     </w:t>
      </w:r>
      <w:bookmarkStart w:id="50" w:name="__Fieldmark__148_178654063245"/>
      <w:bookmarkStart w:id="51" w:name="__Fieldmark__159_1457545148"/>
      <w:bookmarkEnd w:id="50"/>
      <w:bookmarkEnd w:id="5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172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52" w:name="__Fieldmark__158_1786540632"/>
      <w:bookmarkStart w:id="53" w:name="__Fieldmark__172_1457545148"/>
      <w:bookmarkStart w:id="54" w:name="__Fieldmark__172_1457545148"/>
      <w:bookmarkEnd w:id="52"/>
      <w:bookmarkEnd w:id="54"/>
      <w:r>
        <w:rPr>
          <w:rFonts w:cs="Arial" w:ascii="Cambria" w:hAnsi="Cambria"/>
          <w:b/>
          <w:sz w:val="20"/>
          <w:szCs w:val="20"/>
        </w:rPr>
        <w:t>     </w:t>
      </w:r>
      <w:bookmarkStart w:id="55" w:name="__Fieldmark__158_178654063249"/>
      <w:bookmarkStart w:id="56" w:name="__Fieldmark__172_1457545148"/>
      <w:bookmarkEnd w:id="55"/>
      <w:bookmarkEnd w:id="5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d)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vyberte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sdt>
        <w:sdtPr>
          <w:id w:val="789295078"/>
        </w:sdtPr>
        <w:sdtContent>
          <w:r>
            <w:rPr>
              <w:rFonts w:eastAsia="MS Mincho" w:cs="MS Mincho" w:ascii="MS Mincho" w:hAnsi="MS Mincho"/>
              <w:b/>
              <w:sz w:val="20"/>
              <w:szCs w:val="20"/>
            </w:rPr>
            <w:t>☐</w:t>
          </w:r>
        </w:sdtContent>
      </w:sdt>
      <w:r>
        <w:rPr>
          <w:rFonts w:cs="Arial" w:ascii="Cambria" w:hAnsi="Cambria" w:asciiTheme="majorHAnsi" w:hAnsiTheme="majorHAnsi"/>
          <w:b/>
          <w:sz w:val="20"/>
          <w:szCs w:val="20"/>
        </w:rPr>
        <w:tab/>
      </w:r>
      <w:r>
        <w:rPr>
          <w:rFonts w:cs="Arial" w:ascii="Cambria" w:hAnsi="Cambria" w:asciiTheme="majorHAnsi" w:hAnsiTheme="majorHAnsi"/>
          <w:sz w:val="20"/>
          <w:szCs w:val="20"/>
        </w:rPr>
        <w:t>v zmysle § 22 ods. 8 ZoÚ (oslobodenie od konsolidácie na medzistupni):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Údaje o materskej účtovnej jednotke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198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57" w:name="__Fieldmark__196_1786540632"/>
      <w:bookmarkStart w:id="58" w:name="__Fieldmark__198_1457545148"/>
      <w:bookmarkStart w:id="59" w:name="__Fieldmark__198_1457545148"/>
      <w:bookmarkEnd w:id="57"/>
      <w:bookmarkEnd w:id="59"/>
      <w:r>
        <w:rPr>
          <w:rFonts w:cs="Arial" w:ascii="Cambria" w:hAnsi="Cambria"/>
          <w:b/>
          <w:sz w:val="20"/>
          <w:szCs w:val="20"/>
        </w:rPr>
        <w:t>     </w:t>
      </w:r>
      <w:bookmarkStart w:id="60" w:name="__Fieldmark__196_178654063253"/>
      <w:bookmarkStart w:id="61" w:name="__Fieldmark__198_1457545148"/>
      <w:bookmarkEnd w:id="60"/>
      <w:bookmarkEnd w:id="6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210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2" w:name="__Fieldmark__205_1786540632"/>
      <w:bookmarkStart w:id="63" w:name="__Fieldmark__210_1457545148"/>
      <w:bookmarkStart w:id="64" w:name="__Fieldmark__210_1457545148"/>
      <w:bookmarkEnd w:id="62"/>
      <w:bookmarkEnd w:id="64"/>
      <w:r>
        <w:rPr>
          <w:rFonts w:cs="Arial" w:ascii="Cambria" w:hAnsi="Cambria"/>
          <w:b/>
          <w:sz w:val="20"/>
          <w:szCs w:val="20"/>
        </w:rPr>
        <w:t>     </w:t>
      </w:r>
      <w:bookmarkStart w:id="65" w:name="__Fieldmark__205_178654063257"/>
      <w:bookmarkStart w:id="66" w:name="__Fieldmark__210_1457545148"/>
      <w:bookmarkEnd w:id="65"/>
      <w:bookmarkEnd w:id="6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sdt>
        <w:sdtPr>
          <w:id w:val="149514982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cs="Arial" w:ascii="Cambria" w:hAnsi="Cambria"/>
          <w:b/>
        </w:rPr>
        <w:tab/>
      </w:r>
      <w:r>
        <w:rPr>
          <w:rFonts w:cs="Arial" w:ascii="Cambria" w:hAnsi="Cambria"/>
          <w:sz w:val="20"/>
          <w:szCs w:val="20"/>
        </w:rPr>
        <w:t xml:space="preserve">v zmysle § 22 ods. 10 a 12 ZoÚ (oslobodenie pri nevýznamnosti dcérskych spoločností, uvedených v prehľade): </w:t>
      </w:r>
      <w:r>
        <w:rPr>
          <w:rFonts w:cs="Arial" w:ascii="Cambria" w:hAnsi="Cambria"/>
          <w:i/>
          <w:sz w:val="20"/>
          <w:szCs w:val="20"/>
        </w:rPr>
        <w:t>počet riadkov závisí od Vašich potrieb, ak prevyšuje, prázdne odstráňte.</w:t>
      </w:r>
    </w:p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072" w:type="dxa"/>
        <w:jc w:val="left"/>
        <w:tblInd w:w="103" w:type="dxa"/>
        <w:tblCellMar>
          <w:top w:w="0" w:type="dxa"/>
          <w:left w:w="97" w:type="dxa"/>
          <w:bottom w:w="0" w:type="dxa"/>
          <w:right w:w="108" w:type="dxa"/>
        </w:tblCellMar>
        <w:tblLook w:val="04a0"/>
      </w:tblPr>
      <w:tblGrid>
        <w:gridCol w:w="3969"/>
        <w:gridCol w:w="5102"/>
      </w:tblGrid>
      <w:tr>
        <w:trPr/>
        <w:tc>
          <w:tcPr>
            <w:tcW w:w="907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Dcérska spoločnosť</w:t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Obchodné meno</w:t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Spacing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Sídlo</w:t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cs="Arial" w:ascii="Cambria" w:hAnsi="Cambria"/>
                <w:color w:val="DBE5F1" w:themeColor="accent1" w:themeTint="33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DBE5F1" w:themeFill="accent1" w:themeFillTint="33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396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51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Spacing"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  <w:t>V ďalšom vzorovom texte sa uvádza všeobecné označenie „bežné účtovné obdobie“ a „bezprostredne predchádzajúce účtovné obdobie“. Toto všeobecné označenie nahraďte pre Vás aktuálnym účtovným obdobím.  Opäť dávame do pozornosti, aby Ste text označený kurzívou, slúžiaci pre prácu so vzorovým dokumentom, následne odstránili.</w:t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I.5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2" w:type="dxa"/>
        <w:jc w:val="left"/>
        <w:tblInd w:w="103" w:type="dxa"/>
        <w:tblCellMar>
          <w:top w:w="0" w:type="dxa"/>
          <w:left w:w="83" w:type="dxa"/>
          <w:bottom w:w="0" w:type="dxa"/>
          <w:right w:w="108" w:type="dxa"/>
        </w:tblCellMar>
        <w:tblLook w:val="04a0"/>
      </w:tblPr>
      <w:tblGrid>
        <w:gridCol w:w="4307"/>
        <w:gridCol w:w="2326"/>
        <w:gridCol w:w="2379"/>
      </w:tblGrid>
      <w:tr>
        <w:trPr/>
        <w:tc>
          <w:tcPr>
            <w:tcW w:w="4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7</w:t>
            </w:r>
          </w:p>
        </w:tc>
        <w:tc>
          <w:tcPr>
            <w:tcW w:w="2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7</w:t>
            </w:r>
          </w:p>
        </w:tc>
      </w:tr>
      <w:tr>
        <w:trPr>
          <w:trHeight w:val="755" w:hRule="atLeast"/>
        </w:trPr>
        <w:tc>
          <w:tcPr>
            <w:tcW w:w="4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9</w:t>
            </w:r>
          </w:p>
        </w:tc>
        <w:tc>
          <w:tcPr>
            <w:tcW w:w="2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9</w:t>
            </w:r>
          </w:p>
        </w:tc>
      </w:tr>
      <w:tr>
        <w:trPr>
          <w:trHeight w:val="837" w:hRule="atLeast"/>
        </w:trPr>
        <w:tc>
          <w:tcPr>
            <w:tcW w:w="4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Počet vedúcich zamestnancov (členovia štatutárneho orgánu ÚJ a vedúci zamestnanci</w:t>
            </w:r>
          </w:p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23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II. a) – d)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1928"/>
        <w:gridCol w:w="1427"/>
        <w:gridCol w:w="1239"/>
        <w:gridCol w:w="975"/>
        <w:gridCol w:w="1"/>
        <w:gridCol w:w="1428"/>
        <w:gridCol w:w="1239"/>
        <w:gridCol w:w="974"/>
      </w:tblGrid>
      <w:tr>
        <w:trPr/>
        <w:tc>
          <w:tcPr>
            <w:tcW w:w="192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príjmu,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príjmu,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výhody bývalých členov orgánov</w:t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dozorného</w:t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dozorného</w:t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iného</w:t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Časť 1 - BO</w:t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64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Časť 2 - PO</w:t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Záruky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 zabezpečenie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  <w:t>120000</w:t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  <w:t>150000</w:t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Splatené pôžičky</w:t>
            </w:r>
          </w:p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 poslednému dňu účtovného obdobia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  <w:t>30000</w:t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Odpustené a odpísané pôžičky</w:t>
            </w:r>
          </w:p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 poslednému dňu účtovného obdobia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Použité finančné prostriedky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2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0"/>
          <w:szCs w:val="20"/>
        </w:rPr>
        <w:t>Dodatočné informácie o príjmoch a výhodách členov štatutárnych orgánov, dozorných orgánov a iného orgánu účtovnej jednotky</w:t>
      </w:r>
      <w:r>
        <w:rPr>
          <w:rFonts w:cs="Arial" w:ascii="Cambria" w:hAnsi="Cambria" w:asciiTheme="majorHAnsi" w:hAnsiTheme="majorHAnsi"/>
          <w:sz w:val="20"/>
          <w:szCs w:val="20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right="142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-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  <w:t>III.1</w:t>
        <w:tab/>
        <w:t xml:space="preserve"> </w:t>
      </w:r>
      <w:r>
        <w:rPr>
          <w:rFonts w:cs="Arial" w:ascii="Cambria" w:hAnsi="Cambria" w:asciiTheme="majorHAnsi" w:hAnsiTheme="majorHAnsi"/>
          <w:b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  <w:b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  <w:t>III.2</w:t>
        <w:tab/>
        <w:t xml:space="preserve"> </w:t>
      </w:r>
      <w:r>
        <w:rPr>
          <w:rFonts w:cs="Arial" w:ascii="Cambria" w:hAnsi="Cambria" w:asciiTheme="majorHAnsi" w:hAnsiTheme="majorHAnsi"/>
          <w:b/>
        </w:rPr>
        <w:t>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III.3 </w:t>
        <w:tab/>
      </w:r>
      <w:r>
        <w:rPr>
          <w:rFonts w:eastAsia="MS Gothic" w:cs="Arial" w:ascii="Cambria" w:hAnsi="Cambria" w:asciiTheme="majorHAnsi" w:hAnsiTheme="majorHAnsi"/>
          <w:b/>
        </w:rPr>
        <w:t>Informácie o charaktere a účele transakcií, ktoré sa neuvádzajú v súvahe:</w:t>
      </w:r>
    </w:p>
    <w:tbl>
      <w:tblPr>
        <w:tblStyle w:val="Mriekatabuky"/>
        <w:tblW w:w="9015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Opis transakcie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Finančný vplyv transakcie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Riziká/Prínosy transakcie</w:t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III.4 a)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  <w:r>
        <w:rPr>
          <w:rFonts w:eastAsia="MS Gothic" w:cs="Arial" w:ascii="Cambria" w:hAnsi="Cambria" w:asciiTheme="majorHAnsi" w:hAnsiTheme="majorHAnsi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9053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4720"/>
        <w:gridCol w:w="2065"/>
        <w:gridCol w:w="2268"/>
      </w:tblGrid>
      <w:tr>
        <w:trPr/>
        <w:tc>
          <w:tcPr>
            <w:tcW w:w="4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/>
        <w:tc>
          <w:tcPr>
            <w:tcW w:w="47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Iný majetok </w:t>
            </w: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7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</w:rPr>
        <w:t>III.4 b) Odhad zníženia hodnoty majetku a tvorba opravných položiek k majetku: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015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Vytvorená opravná položka</w:t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</w:rPr>
            </w:pPr>
            <w:r>
              <w:rPr>
                <w:rFonts w:cs="Arial" w:ascii="Cambria" w:hAnsi="Cambria" w:asciiTheme="majorHAnsi" w:hAnsiTheme="majorHAnsi"/>
                <w:i/>
              </w:rPr>
              <w:t>Uviesť rozhodujúce odhady a predpoklady k danej kategórii majetku</w:t>
            </w:r>
          </w:p>
        </w:tc>
        <w:tc>
          <w:tcPr>
            <w:tcW w:w="32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b/>
        </w:rPr>
        <w:t>III. 4 c) Ocenenie záväzkov a stanovenie odhadu ocenenia rezerv: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07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4497"/>
        <w:gridCol w:w="4574"/>
      </w:tblGrid>
      <w:tr>
        <w:trPr>
          <w:trHeight w:val="397" w:hRule="atLeast"/>
        </w:trPr>
        <w:tc>
          <w:tcPr>
            <w:tcW w:w="44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Odhad ocenenia rezerv</w:t>
            </w:r>
          </w:p>
        </w:tc>
      </w:tr>
      <w:tr>
        <w:trPr>
          <w:trHeight w:val="397" w:hRule="atLeast"/>
        </w:trPr>
        <w:tc>
          <w:tcPr>
            <w:tcW w:w="449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45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44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45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44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45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44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45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449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45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III. 4 d) Ocenenie finančných nástrojov alebo majetku, ktorý nie je finančným nástrojom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pri oceňovaní reálnou hodnotou: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10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1734"/>
        <w:gridCol w:w="2377"/>
        <w:gridCol w:w="1700"/>
        <w:gridCol w:w="1700"/>
        <w:gridCol w:w="1593"/>
      </w:tblGrid>
      <w:tr>
        <w:trPr/>
        <w:tc>
          <w:tcPr>
            <w:tcW w:w="17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Aplikácia RH podľa ZoÚ alebo stanovenie významných predpokladov slúžiacich ako základ modelov a postupov ocenenia pri kvalifikovanom odhade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Reálna hodnota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Vplyv reálnej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na výsledok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hospodárenia</w:t>
            </w:r>
          </w:p>
        </w:tc>
        <w:tc>
          <w:tcPr>
            <w:tcW w:w="15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 xml:space="preserve">Vplyv reálnej hodnoty 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na vlastné imanie (cez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oceňovacie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rozdiely)</w:t>
            </w:r>
          </w:p>
        </w:tc>
      </w:tr>
      <w:tr>
        <w:trPr>
          <w:trHeight w:val="397" w:hRule="atLeast"/>
        </w:trPr>
        <w:tc>
          <w:tcPr>
            <w:tcW w:w="17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5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5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5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5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7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5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043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7" w:name="Text18"/>
      <w:bookmarkStart w:id="68" w:name="__Fieldmark__1043_1457545148"/>
      <w:bookmarkStart w:id="69" w:name="__Fieldmark__1043_1457545148"/>
      <w:bookmarkEnd w:id="67"/>
      <w:bookmarkEnd w:id="69"/>
      <w:r>
        <w:rPr>
          <w:rFonts w:cs="Arial" w:ascii="Cambria" w:hAnsi="Cambria" w:asciiTheme="majorHAnsi" w:hAnsiTheme="majorHAnsi"/>
          <w:b/>
          <w:sz w:val="20"/>
          <w:szCs w:val="20"/>
        </w:rPr>
      </w:r>
      <w:bookmarkStart w:id="70" w:name="Text1882"/>
      <w:r>
        <w:rPr>
          <w:rFonts w:cs="Arial" w:ascii="Cambria" w:hAnsi="Cambria" w:asciiTheme="majorHAnsi" w:hAnsiTheme="majorHAnsi"/>
          <w:b/>
          <w:sz w:val="20"/>
          <w:szCs w:val="20"/>
        </w:rPr>
        <w:t>     </w:t>
      </w:r>
      <w:bookmarkStart w:id="71" w:name="Text18123"/>
      <w:bookmarkStart w:id="72" w:name="__Fieldmark__1043_1457545148"/>
      <w:bookmarkEnd w:id="70"/>
      <w:bookmarkEnd w:id="71"/>
      <w:bookmarkEnd w:id="72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III. 4 e) Ocenenie finančných nástrojov pri oceňovaní obstarávacou cenou alebo vlastnými nákladmi: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21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Reálna hodnota FN</w:t>
            </w:r>
          </w:p>
        </w:tc>
      </w:tr>
      <w:tr>
        <w:trPr>
          <w:trHeight w:val="340" w:hRule="atLeast"/>
        </w:trPr>
        <w:tc>
          <w:tcPr>
            <w:tcW w:w="30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0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0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tbl>
      <w:tblPr>
        <w:tblStyle w:val="Mriekatabuky"/>
        <w:tblW w:w="9211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nezníženia ÚH (ak je ÚH &gt; RH)</w:t>
            </w:r>
          </w:p>
        </w:tc>
      </w:tr>
      <w:tr>
        <w:trPr/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0"/>
          <w:szCs w:val="20"/>
        </w:rPr>
        <w:t>Ďalšie informácie týkajúce sa dôvodov a povahy dôkazov pre nezníženie účtovnej hodnoty (ak prevyšuje hodnotu reálnu) vyhodnotené ako predpoklady na opätovné dosiahnutie účtovnej hodnoty: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121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73" w:name="__Fieldmark__1188_1786540632"/>
      <w:bookmarkStart w:id="74" w:name="__Fieldmark__1121_1457545148"/>
      <w:bookmarkStart w:id="75" w:name="__Fieldmark__1121_1457545148"/>
      <w:bookmarkEnd w:id="73"/>
      <w:bookmarkEnd w:id="75"/>
      <w:r>
        <w:rPr>
          <w:rFonts w:cs="Arial" w:ascii="Cambria" w:hAnsi="Cambria" w:asciiTheme="majorHAnsi" w:hAnsiTheme="majorHAnsi"/>
          <w:b/>
          <w:sz w:val="20"/>
          <w:szCs w:val="20"/>
        </w:rPr>
        <w:t>     </w:t>
      </w:r>
      <w:bookmarkStart w:id="76" w:name="__Fieldmark__1188_178654063299"/>
      <w:bookmarkStart w:id="77" w:name="__Fieldmark__1121_1457545148"/>
      <w:bookmarkEnd w:id="76"/>
      <w:bookmarkEnd w:id="77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III. 4 f)  Stanovenie metódy vlastného imania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133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78" w:name="__Fieldmark__1199_1786540632"/>
      <w:bookmarkStart w:id="79" w:name="__Fieldmark__1133_1457545148"/>
      <w:bookmarkStart w:id="80" w:name="__Fieldmark__1133_1457545148"/>
      <w:bookmarkEnd w:id="78"/>
      <w:bookmarkEnd w:id="80"/>
      <w:r>
        <w:rPr>
          <w:rFonts w:cs="Arial" w:ascii="Cambria" w:hAnsi="Cambria" w:asciiTheme="majorHAnsi" w:hAnsiTheme="majorHAnsi"/>
          <w:b/>
          <w:sz w:val="20"/>
          <w:szCs w:val="20"/>
        </w:rPr>
        <w:t>     </w:t>
      </w:r>
      <w:bookmarkStart w:id="81" w:name="__Fieldmark__1199_1786540632103"/>
      <w:bookmarkStart w:id="82" w:name="__Fieldmark__1133_1457545148"/>
      <w:bookmarkEnd w:id="81"/>
      <w:bookmarkEnd w:id="82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III. 4 g)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10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194"/>
        <w:gridCol w:w="2304"/>
        <w:gridCol w:w="2303"/>
        <w:gridCol w:w="2302"/>
      </w:tblGrid>
      <w:tr>
        <w:trPr>
          <w:trHeight w:val="397" w:hRule="atLeast"/>
        </w:trPr>
        <w:tc>
          <w:tcPr>
            <w:tcW w:w="2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</w:t>
            </w:r>
          </w:p>
        </w:tc>
        <w:tc>
          <w:tcPr>
            <w:tcW w:w="2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9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Sam.hn.veci</w:t>
            </w:r>
          </w:p>
        </w:tc>
        <w:tc>
          <w:tcPr>
            <w:tcW w:w="23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</w:t>
            </w:r>
            <w:r>
              <w:rPr>
                <w:rFonts w:cs="Arial" w:ascii="Cambria" w:hAnsi="Cambria"/>
                <w:sz w:val="20"/>
                <w:szCs w:val="20"/>
              </w:rPr>
              <w:t>8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</w:t>
            </w:r>
            <w:r>
              <w:rPr>
                <w:rFonts w:cs="Arial" w:ascii="Cambria" w:hAnsi="Cambria"/>
                <w:sz w:val="20"/>
                <w:szCs w:val="20"/>
              </w:rPr>
              <w:t>12,5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rovnomerná</w:t>
            </w:r>
          </w:p>
        </w:tc>
      </w:tr>
      <w:tr>
        <w:trPr>
          <w:trHeight w:val="397" w:hRule="atLeast"/>
        </w:trPr>
        <w:tc>
          <w:tcPr>
            <w:tcW w:w="21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Budovy a stavby</w:t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</w:t>
            </w:r>
            <w:r>
              <w:rPr>
                <w:rFonts w:cs="Arial" w:ascii="Cambria" w:hAnsi="Cambria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  </w:t>
            </w:r>
            <w:r>
              <w:rPr>
                <w:rFonts w:cs="Arial" w:ascii="Cambria" w:hAnsi="Cambria"/>
                <w:sz w:val="20"/>
                <w:szCs w:val="20"/>
              </w:rPr>
              <w:t xml:space="preserve">2,5 </w:t>
            </w:r>
          </w:p>
        </w:tc>
        <w:tc>
          <w:tcPr>
            <w:tcW w:w="23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rovnomerná</w:t>
            </w:r>
          </w:p>
        </w:tc>
      </w:tr>
      <w:tr>
        <w:trPr>
          <w:trHeight w:val="397" w:hRule="atLeast"/>
        </w:trPr>
        <w:tc>
          <w:tcPr>
            <w:tcW w:w="21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Pest.celky orechy</w:t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</w:t>
            </w:r>
            <w:r>
              <w:rPr>
                <w:rFonts w:cs="Arial" w:ascii="Cambria" w:hAnsi="Cambria"/>
                <w:sz w:val="20"/>
                <w:szCs w:val="20"/>
              </w:rPr>
              <w:t>25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  </w:t>
            </w:r>
            <w:r>
              <w:rPr>
                <w:rFonts w:cs="Arial" w:ascii="Cambria" w:hAnsi="Cambria"/>
                <w:sz w:val="20"/>
                <w:szCs w:val="20"/>
              </w:rPr>
              <w:t>4,00</w:t>
            </w:r>
          </w:p>
        </w:tc>
        <w:tc>
          <w:tcPr>
            <w:tcW w:w="23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rovnomerná</w:t>
            </w:r>
          </w:p>
        </w:tc>
      </w:tr>
      <w:tr>
        <w:trPr>
          <w:trHeight w:val="397" w:hRule="atLeast"/>
        </w:trPr>
        <w:tc>
          <w:tcPr>
            <w:tcW w:w="21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Pest.celky vinica</w:t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</w:t>
            </w:r>
            <w:r>
              <w:rPr>
                <w:rFonts w:cs="Arial" w:ascii="Cambria" w:hAnsi="Cambria"/>
                <w:sz w:val="20"/>
                <w:szCs w:val="20"/>
              </w:rPr>
              <w:t>20,       25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  </w:t>
            </w:r>
            <w:r>
              <w:rPr>
                <w:rFonts w:cs="Arial" w:ascii="Cambria" w:hAnsi="Cambria"/>
                <w:sz w:val="20"/>
                <w:szCs w:val="20"/>
              </w:rPr>
              <w:t>5 - 4</w:t>
            </w:r>
          </w:p>
        </w:tc>
        <w:tc>
          <w:tcPr>
            <w:tcW w:w="23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rovnomerná</w:t>
            </w:r>
          </w:p>
        </w:tc>
      </w:tr>
      <w:tr>
        <w:trPr>
          <w:trHeight w:val="397" w:hRule="atLeast"/>
        </w:trPr>
        <w:tc>
          <w:tcPr>
            <w:tcW w:w="219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Pest.celky slivky,broskyňa</w:t>
            </w:r>
          </w:p>
        </w:tc>
        <w:tc>
          <w:tcPr>
            <w:tcW w:w="23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</w:t>
            </w:r>
            <w:r>
              <w:rPr>
                <w:rFonts w:cs="Arial" w:ascii="Cambria" w:hAnsi="Cambria"/>
                <w:sz w:val="20"/>
                <w:szCs w:val="20"/>
              </w:rPr>
              <w:t>20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   </w:t>
            </w:r>
            <w:r>
              <w:rPr>
                <w:rFonts w:cs="Arial" w:ascii="Cambria" w:hAnsi="Cambria"/>
                <w:sz w:val="20"/>
                <w:szCs w:val="20"/>
              </w:rPr>
              <w:t>5</w:t>
            </w:r>
          </w:p>
        </w:tc>
        <w:tc>
          <w:tcPr>
            <w:tcW w:w="23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1595714758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</w:t>
      </w:r>
    </w:p>
    <w:p>
      <w:pPr>
        <w:pStyle w:val="Normal"/>
        <w:spacing w:lineRule="auto" w:line="240" w:before="0" w:after="0"/>
        <w:jc w:val="both"/>
        <w:rPr/>
      </w:pPr>
      <w:bookmarkStart w:id="83" w:name="Text8"/>
      <w:bookmarkEnd w:id="83"/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sdt>
        <w:sdtPr>
          <w:id w:val="162179190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nerovnajú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III. 4 h)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910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4" w:hRule="atLeast"/>
        </w:trPr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 dotácie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III.5 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910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>
          <w:trHeight w:val="397" w:hRule="atLeast"/>
        </w:trPr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 xml:space="preserve">                      </w:t>
            </w:r>
            <w:r>
              <w:rPr>
                <w:rFonts w:cs="Arial" w:ascii="Cambria" w:hAnsi="Cambria"/>
                <w:sz w:val="20"/>
                <w:szCs w:val="20"/>
              </w:rPr>
              <w:t>9605,61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Účet  461300</w:t>
            </w:r>
          </w:p>
        </w:tc>
      </w:tr>
      <w:tr>
        <w:trPr>
          <w:trHeight w:val="397" w:hRule="atLeast"/>
        </w:trPr>
        <w:tc>
          <w:tcPr>
            <w:tcW w:w="29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IV - Informácie, ktoré vysvetľujú a dopĺňajú súvahu a výkaz ziskov a strát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IV.1</w:t>
        <w:tab/>
        <w:t xml:space="preserve"> Informácie ku goodwillu alebo zápornému goodwillu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10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962"/>
        <w:gridCol w:w="3071"/>
        <w:gridCol w:w="3071"/>
      </w:tblGrid>
      <w:tr>
        <w:trPr/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Dôvod vzniku goodwillu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 xml:space="preserve">Hodnota goodwillu 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Odpis goodwillu</w:t>
            </w:r>
          </w:p>
        </w:tc>
      </w:tr>
      <w:tr>
        <w:trPr/>
        <w:tc>
          <w:tcPr>
            <w:tcW w:w="29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29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29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 w:asciiTheme="majorHAnsi" w:hAnsiTheme="majorHAnsi"/>
          <w:b/>
          <w:sz w:val="20"/>
          <w:szCs w:val="20"/>
        </w:rPr>
        <w:t>Dodatočné informácie súvisiace s goodwillom, predovšetkým okolnosti vzniku, spôsob výpočtu, prehodnotenie opodstatnenosti jeho výšky a spôsob odpisovania:</w:t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344_145754514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4" w:name="Text14"/>
      <w:bookmarkStart w:id="85" w:name="__Fieldmark__1344_1457545148"/>
      <w:bookmarkStart w:id="86" w:name="__Fieldmark__1344_1457545148"/>
      <w:bookmarkEnd w:id="84"/>
      <w:bookmarkEnd w:id="86"/>
      <w:r>
        <w:rPr>
          <w:rFonts w:cs="Arial" w:ascii="Cambria" w:hAnsi="Cambria" w:asciiTheme="majorHAnsi" w:hAnsiTheme="majorHAnsi"/>
          <w:sz w:val="20"/>
          <w:szCs w:val="20"/>
        </w:rPr>
      </w:r>
      <w:bookmarkStart w:id="87" w:name="Text1451"/>
      <w:r>
        <w:rPr>
          <w:rFonts w:cs="Arial" w:ascii="Cambria" w:hAnsi="Cambria" w:asciiTheme="majorHAnsi" w:hAnsiTheme="majorHAnsi"/>
          <w:sz w:val="20"/>
          <w:szCs w:val="20"/>
        </w:rPr>
        <w:t>     </w:t>
      </w:r>
      <w:bookmarkStart w:id="88" w:name="Text14101"/>
      <w:bookmarkStart w:id="89" w:name="__Fieldmark__1344_1457545148"/>
      <w:bookmarkEnd w:id="87"/>
      <w:bookmarkEnd w:id="88"/>
      <w:bookmarkEnd w:id="89"/>
      <w:r>
        <w:rPr>
          <w:rFonts w:cs="Arial" w:ascii="Cambria" w:hAnsi="Cambria" w:asciiTheme="majorHAnsi" w:hAnsiTheme="majorHAnsi"/>
          <w:sz w:val="20"/>
          <w:szCs w:val="20"/>
        </w:rPr>
      </w:r>
      <w:r>
        <w:fldChar w:fldCharType="end"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IV. 2  Informácie o významných položkách majetku a záväzkov zabezpečených derivátmi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877"/>
        <w:gridCol w:w="1729"/>
        <w:gridCol w:w="1726"/>
        <w:gridCol w:w="1"/>
        <w:gridCol w:w="2878"/>
      </w:tblGrid>
      <w:tr>
        <w:trPr/>
        <w:tc>
          <w:tcPr>
            <w:tcW w:w="287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 w:asciiTheme="majorHAnsi" w:hAnsiTheme="majorHAnsi"/>
                <w:b/>
                <w:sz w:val="20"/>
                <w:szCs w:val="20"/>
              </w:rPr>
              <w:t>Dohodnutá cena podkladového nástroja</w:t>
            </w:r>
          </w:p>
        </w:tc>
      </w:tr>
      <w:tr>
        <w:trPr/>
        <w:tc>
          <w:tcPr>
            <w:tcW w:w="287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záväzku</w:t>
            </w:r>
          </w:p>
        </w:tc>
        <w:tc>
          <w:tcPr>
            <w:tcW w:w="2878" w:type="dxa"/>
            <w:vMerge w:val="continue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Deriváty určené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Menový forward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283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Zabezpečovacie deriváty,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Úrokový swap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87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2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tbl>
      <w:tblPr>
        <w:tblStyle w:val="Mriekatabuky"/>
        <w:tblW w:w="9184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608"/>
        <w:gridCol w:w="1644"/>
        <w:gridCol w:w="1644"/>
        <w:gridCol w:w="1644"/>
        <w:gridCol w:w="1644"/>
      </w:tblGrid>
      <w:tr>
        <w:trPr/>
        <w:tc>
          <w:tcPr>
            <w:tcW w:w="26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/>
        <w:tc>
          <w:tcPr>
            <w:tcW w:w="26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Zmena reálnej hodnoty (+/-) s vplyvom na</w:t>
            </w:r>
          </w:p>
        </w:tc>
      </w:tr>
      <w:tr>
        <w:trPr/>
        <w:tc>
          <w:tcPr>
            <w:tcW w:w="26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vlastné imanie</w:t>
            </w:r>
          </w:p>
        </w:tc>
      </w:tr>
      <w:tr>
        <w:trPr/>
        <w:tc>
          <w:tcPr>
            <w:tcW w:w="26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6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6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Dodatočné informácie o významných položkách derivátov za bežné účtovné obdobie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, napr. informácie o rozsahu a povahe týchto derivátov vrátane významných podmienok, ktoré môžu ovplyvniť sumu, načasovanie a mieru istoty budúcich peňažných tokov: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tbl>
      <w:tblPr>
        <w:tblStyle w:val="Mriekatabuky"/>
        <w:tblW w:w="9073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402"/>
        <w:gridCol w:w="2835"/>
        <w:gridCol w:w="2836"/>
      </w:tblGrid>
      <w:tr>
        <w:trPr/>
        <w:tc>
          <w:tcPr>
            <w:tcW w:w="340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56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>
        <w:trPr/>
        <w:tc>
          <w:tcPr>
            <w:tcW w:w="340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>
        <w:trPr/>
        <w:tc>
          <w:tcPr>
            <w:tcW w:w="3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</w:t>
            </w:r>
          </w:p>
        </w:tc>
        <w:tc>
          <w:tcPr>
            <w:tcW w:w="2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c</w:t>
            </w:r>
          </w:p>
        </w:tc>
      </w:tr>
      <w:tr>
        <w:trPr>
          <w:trHeight w:val="340" w:hRule="atLeast"/>
        </w:trPr>
        <w:tc>
          <w:tcPr>
            <w:tcW w:w="34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Zmluvy, ktoré sa neúčtujú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4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Očakávané budúce obchody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0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o položkách zabezpečených derivátmi 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(najmä forma zabezpečenia):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IV. 3 a) Záväzky so zostatkovou dobou splatnosti dlhšou ako 5 rokov: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>
        <w:trPr>
          <w:trHeight w:val="340" w:hRule="atLeast"/>
        </w:trPr>
        <w:tc>
          <w:tcPr>
            <w:tcW w:w="30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asciiTheme="majorHAnsi" w:hAnsiTheme="majorHAnsi"/>
                <w:b/>
                <w:b/>
              </w:rPr>
            </w:pPr>
            <w:r>
              <w:rPr>
                <w:rFonts w:ascii="Cambria" w:hAnsi="Cambria" w:asciiTheme="majorHAnsi" w:hAnsiTheme="majorHAnsi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="Cambria" w:hAnsi="Cambria" w:asciiTheme="majorHAnsi" w:hAnsiTheme="majorHAnsi"/>
              </w:rPr>
              <w:t>2850660</w:t>
            </w:r>
          </w:p>
        </w:tc>
        <w:tc>
          <w:tcPr>
            <w:tcW w:w="30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="Cambria" w:hAnsi="Cambria" w:asciiTheme="majorHAnsi" w:hAnsiTheme="majorHAnsi"/>
              </w:rPr>
              <w:t>2319510</w:t>
            </w:r>
          </w:p>
        </w:tc>
      </w:tr>
      <w:tr>
        <w:trPr>
          <w:trHeight w:val="340" w:hRule="atLeast"/>
        </w:trPr>
        <w:tc>
          <w:tcPr>
            <w:tcW w:w="30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asciiTheme="majorHAnsi" w:hAnsiTheme="majorHAnsi"/>
              </w:rPr>
            </w:pPr>
            <w:r>
              <w:rPr>
                <w:rFonts w:ascii="Cambria" w:hAnsi="Cambria" w:asciiTheme="majorHAnsi" w:hAnsiTheme="majorHAnsi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="Cambria" w:hAnsi="Cambria" w:asciiTheme="majorHAnsi" w:hAnsiTheme="majorHAnsi"/>
              </w:rPr>
              <w:t>16646</w:t>
            </w:r>
          </w:p>
        </w:tc>
        <w:tc>
          <w:tcPr>
            <w:tcW w:w="30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="Cambria" w:hAnsi="Cambria" w:asciiTheme="majorHAnsi" w:hAnsiTheme="majorHAnsi"/>
              </w:rPr>
              <w:t>16265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IV. 3 b) Zabezpečené záväzky, opis a spôsob ich zabezpečenia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8927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975"/>
        <w:gridCol w:w="2976"/>
        <w:gridCol w:w="2976"/>
      </w:tblGrid>
      <w:tr>
        <w:trPr/>
        <w:tc>
          <w:tcPr>
            <w:tcW w:w="297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>
        <w:trPr/>
        <w:tc>
          <w:tcPr>
            <w:tcW w:w="297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59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>
        <w:trPr/>
        <w:tc>
          <w:tcPr>
            <w:tcW w:w="297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Flexi úver VÚB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133000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16385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31999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bookmarkStart w:id="90" w:name="__DdeLink__3500_1786540632"/>
            <w:bookmarkEnd w:id="90"/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40639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16071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Dodatočné informácie o forme zabezpečenia záväzkov: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tbl>
      <w:tblPr>
        <w:tblStyle w:val="Mriekatabuky"/>
        <w:tblW w:w="8927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2975"/>
        <w:gridCol w:w="2976"/>
        <w:gridCol w:w="2976"/>
      </w:tblGrid>
      <w:tr>
        <w:trPr/>
        <w:tc>
          <w:tcPr>
            <w:tcW w:w="297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/>
        <w:tc>
          <w:tcPr>
            <w:tcW w:w="297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59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>
        <w:trPr/>
        <w:tc>
          <w:tcPr>
            <w:tcW w:w="297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Flexi úver VÚB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133000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 xml:space="preserve">VÚB </w:t>
            </w:r>
            <w:r>
              <w:rPr>
                <w:rFonts w:cs="Arial" w:ascii="Cambria" w:hAnsi="Cambria"/>
                <w:b/>
                <w:sz w:val="20"/>
                <w:szCs w:val="20"/>
                <w:u w:val="single"/>
              </w:rPr>
              <w:t>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35352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106056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bookmarkStart w:id="91" w:name="__DdeLink__3099_1457545148"/>
            <w:bookmarkEnd w:id="91"/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13980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VÚB leasing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41940</w:t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Dodatočné informácie o forme zabezpečenia záväzkov: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ind w:right="0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right="0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right="0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ListParagraph"/>
        <w:spacing w:lineRule="auto" w:line="240" w:before="240" w:after="200"/>
        <w:ind w:left="0" w:righ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IV. 4 a) - c) Informácie o vlastných akciách:</w:t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1842"/>
        <w:gridCol w:w="1842"/>
        <w:gridCol w:w="1844"/>
        <w:gridCol w:w="1843"/>
        <w:gridCol w:w="1841"/>
      </w:tblGrid>
      <w:tr>
        <w:trPr/>
        <w:tc>
          <w:tcPr>
            <w:tcW w:w="184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b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Podiel na upísanom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Podiel na upísanom ZI v %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Podiel na upísanom ZI v %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Hodnota  nadobudnutia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Hodnota nadobudnutia</w:t>
            </w:r>
          </w:p>
        </w:tc>
      </w:tr>
      <w:tr>
        <w:trPr/>
        <w:tc>
          <w:tcPr>
            <w:tcW w:w="184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restart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restart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vMerge w:val="continue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240" w:after="0"/>
              <w:ind w:right="0" w:hanging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240" w:after="200"/>
        <w:ind w:right="0" w:hanging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Ďalšie dôležité informácie o vlastných akciách:</w:t>
      </w:r>
    </w:p>
    <w:p>
      <w:pPr>
        <w:pStyle w:val="Normal"/>
        <w:spacing w:lineRule="auto" w:line="240" w:before="240" w:after="200"/>
        <w:ind w:right="0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/>
        <w:ind w:left="993" w:hanging="993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IV. 5</w:t>
        <w:tab/>
        <w:t>Informácie o výnosoch a nákladoch, ktoré majú výnimočný rozsah alebo výskyt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5"/>
        <w:gridCol w:w="1074"/>
        <w:gridCol w:w="494"/>
        <w:gridCol w:w="1698"/>
        <w:gridCol w:w="996"/>
        <w:gridCol w:w="102"/>
        <w:gridCol w:w="160"/>
        <w:gridCol w:w="1792"/>
        <w:gridCol w:w="977"/>
        <w:gridCol w:w="159"/>
      </w:tblGrid>
      <w:tr>
        <w:trPr>
          <w:trHeight w:val="330" w:hRule="atLeast"/>
        </w:trPr>
        <w:tc>
          <w:tcPr>
            <w:tcW w:w="1975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107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494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98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098" w:type="dxa"/>
            <w:gridSpan w:val="2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792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</w:tr>
      <w:tr>
        <w:trPr>
          <w:trHeight w:val="975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Times New Roman" w:asciiTheme="majorHAnsi" w:hAnsiTheme="majorHAnsi"/>
          <w:b/>
          <w:b/>
          <w:sz w:val="20"/>
          <w:szCs w:val="20"/>
        </w:rPr>
      </w:pPr>
      <w:r>
        <w:rPr>
          <w:rFonts w:eastAsia="MS Gothic" w:cs="Times New Roman" w:ascii="Cambria" w:hAnsi="Cambria" w:asciiTheme="majorHAnsi" w:hAnsiTheme="majorHAnsi"/>
          <w:b/>
          <w:sz w:val="20"/>
          <w:szCs w:val="20"/>
        </w:rPr>
        <w:t>Dodatočné informácie o výnosoch, ktoré majú výnimočný rozsah alebo výskyt:</w:t>
      </w:r>
    </w:p>
    <w:p>
      <w:pPr>
        <w:pStyle w:val="Normal"/>
        <w:spacing w:lineRule="auto" w:line="240" w:before="240" w:after="200"/>
        <w:ind w:right="0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tbl>
      <w:tblPr>
        <w:tblW w:w="942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76"/>
        <w:gridCol w:w="1074"/>
        <w:gridCol w:w="634"/>
        <w:gridCol w:w="1"/>
        <w:gridCol w:w="1557"/>
        <w:gridCol w:w="1097"/>
        <w:gridCol w:w="323"/>
        <w:gridCol w:w="1629"/>
        <w:gridCol w:w="977"/>
        <w:gridCol w:w="159"/>
      </w:tblGrid>
      <w:tr>
        <w:trPr>
          <w:trHeight w:val="330" w:hRule="atLeast"/>
        </w:trPr>
        <w:tc>
          <w:tcPr>
            <w:tcW w:w="1976" w:type="dxa"/>
            <w:tcBorders/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107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="Cambria" w:hAnsi="Cambria"/>
                <w:color w:val="000000"/>
                <w:sz w:val="20"/>
                <w:szCs w:val="20"/>
                <w:lang w:eastAsia="sk-SK"/>
              </w:rPr>
            </w:r>
          </w:p>
        </w:tc>
        <w:tc>
          <w:tcPr>
            <w:tcW w:w="634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558" w:type="dxa"/>
            <w:gridSpan w:val="2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097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323" w:type="dxa"/>
            <w:tcBorders>
              <w:bottom w:val="single" w:sz="18" w:space="0" w:color="000001"/>
              <w:insideH w:val="single" w:sz="18" w:space="0" w:color="000001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2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977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59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</w:tr>
      <w:tr>
        <w:trPr>
          <w:trHeight w:val="694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3685" w:type="dxa"/>
            <w:gridSpan w:val="4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00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0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Times New Roman" w:asciiTheme="majorHAnsi" w:hAnsiTheme="majorHAnsi"/>
          <w:b/>
          <w:b/>
          <w:sz w:val="20"/>
          <w:szCs w:val="20"/>
        </w:rPr>
      </w:pPr>
      <w:r>
        <w:rPr>
          <w:rFonts w:eastAsia="MS Gothic" w:cs="Times New Roman" w:ascii="Cambria" w:hAnsi="Cambria" w:asciiTheme="majorHAnsi" w:hAnsiTheme="majorHAnsi"/>
          <w:b/>
          <w:sz w:val="20"/>
          <w:szCs w:val="20"/>
        </w:rPr>
        <w:t>Dodatočné informácie o nákladoch, ktoré majú výnimočný rozsah alebo výskyt:</w:t>
      </w:r>
    </w:p>
    <w:p>
      <w:pPr>
        <w:pStyle w:val="Normal"/>
        <w:spacing w:lineRule="auto" w:line="240" w:before="240" w:after="200"/>
        <w:ind w:right="0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 - Informácie o iných aktívach a iných pasívach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V. 1 a) Informácie o podmienenom majetku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/>
          <w:b/>
        </w:rPr>
      </w:r>
    </w:p>
    <w:tbl>
      <w:tblPr>
        <w:tblW w:w="9341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24" w:type="dxa"/>
          <w:bottom w:w="0" w:type="dxa"/>
          <w:right w:w="70" w:type="dxa"/>
        </w:tblCellMar>
        <w:tblLook w:val="04a0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Hodnota</w:t>
            </w:r>
          </w:p>
        </w:tc>
      </w:tr>
      <w:tr>
        <w:trPr>
          <w:trHeight w:val="330" w:hRule="atLeast"/>
        </w:trPr>
        <w:tc>
          <w:tcPr>
            <w:tcW w:w="4138" w:type="dxa"/>
            <w:vMerge w:val="continue"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/>
                <w:b/>
                <w:bCs/>
                <w:lang w:eastAsia="sk-SK"/>
              </w:rPr>
            </w: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13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1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30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473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188" w:hRule="atLeast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>
        <w:trPr>
          <w:trHeight w:val="245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/>
          <w:b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Dodatočné  informácie o podmienenom majetku: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V. 1 b) Informácie o podmienených záväzkoch:</w:t>
      </w:r>
    </w:p>
    <w:tbl>
      <w:tblPr>
        <w:tblW w:w="9356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top w:w="0" w:type="dxa"/>
          <w:left w:w="24" w:type="dxa"/>
          <w:bottom w:w="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0"/>
        <w:gridCol w:w="1"/>
        <w:gridCol w:w="1799"/>
        <w:gridCol w:w="216"/>
      </w:tblGrid>
      <w:tr>
        <w:trPr>
          <w:trHeight w:val="25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Bežné účtovné obdobie</w:t>
            </w:r>
          </w:p>
        </w:tc>
      </w:tr>
      <w:tr>
        <w:trPr>
          <w:trHeight w:val="316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/>
                <w:b/>
                <w:bCs/>
                <w:color w:val="000000"/>
                <w:lang w:eastAsia="sk-SK"/>
              </w:rPr>
            </w:r>
          </w:p>
        </w:tc>
        <w:tc>
          <w:tcPr>
            <w:tcW w:w="2096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Hodnota celkom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22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súdnych rozhodnutí</w:t>
            </w:r>
          </w:p>
        </w:tc>
        <w:tc>
          <w:tcPr>
            <w:tcW w:w="2096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4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 poskytnutých záruk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4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122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126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 ručenia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Iné podmienené záväzky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3" w:hRule="exact"/>
        </w:trPr>
        <w:tc>
          <w:tcPr>
            <w:tcW w:w="1000" w:type="dxa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Arial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Arial" w:ascii="Cambria" w:hAnsi="Cambria"/>
                <w:color w:val="2F75B5"/>
                <w:lang w:eastAsia="sk-SK"/>
              </w:rPr>
            </w:r>
          </w:p>
        </w:tc>
        <w:tc>
          <w:tcPr>
            <w:tcW w:w="96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00"/>
              <w:jc w:val="right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1960" w:type="dxa"/>
            <w:gridSpan w:val="2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Arial" w:asciiTheme="majorHAnsi" w:hAnsiTheme="majorHAnsi"/>
                <w:lang w:eastAsia="sk-SK"/>
              </w:rPr>
            </w:pPr>
            <w:r>
              <w:rPr>
                <w:rFonts w:eastAsia="Times New Roman" w:cs="Arial" w:ascii="Cambria" w:hAnsi="Cambria"/>
                <w:lang w:eastAsia="sk-SK"/>
              </w:rPr>
            </w:r>
          </w:p>
        </w:tc>
        <w:tc>
          <w:tcPr>
            <w:tcW w:w="106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Arial" w:asciiTheme="majorHAnsi" w:hAnsiTheme="majorHAnsi"/>
                <w:lang w:eastAsia="sk-SK"/>
              </w:rPr>
            </w:pPr>
            <w:r>
              <w:rPr>
                <w:rFonts w:eastAsia="Times New Roman" w:cs="Arial" w:ascii="Cambria" w:hAnsi="Cambria"/>
                <w:lang w:eastAsia="sk-SK"/>
              </w:rPr>
            </w:r>
          </w:p>
        </w:tc>
        <w:tc>
          <w:tcPr>
            <w:tcW w:w="112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039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84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60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  <w:tc>
          <w:tcPr>
            <w:tcW w:w="216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 w:ascii="Cambria" w:hAnsi="Cambria"/>
                <w:sz w:val="20"/>
                <w:szCs w:val="20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6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44" w:type="dxa"/>
            <w:gridSpan w:val="6"/>
            <w:vMerge w:val="continue"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/>
                <w:b/>
                <w:bCs/>
                <w:color w:val="000000"/>
                <w:lang w:eastAsia="sk-SK"/>
              </w:rPr>
            </w:r>
          </w:p>
        </w:tc>
        <w:tc>
          <w:tcPr>
            <w:tcW w:w="2096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Hodnota celkom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  <w:insideH w:val="single" w:sz="12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Times New Roman" w:cs="Times New Roman" w:asciiTheme="majorHAnsi" w:hAnsiTheme="majorHAnsi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b/>
                <w:bCs/>
                <w:lang w:eastAsia="sk-SK"/>
              </w:rPr>
              <w:t>Spriaznené osoby</w:t>
            </w:r>
          </w:p>
        </w:tc>
      </w:tr>
      <w:tr>
        <w:trPr>
          <w:trHeight w:val="198" w:hRule="atLeast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súdnych rozhodnutí</w:t>
            </w:r>
          </w:p>
        </w:tc>
        <w:tc>
          <w:tcPr>
            <w:tcW w:w="2096" w:type="dxa"/>
            <w:gridSpan w:val="4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0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 poskytnutých záruk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4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25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150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Z ručenia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  <w:tr>
        <w:trPr>
          <w:trHeight w:val="168" w:hRule="atLeast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eastAsia="Times New Roman" w:cs="Times New Roman" w:asciiTheme="majorHAnsi" w:hAnsiTheme="majorHAnsi"/>
                <w:color w:val="000000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000000"/>
                <w:lang w:eastAsia="sk-SK"/>
              </w:rPr>
              <w:t>Iné podmienené záväzky</w:t>
            </w:r>
          </w:p>
        </w:tc>
        <w:tc>
          <w:tcPr>
            <w:tcW w:w="2096" w:type="dxa"/>
            <w:gridSpan w:val="4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440"/>
              <w:jc w:val="right"/>
              <w:rPr>
                <w:rFonts w:ascii="Cambria" w:hAnsi="Cambria" w:eastAsia="Times New Roman" w:cs="Times New Roman" w:asciiTheme="majorHAnsi" w:hAnsiTheme="majorHAnsi"/>
                <w:color w:val="2F75B5"/>
                <w:lang w:eastAsia="sk-SK"/>
              </w:rPr>
            </w:pPr>
            <w:r>
              <w:rPr>
                <w:rFonts w:eastAsia="Times New Roman" w:cs="Times New Roman" w:ascii="Cambria" w:hAnsi="Cambria" w:asciiTheme="majorHAnsi" w:hAnsiTheme="majorHAnsi"/>
                <w:color w:val="2F75B5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Times New Roman" w:asciiTheme="majorHAnsi" w:hAnsiTheme="majorHAnsi"/>
          <w:b/>
          <w:b/>
          <w:szCs w:val="24"/>
        </w:rPr>
      </w:pPr>
      <w:r>
        <w:rPr>
          <w:rFonts w:eastAsia="MS Gothic" w:cs="Times New Roman" w:ascii="Cambria" w:hAnsi="Cambria" w:asciiTheme="majorHAnsi" w:hAnsiTheme="majorHAnsi"/>
          <w:b/>
          <w:szCs w:val="24"/>
        </w:rPr>
        <w:t>Dodatočné informácie o podmienených záväzkoch:</w:t>
      </w:r>
    </w:p>
    <w:p>
      <w:pPr>
        <w:pStyle w:val="Normal"/>
        <w:spacing w:lineRule="auto" w:line="240" w:before="240" w:after="200"/>
        <w:ind w:right="0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V. 2  Ostatné významné finančné povinnosti nevykázané v účtovných výkazoch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tbl>
      <w:tblPr>
        <w:tblStyle w:val="Mriekatabuky"/>
        <w:tblW w:w="9071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5669"/>
        <w:gridCol w:w="1701"/>
        <w:gridCol w:w="1701"/>
      </w:tblGrid>
      <w:tr>
        <w:trPr/>
        <w:tc>
          <w:tcPr>
            <w:tcW w:w="566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>
        <w:trPr/>
        <w:tc>
          <w:tcPr>
            <w:tcW w:w="566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voči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spriazneným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osobám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tbl>
      <w:tblPr>
        <w:tblStyle w:val="Mriekatabuky"/>
        <w:tblW w:w="9071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5669"/>
        <w:gridCol w:w="1701"/>
        <w:gridCol w:w="1701"/>
      </w:tblGrid>
      <w:tr>
        <w:trPr/>
        <w:tc>
          <w:tcPr>
            <w:tcW w:w="566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účtovné obdobie</w:t>
            </w:r>
          </w:p>
        </w:tc>
      </w:tr>
      <w:tr>
        <w:trPr/>
        <w:tc>
          <w:tcPr>
            <w:tcW w:w="566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voči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spriazneným</w:t>
            </w:r>
          </w:p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osobám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Dodatočné informácie o ostatných finančných povinnostiach nevykázaných v účtovných výkazoch: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V. 3  Informácie o údajoch na podsúvahových účtoch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4606"/>
        <w:gridCol w:w="2303"/>
        <w:gridCol w:w="2303"/>
      </w:tblGrid>
      <w:tr>
        <w:trPr/>
        <w:tc>
          <w:tcPr>
            <w:tcW w:w="46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  <w:tr>
        <w:trPr>
          <w:trHeight w:val="340" w:hRule="atLeast"/>
        </w:trPr>
        <w:tc>
          <w:tcPr>
            <w:tcW w:w="46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  <w:sz w:val="20"/>
                <w:szCs w:val="20"/>
              </w:rPr>
            </w:pPr>
            <w:r>
              <w:rPr>
                <w:rFonts w:ascii="Cambria" w:hAnsi="Cambria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  <w:tc>
          <w:tcPr>
            <w:tcW w:w="23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asciiTheme="majorHAnsi" w:hAnsiTheme="majorHAnsi"/>
              </w:rPr>
            </w:pPr>
            <w:r>
              <w:rPr>
                <w:rFonts w:asciiTheme="majorHAnsi" w:hAnsiTheme="majorHAnsi" w:ascii="Cambria" w:hAnsi="Cambria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o sumách na podsúvahových účtoch: 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VI - Udalosti, ktoré nastali po dni, ku ktorému sa zostavuje účtovná závierka</w:t>
      </w:r>
    </w:p>
    <w:tbl>
      <w:tblPr>
        <w:tblStyle w:val="Mriekatabuky"/>
        <w:tblW w:w="9071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968"/>
        <w:gridCol w:w="1701"/>
        <w:gridCol w:w="1701"/>
        <w:gridCol w:w="1700"/>
      </w:tblGrid>
      <w:tr>
        <w:trPr/>
        <w:tc>
          <w:tcPr>
            <w:tcW w:w="39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Zoznam udalostí, ktoré nastali alebo sú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dôsledkom okolností po dni, ku ktorému sa zostavuje účtovná závierka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</w:t>
            </w:r>
          </w:p>
        </w:tc>
        <w:tc>
          <w:tcPr>
            <w:tcW w:w="340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</w:t>
            </w:r>
          </w:p>
        </w:tc>
      </w:tr>
      <w:tr>
        <w:trPr/>
        <w:tc>
          <w:tcPr>
            <w:tcW w:w="39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>
        <w:trPr/>
        <w:tc>
          <w:tcPr>
            <w:tcW w:w="396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Pokles alebo zvýšenie trhovej ceny</w:t>
            </w:r>
          </w:p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Zmeny významných položiek dlhodobého</w:t>
            </w:r>
          </w:p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96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o skutočnostiach, ktoré nastali po dni, ku ktorému sa zostavuje účtovná závierka do dňa zostavenia účtovnej závierky: 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i/>
          <w:sz w:val="20"/>
          <w:szCs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/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VII - Ostatné informácie</w:t>
      </w:r>
    </w:p>
    <w:p>
      <w:pPr>
        <w:pStyle w:val="Normal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VII. 1 a) – c)  </w:t>
      </w:r>
      <w:r>
        <w:rPr>
          <w:rFonts w:eastAsia="MS Gothic" w:cs="Arial" w:ascii="Cambria" w:hAnsi="Cambria" w:asciiTheme="majorHAnsi" w:hAnsiTheme="majorHAnsi"/>
          <w:b/>
        </w:rPr>
        <w:t xml:space="preserve">Informácie </w:t>
      </w:r>
      <w:r>
        <w:rPr>
          <w:rFonts w:cs="Arial" w:ascii="Cambria" w:hAnsi="Cambria" w:asciiTheme="majorHAnsi" w:hAnsiTheme="majorHAnsi"/>
          <w:b/>
        </w:rPr>
        <w:t>o výlučných právach alebo osobitných právach udelených účtovnej jednotke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všetkých formách prijatej náhrady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účtovných zásadách použitých pri prideľovaní nákladov a výnosov a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všetkých druhoch činnosti účtovnej jednotky.</w:t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VII. 2 a) a b) Informácie týkajúce sa účtovnej jednotky, na ktorú sa vzťahuje § 23d ods. 6 ZoÚ, jej činnosť   je zaradená do kategórie priemyselnej výroby a jej čistý obrat za</w:t>
      </w:r>
      <w:r>
        <w:rPr>
          <w:rFonts w:cs="Arial" w:ascii="Cambria" w:hAnsi="Cambria" w:asciiTheme="majorHAnsi" w:hAnsiTheme="majorHAnsi"/>
        </w:rPr>
        <w:t xml:space="preserve"> </w:t>
      </w:r>
      <w:r>
        <w:rPr>
          <w:rFonts w:eastAsia="MS Gothic" w:cs="Arial" w:ascii="Cambria" w:hAnsi="Cambria" w:asciiTheme="majorHAnsi" w:hAnsiTheme="majorHAnsi"/>
          <w:b/>
        </w:rPr>
        <w:t>bezprostredne predchádzajúce účtovné obdobie bol väčší ako 250 000 000 €: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1842"/>
        <w:gridCol w:w="1842"/>
        <w:gridCol w:w="1842"/>
        <w:gridCol w:w="2"/>
        <w:gridCol w:w="1843"/>
        <w:gridCol w:w="1841"/>
      </w:tblGrid>
      <w:tr>
        <w:trPr/>
        <w:tc>
          <w:tcPr>
            <w:tcW w:w="184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Informácie 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68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68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Vlastníctvo pripadajúce na:</w:t>
            </w:r>
          </w:p>
        </w:tc>
      </w:tr>
      <w:tr>
        <w:trPr/>
        <w:tc>
          <w:tcPr>
            <w:tcW w:w="18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iné osoby,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iné osoby,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>
        <w:trPr>
          <w:trHeight w:val="340" w:hRule="atLeast"/>
        </w:trPr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akcií/CP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Druh akcií/CP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18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auto" w:fill="DAEEF3" w:themeFill="accent5" w:themeFillTint="33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</w:rPr>
      </w:pPr>
      <w:r>
        <w:rPr>
          <w:rFonts w:eastAsia="MS Gothic" w:cs="Arial" w:ascii="Cambria" w:hAnsi="Cambria" w:asciiTheme="majorHAnsi" w:hAnsiTheme="majorHAnsi"/>
          <w:b/>
        </w:rPr>
        <w:t>VII. 2 c) – g)  I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>
        <w:rPr>
          <w:rFonts w:cs="Arial" w:ascii="Cambria" w:hAnsi="Cambria" w:asciiTheme="majorHAnsi" w:hAnsiTheme="majorHAnsi"/>
          <w:sz w:val="20"/>
          <w:szCs w:val="20"/>
        </w:rPr>
        <w:t xml:space="preserve">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bezprostredne predchádzajúce účtovné obdobie bol väčší ako 250 000 000 €: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453"/>
        <w:gridCol w:w="2879"/>
        <w:gridCol w:w="2880"/>
      </w:tblGrid>
      <w:tr>
        <w:trPr/>
        <w:tc>
          <w:tcPr>
            <w:tcW w:w="345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Informácie o výške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Suma</w:t>
            </w:r>
          </w:p>
        </w:tc>
      </w:tr>
      <w:tr>
        <w:trPr/>
        <w:tc>
          <w:tcPr>
            <w:tcW w:w="345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VII. 3  Informácie týkajúce sa účtovnej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tbl>
      <w:tblPr>
        <w:tblStyle w:val="Mriekatabuky"/>
        <w:tblW w:w="9212" w:type="dxa"/>
        <w:jc w:val="left"/>
        <w:tblInd w:w="103" w:type="dxa"/>
        <w:tblCellMar>
          <w:top w:w="0" w:type="dxa"/>
          <w:left w:w="92" w:type="dxa"/>
          <w:bottom w:w="0" w:type="dxa"/>
          <w:right w:w="108" w:type="dxa"/>
        </w:tblCellMar>
        <w:tblLook w:val="04a0"/>
      </w:tblPr>
      <w:tblGrid>
        <w:gridCol w:w="3453"/>
        <w:gridCol w:w="2879"/>
        <w:gridCol w:w="2880"/>
      </w:tblGrid>
      <w:tr>
        <w:trPr/>
        <w:tc>
          <w:tcPr>
            <w:tcW w:w="345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Informácie o</w:t>
            </w:r>
          </w:p>
        </w:tc>
        <w:tc>
          <w:tcPr>
            <w:tcW w:w="575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Suma</w:t>
            </w:r>
          </w:p>
        </w:tc>
      </w:tr>
      <w:tr>
        <w:trPr/>
        <w:tc>
          <w:tcPr>
            <w:tcW w:w="345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345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88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eastAsia="MS Gothic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Arial" w:ascii="Cambria" w:hAnsi="Cambria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  <w:t>Rúbaň 27.03.2018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/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i/>
          <w:sz w:val="20"/>
          <w:szCs w:val="20"/>
        </w:rPr>
        <w:t xml:space="preserve">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"/>
      </w:docPartObj>
      <w:id w:val="1222970491"/>
      <w:alias w:val="Title"/>
    </w:sdtPr>
    <w:sdtContent>
      <w:p>
        <w:pPr>
          <w:pStyle w:val="Zpat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18</w:t>
        </w:r>
        <w:r>
          <w:fldChar w:fldCharType="end"/>
        </w:r>
      </w:p>
    </w:sdtContent>
  </w:sdt>
  <w:p>
    <w:pPr>
      <w:pStyle w:val="Zpa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1" allowOverlap="1" relativeHeight="19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53205" cy="953135"/>
              <wp:effectExtent l="0" t="0" r="0" b="0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907800">
                        <a:off x="0" y="0"/>
                        <a:ext cx="4052520" cy="952560"/>
                      </a:xfrm>
                    </wpg:grpSpPr>
                    <wps:wsp>
                      <wps:cNvSpPr/>
                      <wps:spPr>
                        <a:xfrm>
                          <a:off x="530280" y="0"/>
                          <a:ext cx="3522240" cy="95256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</a:ln>
                      </wps:spPr>
                      <wps:bodyPr/>
                    </wps:wsp>
                    <wps:wsp>
                      <wps:cNvSpPr/>
                      <wps:spPr>
                        <a:xfrm rot="21550200">
                          <a:off x="3600" y="277560"/>
                          <a:ext cx="562680" cy="53604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rgbClr val="95b3d7"/>
                            </a:gs>
                            <a:gs pos="100000">
                              <a:srgbClr val="95b3d7"/>
                            </a:gs>
                          </a:gsLst>
                          <a:lin ang="0"/>
                        </a:gra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Group 63" style="position:absolute;margin-left:9.35pt;margin-top:0.05pt;width:318.75pt;height:74.95pt" coordorigin="187,1" coordsize="6375,1499">
              <v:line id="shape_0" from="1015,0" to="6561,1499" stroked="t" style="position:absolute;mso-position-horizontal:left;mso-position-horizontal-relative:page;mso-position-vertical:top;mso-position-vertical-relative:page">
                <v:stroke color="#95b3d7" joinstyle="round" endcap="flat"/>
                <v:fill on="false" o:detectmouseclick="t"/>
              </v:line>
              <v:oval id="shape_0" fillcolor="#95b3d7" stroked="f" style="position:absolute;left:186;top:450;width:885;height:843;rotation:359;mso-position-horizontal:left;mso-position-horizontal-relative:page;mso-position-vertical:top;mso-position-vertical-relative:page">
                <w10:wrap type="none"/>
                <v:fill color2="#95b3d7" o:detectmouseclick="t"/>
                <v:stroke color="#3465a4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PODV 3 - 01</w:t>
    </w:r>
  </w:p>
  <w:p>
    <w:pPr>
      <w:pStyle w:val="Zhlav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987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val="04a0"/>
    </w:tblPr>
    <w:tblGrid>
      <w:gridCol w:w="622"/>
      <w:gridCol w:w="329"/>
      <w:gridCol w:w="327"/>
      <w:gridCol w:w="328"/>
      <w:gridCol w:w="328"/>
      <w:gridCol w:w="328"/>
      <w:gridCol w:w="328"/>
      <w:gridCol w:w="328"/>
      <w:gridCol w:w="327"/>
      <w:gridCol w:w="851"/>
      <w:gridCol w:w="623"/>
      <w:gridCol w:w="328"/>
      <w:gridCol w:w="328"/>
      <w:gridCol w:w="328"/>
      <w:gridCol w:w="327"/>
      <w:gridCol w:w="329"/>
      <w:gridCol w:w="327"/>
      <w:gridCol w:w="328"/>
      <w:gridCol w:w="328"/>
      <w:gridCol w:w="328"/>
      <w:gridCol w:w="315"/>
    </w:tblGrid>
    <w:tr>
      <w:trPr>
        <w:trHeight w:val="340" w:hRule="atLeast"/>
      </w:trPr>
      <w:tc>
        <w:tcPr>
          <w:tcW w:w="622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329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329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328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31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Zhlav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6</w:t>
          </w:r>
        </w:p>
      </w:tc>
    </w:tr>
  </w:tbl>
  <w:p>
    <w:pPr>
      <w:pStyle w:val="Zhlav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ormal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Nadpis 2"/>
    <w:basedOn w:val="Normal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f0301d"/>
    <w:rPr/>
  </w:style>
  <w:style w:type="character" w:styleId="PtaChar" w:customStyle="1">
    <w:name w:val="Päta Char"/>
    <w:basedOn w:val="DefaultParagraphFont"/>
    <w:link w:val="Pta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Nadpis1Char" w:customStyle="1">
    <w:name w:val="Nadpis 1 Char"/>
    <w:basedOn w:val="DefaultParagraphFont"/>
    <w:link w:val="Nadpis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HornokrajformulraChar" w:customStyle="1">
    <w:name w:val="z-Horný okraj formulára Char"/>
    <w:basedOn w:val="DefaultParagraphFont"/>
    <w:link w:val="z-Hor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SpodnokrajformulraChar" w:customStyle="1">
    <w:name w:val="z-Spodný okraj formulára Char"/>
    <w:basedOn w:val="DefaultParagraphFont"/>
    <w:link w:val="z-Spod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Nadpis2Char" w:customStyle="1">
    <w:name w:val="Nadpis 2 Char"/>
    <w:basedOn w:val="DefaultParagraphFont"/>
    <w:link w:val="Nadpis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rFonts w:eastAsia="MS Gothic" w:cs="Arial"/>
      <w:b/>
      <w:sz w:val="20"/>
      <w:szCs w:val="24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Calibri"/>
    </w:rPr>
  </w:style>
  <w:style w:type="character" w:styleId="ListLabel6">
    <w:name w:val="ListLabel 6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Tělo textu"/>
    <w:basedOn w:val="Normal"/>
    <w:pPr>
      <w:spacing w:lineRule="auto" w:line="288" w:before="0" w:after="140"/>
    </w:pPr>
    <w:rPr/>
  </w:style>
  <w:style w:type="paragraph" w:styleId="Seznam">
    <w:name w:val="Seznam"/>
    <w:basedOn w:val="Tlotextu"/>
    <w:pPr/>
    <w:rPr>
      <w:rFonts w:cs="Mangal"/>
    </w:rPr>
  </w:style>
  <w:style w:type="paragraph" w:styleId="Popisek">
    <w:name w:val="Popisek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Záhlaví"/>
    <w:basedOn w:val="Normal"/>
    <w:link w:val="Hlavika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Zápatí"/>
    <w:basedOn w:val="Normal"/>
    <w:link w:val="Pta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link w:val="z-Hornokrajformulra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link w:val="z-Spodnokrajformulra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paragraph" w:styleId="Obsahtabulky">
    <w:name w:val="Obsah tabulky"/>
    <w:basedOn w:val="Normal"/>
    <w:qFormat/>
    <w:pPr/>
    <w:rPr/>
  </w:style>
  <w:style w:type="paragraph" w:styleId="Nadpistabulky">
    <w:name w:val="Nadpis tabulky"/>
    <w:basedOn w:val="Obsahtabul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97AA4"/>
    <w:rsid w:val="002D5101"/>
    <w:rsid w:val="004D37E1"/>
    <w:rsid w:val="00505AE4"/>
    <w:rsid w:val="005D39AB"/>
    <w:rsid w:val="005F76D2"/>
    <w:rsid w:val="00734361"/>
    <w:rsid w:val="00765710"/>
    <w:rsid w:val="008560A4"/>
    <w:rsid w:val="008B615A"/>
    <w:rsid w:val="009A4CBA"/>
    <w:rsid w:val="00A108B6"/>
    <w:rsid w:val="00A319A9"/>
    <w:rsid w:val="00A64B9E"/>
    <w:rsid w:val="00C731F6"/>
    <w:rsid w:val="00C80211"/>
    <w:rsid w:val="00CE0B5C"/>
    <w:rsid w:val="00CF451A"/>
    <w:rsid w:val="00D96ED7"/>
    <w:rsid w:val="00DA5BD5"/>
    <w:rsid w:val="00E06618"/>
    <w:rsid w:val="00E30D79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4B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8B17E-9212-41DA-AEC4-8EE42795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2293</TotalTime>
  <Application>LibreOffice/4.4.0.3$Windows_x86 LibreOffice_project/de093506bcdc5fafd9023ee680b8c60e3e0645d7</Application>
  <Paragraphs>616</Paragraphs>
  <Company>ATC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2018-03-02T09:18:00Z</dcterms:created>
  <dc:creator>R</dc:creator>
  <dc:language>sk-SK</dc:language>
  <cp:lastPrinted>2018-01-31T17:17:00Z</cp:lastPrinted>
  <dcterms:modified xsi:type="dcterms:W3CDTF">2018-03-28T14:23:22Z</dcterms:modified>
  <cp:revision>10</cp:revision>
  <dc:title>Poznámky Úč PODV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ATC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