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tbl>
      <w:tblPr/>
      <w:tblGrid>
        <w:gridCol w:w="3070"/>
        <w:gridCol w:w="3071"/>
        <w:gridCol w:w="3071"/>
      </w:tblGrid>
      <w:tr>
        <w:trPr>
          <w:trHeight w:val="1" w:hRule="atLeast"/>
          <w:jc w:val="left"/>
        </w:trPr>
        <w:tc>
          <w:tcPr>
            <w:tcW w:w="30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Poznámky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 MÚJ 3 - 01</w:t>
            </w:r>
          </w:p>
        </w:tc>
        <w:tc>
          <w:tcPr>
            <w:tcW w:w="307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ČO:36543217</w:t>
            </w:r>
          </w:p>
        </w:tc>
        <w:tc>
          <w:tcPr>
            <w:tcW w:w="307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DI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Č:2021586787</w:t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čtovné obdobie: 1.1.2017-31.12.2017</w:t>
      </w: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ČL. I. VŠEOBECNÉ  ÚDAJE</w:t>
      </w:r>
    </w:p>
    <w:p>
      <w:pPr>
        <w:numPr>
          <w:ilvl w:val="0"/>
          <w:numId w:val="6"/>
        </w:numPr>
        <w:spacing w:before="0" w:after="200" w:line="276"/>
        <w:ind w:right="0" w:left="720" w:hanging="36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Názov a sídlo právnickej osoby.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ab/>
        <w:t xml:space="preserve">HI.LA spol. s r. o., Hadovce 95, 94501 Komárno</w:t>
      </w:r>
    </w:p>
    <w:p>
      <w:pPr>
        <w:numPr>
          <w:ilvl w:val="0"/>
          <w:numId w:val="8"/>
        </w:numPr>
        <w:spacing w:before="0" w:after="200" w:line="276"/>
        <w:ind w:right="0" w:left="720" w:hanging="36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Údaje o konsolidovanom celku</w:t>
      </w:r>
    </w:p>
    <w:p>
      <w:pPr>
        <w:numPr>
          <w:ilvl w:val="0"/>
          <w:numId w:val="8"/>
        </w:numPr>
        <w:spacing w:before="0" w:after="200" w:line="276"/>
        <w:ind w:right="0" w:left="1080" w:hanging="36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Názov a sídlo konsolidovanej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čtovnej jednotky, ktorá zostavuje konsolidovanú účtovnú závierku za tú skupinu účtovných jednotiek konsolidovaného celu, ktorého súčasťou je aj účtovná jednotka; uvádza sa aj obchodné meno a sídlo účtovnej jednotky, ktorá je bezprostredne konsolidujúcou účtovnou jednotkou, </w:t>
      </w:r>
    </w:p>
    <w:p>
      <w:pPr>
        <w:numPr>
          <w:ilvl w:val="0"/>
          <w:numId w:val="8"/>
        </w:numPr>
        <w:spacing w:before="0" w:after="200" w:line="276"/>
        <w:ind w:right="0" w:left="1080" w:hanging="36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údaj,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či účtovná jednotka je materskou účtovnou jednotkou a údaj, či je oslobodená od povinnosti zostaviť konsolidovanú účtovnú závierku a konsolidovanú výročnú správu podľa § 22 zákona, pričom sa uvádzajú  </w:t>
      </w:r>
    </w:p>
    <w:p>
      <w:pPr>
        <w:numPr>
          <w:ilvl w:val="0"/>
          <w:numId w:val="8"/>
        </w:numPr>
        <w:spacing w:before="0" w:after="200" w:line="276"/>
        <w:ind w:right="0" w:left="1440" w:hanging="36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pri oslobodení pod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ľa § 22 ods. 8 zákona obchodné meno a sídlo materskej účtovnej jednotky zostavujúcej konsolidovanú účtovnú závierku podľa osobitných predpisov,4) </w:t>
      </w:r>
    </w:p>
    <w:p>
      <w:pPr>
        <w:numPr>
          <w:ilvl w:val="0"/>
          <w:numId w:val="8"/>
        </w:numPr>
        <w:spacing w:before="0" w:after="200" w:line="276"/>
        <w:ind w:right="0" w:left="1440" w:hanging="36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pri oslobodení pod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ľa § 22 ods. 12 zákona obchodné meno a sídlo dcérskych účtovných jednotiek. 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          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čtovná jednotka  nie je členom konsolidovaného celku.</w:t>
      </w:r>
    </w:p>
    <w:p>
      <w:pPr>
        <w:spacing w:before="0" w:after="200" w:line="276"/>
        <w:ind w:right="0" w:left="426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3.  Priemerný prepo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čítaný počet zamestnancov.</w:t>
      </w:r>
    </w:p>
    <w:p>
      <w:pPr>
        <w:spacing w:before="0" w:after="200" w:line="276"/>
        <w:ind w:right="0" w:left="426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Priemerný prepo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čítaný počet zamestnancov účtovnej jednotky je: 3</w:t>
      </w:r>
    </w:p>
    <w:p>
      <w:pPr>
        <w:spacing w:before="0" w:after="200" w:line="276"/>
        <w:ind w:right="0" w:left="426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426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ČL. II.  INFORMÁCIE O PRIJATÝCH  POSTUOCH</w:t>
      </w:r>
    </w:p>
    <w:p>
      <w:pPr>
        <w:numPr>
          <w:ilvl w:val="0"/>
          <w:numId w:val="14"/>
        </w:numPr>
        <w:spacing w:before="0" w:after="0" w:line="240"/>
        <w:ind w:right="0" w:left="720" w:hanging="36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Informácia,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či je účtovná závierka zostavená za splnenia predpokladu, že účtovná jednotka bude nepretržite pokračovať vo svojej činnosti. </w:t>
      </w:r>
    </w:p>
    <w:p>
      <w:pPr>
        <w:spacing w:before="0" w:after="0" w:line="240"/>
        <w:ind w:right="0" w:left="720" w:firstLine="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720" w:firstLine="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  <w:t xml:space="preserve">čtovná závierka je zostavená za predpokladu, že bude nepretržite pokračovať vo svojej činnosti.</w:t>
      </w:r>
    </w:p>
    <w:p>
      <w:pPr>
        <w:spacing w:before="0" w:after="0" w:line="240"/>
        <w:ind w:right="0" w:left="720" w:firstLine="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6"/>
        </w:numPr>
        <w:spacing w:before="0" w:after="0" w:line="240"/>
        <w:ind w:right="0" w:left="720" w:hanging="36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Spôsob oce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ňovania jednotlivých položiek majetku a záväzkov, a to </w:t>
      </w:r>
    </w:p>
    <w:p>
      <w:pPr>
        <w:numPr>
          <w:ilvl w:val="0"/>
          <w:numId w:val="16"/>
        </w:numPr>
        <w:spacing w:before="0" w:after="27" w:line="240"/>
        <w:ind w:right="0" w:left="1069" w:hanging="36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dlhodobého nehmotného majetku, dlhodobého hmotného majetku a dlhodobého finan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čného majetku</w:t>
      </w:r>
    </w:p>
    <w:p>
      <w:pPr>
        <w:spacing w:before="0" w:after="27" w:line="240"/>
        <w:ind w:right="0" w:left="1069" w:firstLine="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  <w:t xml:space="preserve">čtovné jednotka dlhodobý nehmotný majetok nemá.</w:t>
      </w:r>
    </w:p>
    <w:p>
      <w:pPr>
        <w:spacing w:before="0" w:after="27" w:line="240"/>
        <w:ind w:right="0" w:left="1069" w:firstLine="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  <w:t xml:space="preserve">čtovná jednotka dlhodobý hmotný majetok oceňuje v zmysle §21 postupov účtovníctva v podvojnom účtovníctve</w:t>
      </w:r>
    </w:p>
    <w:p>
      <w:pPr>
        <w:spacing w:before="0" w:after="27" w:line="240"/>
        <w:ind w:right="0" w:left="1069" w:firstLine="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  <w:t xml:space="preserve">čtovná jednotka finančný majetok nemá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.</w:t>
      </w:r>
    </w:p>
    <w:p>
      <w:pPr>
        <w:numPr>
          <w:ilvl w:val="0"/>
          <w:numId w:val="19"/>
        </w:numPr>
        <w:spacing w:before="0" w:after="27" w:line="240"/>
        <w:ind w:right="0" w:left="1069" w:hanging="36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zásob obstaraných kúpou, zásob vytvorených vlastnou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činnosťou</w:t>
      </w:r>
    </w:p>
    <w:p>
      <w:pPr>
        <w:spacing w:before="0" w:after="27" w:line="240"/>
        <w:ind w:right="0" w:left="1069" w:firstLine="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  <w:t xml:space="preserve">čtovná jednotka zásoby obstarané kúpou oceňuje v zmysle § 22 a 23 postupov účtovania v podvojnom účtovníctve.</w:t>
      </w:r>
    </w:p>
    <w:p>
      <w:pPr>
        <w:spacing w:before="0" w:after="27" w:line="240"/>
        <w:ind w:right="0" w:left="1069" w:firstLine="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  <w:t xml:space="preserve">čtovná jednotka zásoby vytvorené vlastnou činnosťou nemá.</w:t>
      </w:r>
    </w:p>
    <w:p>
      <w:pPr>
        <w:spacing w:before="0" w:after="27" w:line="240"/>
        <w:ind w:right="0" w:left="1069" w:firstLine="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21"/>
        </w:numPr>
        <w:spacing w:before="0" w:after="27" w:line="240"/>
        <w:ind w:right="0" w:left="1069" w:hanging="36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poh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ľadávok</w:t>
      </w:r>
    </w:p>
    <w:p>
      <w:pPr>
        <w:spacing w:before="0" w:after="27" w:line="240"/>
        <w:ind w:right="0" w:left="1069" w:firstLine="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  <w:t xml:space="preserve">čtovná jednotka oceňuje pohľadávky ich nominálnou hodnotou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.</w:t>
      </w:r>
    </w:p>
    <w:p>
      <w:pPr>
        <w:numPr>
          <w:ilvl w:val="0"/>
          <w:numId w:val="23"/>
        </w:numPr>
        <w:spacing w:before="0" w:after="27" w:line="240"/>
        <w:ind w:right="0" w:left="1069" w:hanging="36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krátkodobého finan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čného majetku</w:t>
      </w:r>
    </w:p>
    <w:p>
      <w:pPr>
        <w:spacing w:before="0" w:after="27" w:line="240"/>
        <w:ind w:right="0" w:left="1069" w:firstLine="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  <w:t xml:space="preserve">čtovná jednotka krátkodobý finančný majetok oceňuje ich nominálnou hodnotou.</w:t>
      </w:r>
    </w:p>
    <w:p>
      <w:pPr>
        <w:numPr>
          <w:ilvl w:val="0"/>
          <w:numId w:val="25"/>
        </w:numPr>
        <w:spacing w:before="0" w:after="27" w:line="240"/>
        <w:ind w:right="0" w:left="1069" w:hanging="36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záväzkov vrátane rezerv, dlhopisov, pôži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čiek a úverov</w:t>
      </w:r>
    </w:p>
    <w:p>
      <w:pPr>
        <w:spacing w:before="0" w:after="27" w:line="240"/>
        <w:ind w:right="0" w:left="1069" w:firstLine="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  <w:t xml:space="preserve">čtovná jednotka záväzky oceňuje ich nominálnou hodnotou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.</w:t>
      </w:r>
    </w:p>
    <w:p>
      <w:pPr>
        <w:numPr>
          <w:ilvl w:val="0"/>
          <w:numId w:val="27"/>
        </w:numPr>
        <w:spacing w:before="0" w:after="0" w:line="240"/>
        <w:ind w:right="0" w:left="1069" w:hanging="36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derivátových operácií</w:t>
      </w:r>
    </w:p>
    <w:p>
      <w:pPr>
        <w:spacing w:before="0" w:after="0" w:line="240"/>
        <w:ind w:right="0" w:left="1069" w:firstLine="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  <w:t xml:space="preserve">čtovná jednotka derivátové operácie nemá.</w:t>
      </w:r>
    </w:p>
    <w:p>
      <w:pPr>
        <w:spacing w:before="0" w:after="0" w:line="240"/>
        <w:ind w:right="0" w:left="1069" w:firstLine="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29"/>
        </w:numPr>
        <w:spacing w:before="0" w:after="0" w:line="240"/>
        <w:ind w:right="0" w:left="720" w:hanging="36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Spôsob zostavenia odpisového plánu pre jednotlivé druhy dlhodobého hmotného majetku  a dlhodobého nehmotného majetku, pri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čom sa uvádza doba odpisovania, použité sadzby odpisov a odpisové metódy pri určení odpisov.</w:t>
      </w:r>
    </w:p>
    <w:p>
      <w:pPr>
        <w:spacing w:before="0" w:after="0" w:line="240"/>
        <w:ind w:right="0" w:left="720" w:firstLine="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  <w:t xml:space="preserve">čtovná jednotka pre dlhodobý nehmotný majetok odpisový plán nezostavuje, pretože nemá nehmotný majetok.</w:t>
      </w:r>
    </w:p>
    <w:p>
      <w:pPr>
        <w:spacing w:before="0" w:after="0" w:line="240"/>
        <w:ind w:right="0" w:left="720" w:firstLine="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  <w:t xml:space="preserve">čtovná jednotka zostavuje odpisový plán pre jednotlivé druhy hmotného majetku tak, že účtovné odpisy sa rovnajú daňovým odpisom, t.j. používajú sa odpisové skupiny a sadzby v zmysle zákona o dani z príjmov. Používa sa metóda rovnomerného odpisovania.</w:t>
      </w:r>
    </w:p>
    <w:p>
      <w:pPr>
        <w:spacing w:before="0" w:after="0" w:line="240"/>
        <w:ind w:right="0" w:left="720" w:firstLine="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31"/>
        </w:numPr>
        <w:spacing w:before="0" w:after="0" w:line="240"/>
        <w:ind w:right="0" w:left="720" w:hanging="36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Zmeny ú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čtovných zásad a zmeny účtovných metód s uvedením dôvodu týchto zmien a vyčíslením ich vplyvu na finančnú hodnotu majetku, záväzkov, základného imania a výsledku hospodárenia účtovnej jednotky. </w:t>
      </w:r>
    </w:p>
    <w:p>
      <w:pPr>
        <w:spacing w:before="0" w:after="0" w:line="240"/>
        <w:ind w:right="0" w:left="720" w:firstLine="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  <w:t xml:space="preserve">Nenastali žiadne zmeny ú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  <w:t xml:space="preserve">čtovných zásad a ani zmeny účtovných metód.</w:t>
      </w:r>
    </w:p>
    <w:p>
      <w:pPr>
        <w:spacing w:before="0" w:after="0" w:line="240"/>
        <w:ind w:right="0" w:left="720" w:firstLine="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33"/>
        </w:numPr>
        <w:spacing w:before="0" w:after="0" w:line="240"/>
        <w:ind w:right="0" w:left="720" w:hanging="36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Informácie o dotáciách a ich oce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ňovanie v účtovníctve. </w:t>
      </w:r>
    </w:p>
    <w:p>
      <w:pPr>
        <w:spacing w:before="0" w:after="0" w:line="240"/>
        <w:ind w:right="0" w:left="720" w:firstLine="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  <w:t xml:space="preserve">čtovná jednotka nemá žiadne dotácie.</w:t>
      </w:r>
    </w:p>
    <w:p>
      <w:pPr>
        <w:spacing w:before="0" w:after="0" w:line="240"/>
        <w:ind w:right="0" w:left="720" w:firstLine="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</w:pPr>
    </w:p>
    <w:p>
      <w:pPr>
        <w:numPr>
          <w:ilvl w:val="0"/>
          <w:numId w:val="35"/>
        </w:numPr>
        <w:spacing w:before="0" w:after="0" w:line="240"/>
        <w:ind w:right="0" w:left="720" w:hanging="36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Informácie o ú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>
      <w:pPr>
        <w:spacing w:before="0" w:after="0" w:line="240"/>
        <w:ind w:right="0" w:left="720" w:firstLine="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  <w:t xml:space="preserve">čtovná jednotka nevykonala žiadne významné, ani nevýznamné opravy minulých účtovných období.</w:t>
      </w:r>
    </w:p>
    <w:p>
      <w:pPr>
        <w:spacing w:before="0" w:after="0" w:line="240"/>
        <w:ind w:right="0" w:left="720" w:firstLine="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851" w:hanging="425"/>
        <w:jc w:val="center"/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  <w:t xml:space="preserve">ČL. III.  INFORMÁCIE  KTORÉ  VYSVETĽUJÚ  A DOPĹŇAJÚ  SÚVAHU  A VÝKAZ  ZISKOV  A STRÁT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39"/>
        </w:numPr>
        <w:spacing w:before="0" w:after="0" w:line="240"/>
        <w:ind w:right="0" w:left="720" w:hanging="36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Informácia o sume a dôvodoch vzniku jednotlivých položiek nákladov alebo výnosov, ktoré majú výnimo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čný rozsah alebo výskyt, napríklad výnosy z predaja podniku alebo časti podniku, náklady z dôvodu predaja podniku alebo časti podniku, škody z dôvodu živelných pohrôm. </w:t>
      </w:r>
    </w:p>
    <w:p>
      <w:pPr>
        <w:spacing w:before="0" w:after="0" w:line="240"/>
        <w:ind w:right="0" w:left="720" w:firstLine="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  <w:t xml:space="preserve">V ú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  <w:t xml:space="preserve">čtovnej jednotke nevznikli žiadne položky nákladov a alebo výnosov, ktoré majú výnimočný rozsah alebo výskyt.</w:t>
      </w:r>
    </w:p>
    <w:p>
      <w:pPr>
        <w:spacing w:before="0" w:after="0" w:line="240"/>
        <w:ind w:right="0" w:left="720" w:firstLine="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41"/>
        </w:numPr>
        <w:spacing w:before="0" w:after="0" w:line="240"/>
        <w:ind w:right="0" w:left="720" w:hanging="36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Informácie o záväzkoch, a to </w:t>
      </w:r>
    </w:p>
    <w:p>
      <w:pPr>
        <w:numPr>
          <w:ilvl w:val="0"/>
          <w:numId w:val="41"/>
        </w:numPr>
        <w:spacing w:before="0" w:after="27" w:line="240"/>
        <w:ind w:right="0" w:left="1104" w:hanging="36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celkovej sume záväzkov so zostatkovou dobou splatnosti dlhšou ako pä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ť rokov, </w:t>
      </w:r>
    </w:p>
    <w:p>
      <w:pPr>
        <w:spacing w:before="0" w:after="27" w:line="240"/>
        <w:ind w:right="0" w:left="1104" w:firstLine="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  <w:t xml:space="preserve">čtovná jednotka nemá záväzky s dobou splatnosti dlhšou ako päť rokov.</w:t>
      </w:r>
    </w:p>
    <w:p>
      <w:pPr>
        <w:numPr>
          <w:ilvl w:val="0"/>
          <w:numId w:val="44"/>
        </w:numPr>
        <w:spacing w:before="0" w:after="0" w:line="240"/>
        <w:ind w:right="0" w:left="1104" w:hanging="36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celkovej sume zabezpe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čených záväzkov, opis a spôsoby zabezpečenia záväzkov. </w:t>
      </w:r>
    </w:p>
    <w:p>
      <w:pPr>
        <w:spacing w:before="0" w:after="0" w:line="240"/>
        <w:ind w:right="0" w:left="1104" w:firstLine="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  <w:t xml:space="preserve">čtovná jednotka nemá zabezpečené záväzky.</w:t>
      </w:r>
    </w:p>
    <w:p>
      <w:pPr>
        <w:spacing w:before="0" w:after="0" w:line="240"/>
        <w:ind w:right="0" w:left="1104" w:firstLine="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</w:p>
    <w:p>
      <w:pPr>
        <w:tabs>
          <w:tab w:val="left" w:pos="284" w:leader="none"/>
        </w:tabs>
        <w:spacing w:before="0" w:after="0" w:line="240"/>
        <w:ind w:right="0" w:left="0" w:firstLine="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       3.    Informácie o vlastných akciách, a to </w:t>
      </w:r>
    </w:p>
    <w:p>
      <w:pPr>
        <w:spacing w:before="0" w:after="28" w:line="240"/>
        <w:ind w:right="0" w:left="709" w:hanging="283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      a) dôvode nadobudnutia vlastných akcií po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čas účtovného obdobia, </w:t>
      </w:r>
    </w:p>
    <w:p>
      <w:pPr>
        <w:spacing w:before="0" w:after="28" w:line="240"/>
        <w:ind w:right="0" w:left="709" w:hanging="283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     b) informáciách, ktorými sú </w:t>
      </w:r>
    </w:p>
    <w:p>
      <w:pPr>
        <w:spacing w:before="0" w:after="28" w:line="240"/>
        <w:ind w:right="0" w:left="1276" w:hanging="566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     3.1. po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čet a menovitá hodnota nadobudnutých vlastných akcií počas účtovného obdobia   a   počet a menovitá hodnota prevedených vlastných akcií počas účtovného obdobia, pričom sa uvádza percentuálna hodnota týchto vlastných akcií na upísanom základnom imaní, </w:t>
      </w:r>
    </w:p>
    <w:p>
      <w:pPr>
        <w:tabs>
          <w:tab w:val="left" w:pos="709" w:leader="none"/>
        </w:tabs>
        <w:spacing w:before="0" w:after="28" w:line="240"/>
        <w:ind w:right="0" w:left="1276" w:hanging="85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         3.2. po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čet a hodnota, za ktorú sa vlastné akcie počas účtovného obdobia nadobudli a počet a hodnota, za ktorú sa vlastné akcie počas účtovného obdobia previedli na inú osobu, </w:t>
      </w:r>
    </w:p>
    <w:p>
      <w:pPr>
        <w:spacing w:before="0" w:after="0" w:line="240"/>
        <w:ind w:right="0" w:left="993" w:hanging="567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     c) po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čte, menovitej hodnote a hodnote, za ktorú sa vlastné akcie nadobudli a ktoré účtovná jednotka má v držbe k poslednému dňu účtovného obdobia; uvádza sa aj ich percentuálny podiel na upísanom základnom imaní. </w:t>
      </w:r>
    </w:p>
    <w:p>
      <w:pPr>
        <w:spacing w:before="0" w:after="0" w:line="240"/>
        <w:ind w:right="0" w:left="993" w:hanging="567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     </w:t>
      </w:r>
    </w:p>
    <w:p>
      <w:pPr>
        <w:spacing w:before="0" w:after="0" w:line="240"/>
        <w:ind w:right="0" w:left="993" w:hanging="567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     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  <w:t xml:space="preserve">čtovná jednotka nemá vlastné akcie.</w:t>
      </w:r>
    </w:p>
    <w:p>
      <w:pPr>
        <w:spacing w:before="0" w:after="0" w:line="240"/>
        <w:ind w:right="0" w:left="993" w:hanging="567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  </w:t>
      </w:r>
    </w:p>
    <w:p>
      <w:pPr>
        <w:spacing w:before="0" w:after="0" w:line="240"/>
        <w:ind w:right="0" w:left="709" w:hanging="283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4.   Informácie o orgánoch ú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čtovnej jednotky, a to </w:t>
      </w:r>
    </w:p>
    <w:p>
      <w:pPr>
        <w:spacing w:before="0" w:after="27" w:line="240"/>
        <w:ind w:right="0" w:left="993" w:hanging="567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      a) výške jednotlivých druhov záruk alebo iných zabezpe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čení poskytnutých pre členov štatutárneho orgánu, dozorného orgánu a iného orgánu účtovnej jednotky, a to v členení za jednotlivé orgány, </w:t>
      </w:r>
    </w:p>
    <w:p>
      <w:pPr>
        <w:tabs>
          <w:tab w:val="left" w:pos="851" w:leader="none"/>
        </w:tabs>
        <w:spacing w:before="0" w:after="27" w:line="240"/>
        <w:ind w:right="0" w:left="993" w:hanging="425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    b) pôži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čkách poskytnutých členom štatutárneho orgánu, dozorného orgánu a iného orgánu účtovnej jednotky a to </w:t>
      </w:r>
    </w:p>
    <w:p>
      <w:pPr>
        <w:tabs>
          <w:tab w:val="left" w:pos="851" w:leader="none"/>
          <w:tab w:val="left" w:pos="993" w:leader="none"/>
          <w:tab w:val="left" w:pos="1276" w:leader="none"/>
        </w:tabs>
        <w:spacing w:before="0" w:after="27" w:line="240"/>
        <w:ind w:right="0" w:left="1418" w:hanging="992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            1.  celková suma poskytnutých pôži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čiek k poslednému dňu účtovného obdobia v   členení za jednotlivé orgány, </w:t>
      </w:r>
    </w:p>
    <w:p>
      <w:pPr>
        <w:spacing w:before="0" w:after="0" w:line="240"/>
        <w:ind w:right="0" w:left="1418" w:hanging="425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2.    celková suma splatených pôži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čiek k poslednému dňu účtovného obdobia v členení za jednotlivé orgány, </w:t>
      </w:r>
    </w:p>
    <w:p>
      <w:pPr>
        <w:spacing w:before="0" w:after="27" w:line="240"/>
        <w:ind w:right="0" w:left="1418" w:hanging="1418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                     3.  celková suma odpustených pôži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čiek a odpísaných pôžičiek k poslednému dňu účtovného obdobia v členení za jednotlivé orgány, </w:t>
      </w:r>
    </w:p>
    <w:p>
      <w:pPr>
        <w:spacing w:before="0" w:after="27" w:line="240"/>
        <w:ind w:right="0" w:left="993" w:hanging="567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      c) hlavných podmienkach, na základe ktorých im boli záruky alebo iné zabezpe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čenie a  pôžičky poskytnuté; pri pôžičkách sa uvádzajú úrokové sadzby, </w:t>
      </w:r>
    </w:p>
    <w:p>
      <w:pPr>
        <w:spacing w:before="0" w:after="0" w:line="240"/>
        <w:ind w:right="0" w:left="993" w:hanging="567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      d) celkovej sume použitých finan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čných prostriedkov alebo iného plnenia na súkromné účely členmi štatutárneho orgánu, dozorného orgánu a iného orgánu účtovnej jednotky, ktoré je potrebné vyúčtovať. </w:t>
      </w:r>
    </w:p>
    <w:p>
      <w:pPr>
        <w:spacing w:before="0" w:after="0" w:line="240"/>
        <w:ind w:right="0" w:left="993" w:hanging="567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          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  <w:t xml:space="preserve">čtovná jednotka neposkytla žiadne záruky a zabezpečenia pre členov štatutárnych orgánov, dozorného orgánu a iného orgánu účtovnej jednotky. Účtovná jednotka neposkytla pôžičky členom štatutárneho orgánu, dozorného orgánu a iného orgánu účtovnej jednoty.</w:t>
      </w:r>
    </w:p>
    <w:p>
      <w:pPr>
        <w:spacing w:before="0" w:after="0" w:line="240"/>
        <w:ind w:right="0" w:left="709" w:hanging="283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709" w:hanging="283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5.  Informácie o povinnostiach ú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čtovnej jednotky, a to </w:t>
      </w:r>
    </w:p>
    <w:p>
      <w:pPr>
        <w:spacing w:before="0" w:after="27" w:line="240"/>
        <w:ind w:right="0" w:left="993" w:hanging="284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a) celkovej sume finan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>
      <w:pPr>
        <w:spacing w:before="0" w:after="27" w:line="240"/>
        <w:ind w:right="0" w:left="993" w:hanging="284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b) celkovej sume významných podmienených záväzkov, ktorými sa rozumie </w:t>
      </w:r>
    </w:p>
    <w:p>
      <w:pPr>
        <w:spacing w:before="0" w:after="27" w:line="240"/>
        <w:ind w:right="0" w:left="1134" w:hanging="708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         1. možná povinnos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ť, ktorá vznikla ako dôsledok minulej udalosti a ktorej existencia závisí od toho, či nastane alebo nenastane jedna alebo viac neistých udalostí v budúcnosti, ktorých vznik nezávisí od účtovnej jednotky, alebo </w:t>
      </w:r>
    </w:p>
    <w:p>
      <w:pPr>
        <w:spacing w:before="0" w:after="27" w:line="240"/>
        <w:ind w:right="0" w:left="1134" w:hanging="708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        2. existujúca povinnos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ť, ktorá vznikla ako dôsledok minulej udalosti, ale ktorá sa nevykazuje v súvahe, pretože </w:t>
      </w:r>
    </w:p>
    <w:p>
      <w:pPr>
        <w:tabs>
          <w:tab w:val="left" w:pos="1418" w:leader="none"/>
        </w:tabs>
        <w:spacing w:before="0" w:after="27" w:line="240"/>
        <w:ind w:right="0" w:left="1134" w:hanging="283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     2a. nie je pravdepodobné, že na splnenie tejto povinnosti bude potrebný úbytok  ekonomických úžitkov, alebo </w:t>
      </w:r>
    </w:p>
    <w:p>
      <w:pPr>
        <w:spacing w:before="0" w:after="27" w:line="240"/>
        <w:ind w:right="0" w:left="709" w:hanging="283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             2b. výška tejto povinnosti sa nedá spo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ľahlivo oceniť, </w:t>
      </w:r>
    </w:p>
    <w:p>
      <w:pPr>
        <w:spacing w:before="0" w:after="27" w:line="240"/>
        <w:ind w:right="0" w:left="709" w:hanging="283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      c)   opise významných finan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čných povinností a významných podmienených záväzkov, </w:t>
      </w:r>
    </w:p>
    <w:p>
      <w:pPr>
        <w:spacing w:before="0" w:after="27" w:line="240"/>
        <w:ind w:right="0" w:left="993" w:hanging="283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d) celkovej sume významných finan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čných povinností a významných podmienených záväzkoch voči dcérskej účtovnej jednotke a účtovnej jednotke s podstatným vplyvom, </w:t>
      </w:r>
    </w:p>
    <w:p>
      <w:pPr>
        <w:spacing w:before="0" w:after="0" w:line="240"/>
        <w:ind w:right="0" w:left="993" w:hanging="993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              e) opise významných povinností ú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čtovnej jednotky vyplývajúcich z dôchodkových  programov pre zamestnancov. </w:t>
      </w:r>
    </w:p>
    <w:p>
      <w:pPr>
        <w:spacing w:before="0" w:after="0" w:line="240"/>
        <w:ind w:right="0" w:left="851" w:hanging="425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      </w:t>
      </w:r>
    </w:p>
    <w:p>
      <w:pPr>
        <w:spacing w:before="0" w:after="0" w:line="240"/>
        <w:ind w:right="0" w:left="851" w:hanging="425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     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  <w:t xml:space="preserve">Žiadne uvedené povinnosti ú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  <w:t xml:space="preserve">čtovná jednotka nevykazuje.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426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108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abstractNum w:abstractNumId="48">
    <w:lvl w:ilvl="0">
      <w:start w:val="1"/>
      <w:numFmt w:val="bullet"/>
      <w:lvlText w:val="•"/>
    </w:lvl>
  </w:abstractNum>
  <w:abstractNum w:abstractNumId="54">
    <w:lvl w:ilvl="0">
      <w:start w:val="1"/>
      <w:numFmt w:val="bullet"/>
      <w:lvlText w:val="•"/>
    </w:lvl>
  </w:abstractNum>
  <w:abstractNum w:abstractNumId="60">
    <w:lvl w:ilvl="0">
      <w:start w:val="1"/>
      <w:numFmt w:val="bullet"/>
      <w:lvlText w:val="•"/>
    </w:lvl>
  </w:abstractNum>
  <w:abstractNum w:abstractNumId="66">
    <w:lvl w:ilvl="0">
      <w:start w:val="1"/>
      <w:numFmt w:val="bullet"/>
      <w:lvlText w:val="•"/>
    </w:lvl>
  </w:abstractNum>
  <w:abstractNum w:abstractNumId="72">
    <w:lvl w:ilvl="0">
      <w:start w:val="1"/>
      <w:numFmt w:val="bullet"/>
      <w:lvlText w:val="•"/>
    </w:lvl>
  </w:abstractNum>
  <w:abstractNum w:abstractNumId="78">
    <w:lvl w:ilvl="0">
      <w:start w:val="1"/>
      <w:numFmt w:val="bullet"/>
      <w:lvlText w:val="•"/>
    </w:lvl>
  </w:abstractNum>
  <w:abstractNum w:abstractNumId="84">
    <w:lvl w:ilvl="0">
      <w:start w:val="1"/>
      <w:numFmt w:val="bullet"/>
      <w:lvlText w:val="•"/>
    </w:lvl>
  </w:abstractNum>
  <w:abstractNum w:abstractNumId="90">
    <w:lvl w:ilvl="0">
      <w:start w:val="1"/>
      <w:numFmt w:val="bullet"/>
      <w:lvlText w:val="•"/>
    </w:lvl>
  </w:abstractNum>
  <w:num w:numId="6">
    <w:abstractNumId w:val="90"/>
  </w:num>
  <w:num w:numId="8">
    <w:abstractNumId w:val="84"/>
  </w:num>
  <w:num w:numId="14">
    <w:abstractNumId w:val="78"/>
  </w:num>
  <w:num w:numId="16">
    <w:abstractNumId w:val="72"/>
  </w:num>
  <w:num w:numId="19">
    <w:abstractNumId w:val="66"/>
  </w:num>
  <w:num w:numId="21">
    <w:abstractNumId w:val="60"/>
  </w:num>
  <w:num w:numId="23">
    <w:abstractNumId w:val="54"/>
  </w:num>
  <w:num w:numId="25">
    <w:abstractNumId w:val="48"/>
  </w:num>
  <w:num w:numId="27">
    <w:abstractNumId w:val="42"/>
  </w:num>
  <w:num w:numId="29">
    <w:abstractNumId w:val="36"/>
  </w:num>
  <w:num w:numId="31">
    <w:abstractNumId w:val="30"/>
  </w:num>
  <w:num w:numId="33">
    <w:abstractNumId w:val="24"/>
  </w:num>
  <w:num w:numId="35">
    <w:abstractNumId w:val="18"/>
  </w:num>
  <w:num w:numId="39">
    <w:abstractNumId w:val="12"/>
  </w:num>
  <w:num w:numId="41">
    <w:abstractNumId w:val="6"/>
  </w:num>
  <w:num w:numId="4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