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</w:t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Všeobecné informácie</w:t>
      </w:r>
    </w:p>
    <w:p>
      <w:pPr>
        <w:pStyle w:val="Normal"/>
        <w:jc w:val="center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b/>
          <w:b/>
          <w:sz w:val="24"/>
        </w:rPr>
      </w:pPr>
      <w:r>
        <w:rPr>
          <w:b/>
          <w:sz w:val="24"/>
        </w:rPr>
        <w:t xml:space="preserve">1. </w:t>
      </w:r>
      <w:r>
        <w:rPr>
          <w:b/>
          <w:sz w:val="22"/>
          <w:szCs w:val="22"/>
        </w:rPr>
        <w:t>Názov a sídlo právnickej osoby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2"/>
        </w:rPr>
      </w:pPr>
      <w:r>
        <w:rPr>
          <w:sz w:val="22"/>
        </w:rPr>
        <w:tab/>
        <w:tab/>
        <w:t xml:space="preserve">                                                  </w:t>
      </w:r>
      <w:r>
        <w:rPr>
          <w:b/>
          <w:sz w:val="22"/>
        </w:rPr>
        <w:t>MURAT CK ,  s.r.o.,</w:t>
      </w:r>
      <w:r>
        <w:rPr>
          <w:sz w:val="22"/>
        </w:rPr>
        <w:t xml:space="preserve"> </w:t>
        <w:tab/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>Jiráskova cesta 12</w:t>
      </w:r>
    </w:p>
    <w:p>
      <w:pPr>
        <w:pStyle w:val="Normal"/>
        <w:jc w:val="both"/>
        <w:rPr>
          <w:sz w:val="22"/>
        </w:rPr>
      </w:pPr>
      <w:r>
        <w:rPr>
          <w:sz w:val="22"/>
        </w:rPr>
        <w:tab/>
        <w:tab/>
        <w:tab/>
        <w:tab/>
        <w:tab/>
        <w:tab/>
        <w:t xml:space="preserve"> 984 01  Lučenec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sz w:val="22"/>
        </w:rPr>
      </w:pPr>
      <w:r>
        <w:rPr>
          <w:b/>
          <w:sz w:val="22"/>
        </w:rPr>
        <w:t xml:space="preserve">    </w:t>
      </w:r>
      <w:r>
        <w:rPr>
          <w:b/>
          <w:sz w:val="22"/>
        </w:rPr>
        <w:t>opis hospodárskej činnosti</w:t>
      </w:r>
      <w:r>
        <w:rPr>
          <w:sz w:val="22"/>
        </w:rPr>
        <w:t xml:space="preserve">: </w:t>
        <w:tab/>
        <w:tab/>
        <w:tab/>
        <w:t xml:space="preserve">hlavným predmetom činnosti je veľkoobchod </w:t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  <w:t xml:space="preserve">s káblami a elektroinštalačným  tovarom; </w:t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</w:r>
    </w:p>
    <w:p>
      <w:pPr>
        <w:pStyle w:val="Normal"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ab/>
        <w:t>Činnosť je v súlade s predmetom činnosti uvedeným v obchodnom registri a so živnostenským oprávnením.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(2) Dátum schválenia účtovnej závierky za bezprostredne predchádzajúce účtovné obdobie   príslušným orgánom účtovnej jednotky</w:t>
      </w:r>
      <w:r>
        <w:rPr>
          <w:color w:val="00000A"/>
          <w:sz w:val="22"/>
          <w:szCs w:val="22"/>
        </w:rPr>
        <w:t>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>Účtovná závierka za rok 201</w:t>
      </w:r>
      <w:r>
        <w:rPr>
          <w:color w:val="00000A"/>
          <w:sz w:val="22"/>
          <w:szCs w:val="22"/>
        </w:rPr>
        <w:t>6 s</w:t>
      </w:r>
      <w:r>
        <w:rPr>
          <w:color w:val="00000A"/>
          <w:sz w:val="22"/>
          <w:szCs w:val="22"/>
        </w:rPr>
        <w:t xml:space="preserve">chválená VZ  </w:t>
      </w:r>
      <w:r>
        <w:rPr>
          <w:color w:val="00000A"/>
          <w:sz w:val="22"/>
          <w:szCs w:val="22"/>
        </w:rPr>
        <w:t>30.05.</w:t>
      </w:r>
      <w:r>
        <w:rPr>
          <w:color w:val="00000A"/>
          <w:sz w:val="22"/>
          <w:szCs w:val="22"/>
        </w:rPr>
        <w:t>2017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(3) Právny dôvod na zostavenie účtovnej závierky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zostavuje účtovnú závierku ako riadnu k poslednému dňu účtovného obdobia, ktorým je </w:t>
      </w:r>
    </w:p>
    <w:p>
      <w:pPr>
        <w:pStyle w:val="Normal"/>
        <w:jc w:val="both"/>
        <w:rPr/>
      </w:pPr>
      <w:r>
        <w:rPr>
          <w:sz w:val="22"/>
          <w:szCs w:val="22"/>
        </w:rPr>
        <w:t>31.12.201</w:t>
      </w:r>
      <w:r>
        <w:rPr>
          <w:sz w:val="22"/>
          <w:szCs w:val="22"/>
        </w:rPr>
        <w:t>7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b/>
          <w:sz w:val="22"/>
          <w:szCs w:val="22"/>
        </w:rPr>
        <w:t>(4) Údaje o skupine</w:t>
      </w:r>
      <w:r>
        <w:rPr>
          <w:sz w:val="22"/>
          <w:szCs w:val="22"/>
        </w:rPr>
        <w:t xml:space="preserve">,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b/>
          <w:sz w:val="22"/>
          <w:szCs w:val="22"/>
        </w:rPr>
        <w:t>MURAT, s.r.o.</w:t>
      </w:r>
      <w:r>
        <w:rPr>
          <w:sz w:val="22"/>
          <w:szCs w:val="22"/>
        </w:rPr>
        <w:t xml:space="preserve"> -      materská spoločnosť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s.r.o Lučenec   </w:t>
      </w:r>
    </w:p>
    <w:p>
      <w:pPr>
        <w:pStyle w:val="Normal"/>
        <w:jc w:val="both"/>
        <w:rPr>
          <w:rStyle w:val="Appleconvertedspace"/>
          <w:rFonts w:ascii="Arial CE" w:hAnsi="Arial CE" w:cs="Arial CE"/>
          <w:bCs/>
          <w:color w:val="000000"/>
          <w:highlight w:val="white"/>
        </w:rPr>
      </w:pPr>
      <w:r>
        <w:rPr>
          <w:rStyle w:val="Ra"/>
          <w:rFonts w:cs="Arial CE" w:ascii="Arial CE" w:hAnsi="Arial CE"/>
          <w:bCs/>
          <w:color w:val="000000"/>
          <w:shd w:fill="FFFFFF" w:val="clear"/>
        </w:rPr>
        <w:t>Jiráskova cesta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12,</w:t>
      </w:r>
      <w:r>
        <w:rPr>
          <w:rFonts w:cs="Arial CE" w:ascii="Arial CE" w:hAnsi="Arial CE"/>
          <w:bCs/>
          <w:color w:val="000000"/>
          <w:shd w:fill="FFFFFF" w:val="clear"/>
        </w:rPr>
        <w:t xml:space="preserve"> 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Lučenec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984 01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</w:p>
    <w:p>
      <w:pPr>
        <w:pStyle w:val="Normal"/>
        <w:jc w:val="both"/>
        <w:rPr>
          <w:rStyle w:val="Appleconvertedspace"/>
          <w:rFonts w:ascii="Arial CE" w:hAnsi="Arial CE" w:cs="Arial CE"/>
          <w:bCs/>
          <w:color w:val="000000"/>
          <w:shd w:fill="FFFFFF" w:val="clear"/>
        </w:rPr>
      </w:pPr>
      <w:r>
        <w:rPr>
          <w:rFonts w:cs="Arial CE" w:ascii="Arial CE" w:hAnsi="Arial CE"/>
          <w:bCs/>
          <w:color w:val="000000"/>
          <w:shd w:fill="FFFFFF" w:val="clear"/>
        </w:rPr>
      </w:r>
    </w:p>
    <w:p>
      <w:pPr>
        <w:pStyle w:val="Normal"/>
        <w:jc w:val="both"/>
        <w:rPr>
          <w:rStyle w:val="Appleconvertedspace"/>
          <w:rFonts w:ascii="Arial CE" w:hAnsi="Arial CE" w:cs="Arial CE"/>
          <w:b/>
          <w:b/>
          <w:bCs/>
          <w:color w:val="000000"/>
          <w:sz w:val="23"/>
          <w:szCs w:val="23"/>
          <w:highlight w:val="white"/>
        </w:rPr>
      </w:pPr>
      <w:r>
        <w:rPr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SLOVMONT, akciová spoločnosť</w:t>
      </w:r>
      <w:r>
        <w:rPr>
          <w:rStyle w:val="Appleconvertedspace"/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 </w:t>
      </w:r>
    </w:p>
    <w:p>
      <w:pPr>
        <w:pStyle w:val="Normal"/>
        <w:jc w:val="both"/>
        <w:rPr>
          <w:sz w:val="22"/>
        </w:rPr>
      </w:pPr>
      <w:r>
        <w:rPr>
          <w:rStyle w:val="Ra"/>
          <w:rFonts w:cs="Arial CE" w:ascii="Arial CE" w:hAnsi="Arial CE"/>
          <w:bCs/>
          <w:color w:val="000000"/>
          <w:shd w:fill="FFFFFF" w:val="clear"/>
        </w:rPr>
        <w:t>Bratislavská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87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,</w:t>
      </w:r>
      <w:r>
        <w:rPr>
          <w:sz w:val="22"/>
        </w:rPr>
        <w:t xml:space="preserve"> 902 01  Pezinok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rStyle w:val="Appleconvertedspace"/>
          <w:rFonts w:ascii="Arial CE" w:hAnsi="Arial CE" w:cs="Arial CE"/>
          <w:b/>
          <w:b/>
          <w:bCs/>
          <w:color w:val="000000"/>
          <w:sz w:val="23"/>
          <w:szCs w:val="23"/>
          <w:highlight w:val="white"/>
        </w:rPr>
      </w:pPr>
      <w:r>
        <w:rPr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LEONARD TV PRODUCTIONS s.r.o.</w:t>
      </w:r>
      <w:r>
        <w:rPr>
          <w:rStyle w:val="Appleconvertedspace"/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 </w:t>
      </w:r>
    </w:p>
    <w:p>
      <w:pPr>
        <w:pStyle w:val="Normal"/>
        <w:jc w:val="both"/>
        <w:rPr>
          <w:rStyle w:val="Ra"/>
          <w:rFonts w:ascii="Arial CE" w:hAnsi="Arial CE" w:cs="Arial CE"/>
          <w:bCs/>
          <w:color w:val="000000"/>
          <w:highlight w:val="white"/>
        </w:rPr>
      </w:pPr>
      <w:r>
        <w:rPr>
          <w:rStyle w:val="Ra"/>
          <w:rFonts w:cs="Arial CE" w:ascii="Arial CE" w:hAnsi="Arial CE"/>
          <w:bCs/>
          <w:color w:val="000000"/>
          <w:shd w:fill="FFFFFF" w:val="clear"/>
        </w:rPr>
        <w:t>Partizánska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46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,</w:t>
      </w:r>
      <w:r>
        <w:rPr>
          <w:rFonts w:cs="Arial CE" w:ascii="Arial CE" w:hAnsi="Arial CE"/>
          <w:bCs/>
          <w:color w:val="000000"/>
          <w:shd w:fill="FFFFFF" w:val="clear"/>
        </w:rPr>
        <w:t xml:space="preserve"> 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Zvolen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960 01</w:t>
      </w:r>
    </w:p>
    <w:p>
      <w:pPr>
        <w:pStyle w:val="Normal"/>
        <w:jc w:val="both"/>
        <w:rPr>
          <w:rStyle w:val="Ra"/>
          <w:rFonts w:ascii="Arial CE" w:hAnsi="Arial CE" w:cs="Arial CE"/>
          <w:bCs/>
          <w:color w:val="000000"/>
          <w:shd w:fill="FFFFFF" w:val="clear"/>
        </w:rPr>
      </w:pPr>
      <w:r>
        <w:rPr>
          <w:rFonts w:cs="Arial CE" w:ascii="Arial CE" w:hAnsi="Arial CE"/>
          <w:bCs/>
          <w:color w:val="000000"/>
          <w:shd w:fill="FFFFFF" w:val="clear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Účtovná závierka celej skupiny  je oslobodená od povinnosti zostaviť konsolidovanú účtovnú závierku a konsolidovanú výročnú správu podľa § 22 zákona ods. 10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(5) Počty  zamestnancov účtovnej jednotky :</w:t>
      </w:r>
    </w:p>
    <w:p>
      <w:pPr>
        <w:pStyle w:val="Default"/>
        <w:jc w:val="center"/>
        <w:rPr>
          <w:b/>
          <w:b/>
          <w:color w:val="00000A"/>
          <w:sz w:val="22"/>
          <w:szCs w:val="22"/>
        </w:rPr>
      </w:pPr>
      <w:r>
        <w:rPr/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Priemerný prepočítaný počet zamestnancov              ku 31.12.2017      14        ku 31.12.2016      14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Stav zamestnancov ku dňu účtovnej závierke                                         14                                     14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Počet vedúcich zamestnancov                                    ku 31.12.2017        1        ku 31.12.2016       1 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bookmarkStart w:id="0" w:name="_GoBack"/>
      <w:bookmarkStart w:id="1" w:name="_GoBack"/>
      <w:bookmarkEnd w:id="1"/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II</w:t>
      </w:r>
    </w:p>
    <w:p>
      <w:pPr>
        <w:pStyle w:val="Normal"/>
        <w:jc w:val="center"/>
        <w:rPr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Informácie o orgánoch spoločnosti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Informácie o 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a) výške jednotlivých druhov záruk alebo iných zabezpečení poskytnutých pre členov štatutárneho orgánu, dozorného orgánu a iného orgánu účtovnej jednotky,: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neposkytla orgánom spoločnosti žiadne záruky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b) pôžičkách poskytnutých členom štatutárneho orgánu, dozorného orgánu a iného orgánu účtovnej jednotky, a to o 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1. celkovej sume poskytnutých pôžičiek k poslednému dňu účtovného obdobia v členení za jednotlivé orgány,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2. celkovej sume splatených pôžičiek k poslednému dňu účtovného obdobia v členení za jednotlivé orgány,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/>
      </w:pPr>
      <w:r>
        <w:rPr>
          <w:rFonts w:cs="Arial" w:ascii="Arial" w:hAnsi="Arial"/>
          <w:color w:val="000000"/>
          <w:sz w:val="22"/>
          <w:szCs w:val="22"/>
          <w:lang w:eastAsia="sk-SK"/>
        </w:rPr>
        <w:t>Spoločnosť k 31.12.201</w:t>
      </w: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7 </w:t>
      </w: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eviduje pôžičky voči  štatutárnemu orgánu pôžičky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údaje neaktuálne nakoľko spoločnosť neposkytovala záruky ani pôžičky štatutárovi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III</w:t>
      </w:r>
    </w:p>
    <w:p>
      <w:pPr>
        <w:pStyle w:val="Default"/>
        <w:jc w:val="center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 o prijatých postupoch</w:t>
      </w:r>
    </w:p>
    <w:p>
      <w:pPr>
        <w:pStyle w:val="Default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</w:r>
    </w:p>
    <w:p>
      <w:pPr>
        <w:pStyle w:val="Default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(1) Účtovná závierka je  zostavená za splnenia predpokladu, že účtovná jednotka bude nepretržite pokračovať vo svojej činnosti.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201</w:t>
      </w:r>
      <w:r>
        <w:rPr>
          <w:color w:val="00000A"/>
          <w:sz w:val="22"/>
          <w:szCs w:val="22"/>
        </w:rPr>
        <w:t>7 n</w:t>
      </w:r>
      <w:r>
        <w:rPr>
          <w:color w:val="00000A"/>
          <w:sz w:val="22"/>
          <w:szCs w:val="22"/>
        </w:rPr>
        <w:t>eaplikovala žiadnu zmenu oproti roku 201</w:t>
      </w:r>
      <w:r>
        <w:rPr>
          <w:color w:val="00000A"/>
          <w:sz w:val="22"/>
          <w:szCs w:val="22"/>
        </w:rPr>
        <w:t>6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Nie sú žiadne transakcie účtovnej jednotky neuvedené v súvahe.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oceňovala majetok a záväzky vždy ku dňu vzniku účtovného prípadu.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a/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Obstarávacia cena obsahuje cenu obstarania a</w:t>
      </w:r>
      <w:r>
        <w:rPr>
          <w:i/>
          <w:sz w:val="22"/>
          <w:szCs w:val="22"/>
        </w:rPr>
        <w:t xml:space="preserve"> náklady súvisiace s obstaraním</w:t>
      </w:r>
      <w:r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>
      <w:pPr>
        <w:pStyle w:val="Normal"/>
        <w:jc w:val="both"/>
        <w:rPr>
          <w:sz w:val="22"/>
          <w:szCs w:val="22"/>
        </w:rPr>
      </w:pPr>
      <w:r>
        <w:rPr>
          <w:i/>
          <w:sz w:val="22"/>
          <w:szCs w:val="22"/>
        </w:rPr>
        <w:t>Obstarávacou cenou</w:t>
      </w:r>
      <w:r>
        <w:rPr>
          <w:sz w:val="22"/>
          <w:szCs w:val="22"/>
        </w:rPr>
        <w:t xml:space="preserve">  ku dňu uskutočnenia účtovného prípadu boli oceňované: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nehmotný majetok obstaraný kúpou;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hmotný majetok obstaraný kúpou;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zásoby obstarané kúpou;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odplatnom nadobudnutí;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prevzatí;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krátkodobý finančný majetok obstaraný kúpou  /ceniny/;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Menovitou hodnotou </w:t>
      </w:r>
      <w:r>
        <w:rPr>
          <w:sz w:val="22"/>
          <w:szCs w:val="22"/>
        </w:rPr>
        <w:t xml:space="preserve"> boli oceňované:  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vzniku;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vzniku.</w:t>
      </w:r>
    </w:p>
    <w:p>
      <w:pPr>
        <w:pStyle w:val="Normal"/>
        <w:jc w:val="both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b</w:t>
      </w:r>
      <w:r>
        <w:rPr>
          <w:b/>
          <w:color w:val="00000A"/>
          <w:sz w:val="22"/>
          <w:szCs w:val="22"/>
        </w:rPr>
        <w:t xml:space="preserve">) určenie odhadu zníženia hodnoty majetku a tvorba opravnej položky k majetku,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 xml:space="preserve">OP sa určujú na základe predpokladanej hodnoty za ktorú by bol majetok realizovaný,   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 </w:t>
      </w:r>
      <w:r>
        <w:rPr>
          <w:color w:val="00000A"/>
          <w:sz w:val="22"/>
          <w:szCs w:val="22"/>
        </w:rPr>
        <w:t>resp. dosiahnutý výťažok z predaja majetku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c) určenie ocenenia záväzkov, stanovenie odhadu ocenenia rezerv, </w:t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 xml:space="preserve">záväzky sú ocenené menovitou hodnotou, rezervy sa oceňujú  na základe očakávanej menovitej hodnoty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e) určenie ocenenia finančných nástrojov pri oceňovaní obstarávacou cenou alebo vlastnými nákladmi, a to: </w:t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00000A"/>
          <w:sz w:val="22"/>
          <w:szCs w:val="22"/>
        </w:rPr>
        <w:t xml:space="preserve">, 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2. pri dlhodobom finančnom majetku, ktorý sa vykazuje vo vyššej hodnote ako je jeho reálna hodnota, sa uvádza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Nehmotný</w:t>
      </w:r>
      <w:r>
        <w:rPr>
          <w:sz w:val="22"/>
          <w:szCs w:val="22"/>
        </w:rPr>
        <w:t xml:space="preserve"> majetok v hodnote obstarávacej ceny do 170,00 € sa účtuje do nákladov  518  – služby . </w:t>
      </w:r>
      <w:r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až 2 400,00 € je účtovaný na zásoby a pri jeho zaradení do používania  sa zaeviduje do majetku spoločnosti a zúčtuje na účet 013 .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ab/>
        <w:t>Nehmotný majetok v hodnote obstarávacej ceny nad 2 400,00 €  je pri zaradení do používania účtovaný na účte 013  . Odpisuje sa podľa predpokladanej doby použitia max 5 rokov.</w:t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ab/>
        <w:t>Hmotný majetok, ktorého cena obstarania je nižšia ako 170,00 € sa účtuje pri zaradení do používania do materiálových nákladov účet 501  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  <w:t>Dlhodobý hmotný majetok v hodnote ceny obstarania od  170,00 € do 1 700,00 €  je evidovaný v  majetku spoločnosti. Pri jeho zakúpení je účtovaný na obstaranie DHM a pri  zaradení do používania sa neúčtuje v plnom rozsahu do nákladov, ale sa uplatňuje odpisovanie 13 mesiacov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Hmotný majetok v cene obstarania nad 1 700,00 €  je evidovaný v majetku spoločnosti a na jednotlivých analytických účtoch  podľa druhov majetku. Odpisuje sa rovnomerne alebo  zrýchlene v úrovni zodpovedajúcej zákonu o dani z príjmov. V menšom rozsahu bol uplatnený rovnomerný spôsob odpisovania . Počas celého obdobia odpisovania sa však u jedného majetku uplatňuje zásadne rovnaká metóda.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4580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A"/>
          <w:right w:val="single" w:sz="4" w:space="0" w:color="000001"/>
          <w:insideH w:val="single" w:sz="4" w:space="0" w:color="00000A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180"/>
        <w:gridCol w:w="2399"/>
      </w:tblGrid>
      <w:tr>
        <w:trPr>
          <w:trHeight w:val="510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b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Verdana" w:hAnsi="Verdana"/>
                <w:b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jc w:val="center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Prvých 6 odpisových skupín zodpovedá z pohľadu zaradenia a doby odpisovania zákonu o dani z príjmov , skupina 7 je  určená na odpisovanie majetku, ktorého obstarávacia cena je nižšia ako 1 700 eur.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g) informácia o poskytnutých dotáciách a pri dotáciách na obstaranie majetku sa uvedú zložky majetku a ich ocenenie</w:t>
      </w:r>
      <w:r>
        <w:rPr>
          <w:color w:val="00000A"/>
          <w:sz w:val="22"/>
          <w:szCs w:val="22"/>
        </w:rPr>
        <w:t xml:space="preserve">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dotácie na  obstaranie majetku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>V účtovnom období 201</w:t>
      </w:r>
      <w:r>
        <w:rPr>
          <w:color w:val="00000A"/>
          <w:sz w:val="22"/>
          <w:szCs w:val="22"/>
        </w:rPr>
        <w:t>7</w:t>
      </w:r>
      <w:r>
        <w:rPr>
          <w:color w:val="00000A"/>
          <w:sz w:val="22"/>
          <w:szCs w:val="22"/>
        </w:rPr>
        <w:t xml:space="preserve"> neboli účtované významné chyby minulých období.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IV</w:t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Informácie, ktoré vysvetľujú a doplňujú položky súvahy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2"/>
        </w:numPr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K dlhodobému nehmotnému majetku, ktorým je goodwill alebo záporný goodwill sa uvádza dôvod jeho vzniku, spôsob výpočtu a prehodnotenie opodstatnenosti jeho výšky a odpisu jeho hodnoty. </w:t>
      </w:r>
    </w:p>
    <w:p>
      <w:pPr>
        <w:pStyle w:val="Normal"/>
        <w:ind w:left="360" w:hanging="0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 </w:t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Spoločnosť neúčtovala a ani neeviduje goodwill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neúčtovala o derivátoch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(3) Informácie o záväzkoch, a to o 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a) celkovej sume záväzkov so zostatkovou dobou splatnosti dlhšou ako päť rokov,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neeviduje záväzky s dobou splatnosti dlhšou ako 5 rokov.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b) celkovej sume zabezpečených záväzkov, opise a spôsoboch zabezpečenia záväzkov. 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nemá zabezpečené záväzky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(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4) Informácie o vlastných akciách, a to o 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cs="Arial" w:ascii="Arial" w:hAnsi="Arial"/>
          <w:color w:val="000000"/>
          <w:sz w:val="24"/>
          <w:szCs w:val="24"/>
          <w:lang w:eastAsia="sk-SK"/>
        </w:rPr>
        <w:t>Spoločnosť nevlastní vlastné akcie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neeviduje výnimočné resp. mimoriadne výnosy ani náklady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V</w:t>
      </w:r>
    </w:p>
    <w:p>
      <w:pPr>
        <w:pStyle w:val="Normal"/>
        <w:jc w:val="center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(1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) K iným aktívam a iným pasívam sa uvádzajú tieto informácie: 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3"/>
        </w:numPr>
        <w:spacing w:before="0" w:after="14"/>
        <w:contextualSpacing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spacing w:before="0" w:after="14"/>
        <w:contextualSpacing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spoločnosť neeviduje podmienený majetok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b) 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>
      <w:pPr>
        <w:pStyle w:val="Normal"/>
        <w:spacing w:before="0" w:after="14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b/>
          <w:sz w:val="22"/>
          <w:szCs w:val="22"/>
        </w:rPr>
        <w:t xml:space="preserve"> </w:t>
      </w:r>
      <w:r>
        <w:rPr>
          <w:rFonts w:cs="Arial" w:ascii="Arial" w:hAnsi="Arial"/>
          <w:color w:val="000000"/>
          <w:sz w:val="22"/>
          <w:szCs w:val="22"/>
          <w:lang w:eastAsia="sk-SK"/>
        </w:rPr>
        <w:t>spoločnosť neeviduje podmienené záväzky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2"/>
        </w:numPr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Pre túto oblasť nemá účtovná jednotka obsahovú náplň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ListParagraph"/>
        <w:numPr>
          <w:ilvl w:val="0"/>
          <w:numId w:val="2"/>
        </w:numPr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Skutočnosti sledované na podsúvahových účtoch </w:t>
      </w:r>
    </w:p>
    <w:p>
      <w:pPr>
        <w:pStyle w:val="ListParagraph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evidovaný majetok na podsúvahových účtoch.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VI</w:t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rFonts w:eastAsia="Times New Roman"/>
          <w:b/>
          <w:bCs/>
          <w:sz w:val="22"/>
          <w:szCs w:val="22"/>
          <w:lang w:eastAsia="sk-SK"/>
        </w:rPr>
        <w:t>Udalosti, ktoré nastali po dni, ku ktorému sa zostavuje účtovná závierka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Ku dňu zostavenia účtovnej závierky nedošlo k</w:t>
      </w:r>
    </w:p>
    <w:p>
      <w:pPr>
        <w:pStyle w:val="ListParagraph"/>
        <w:numPr>
          <w:ilvl w:val="0"/>
          <w:numId w:val="4"/>
        </w:numPr>
        <w:spacing w:before="0" w:after="14"/>
        <w:contextualSpacing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poklesu alebo zvýšeniu trhovej ceny finančného majetku ako dôsledku udalostí, ktoré nastali po dni, ku ktorému sa zostavuje účtovná závierka do dňa zostavenia účtovnej závierky, s uvedením dôvodu týchto zmien,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b) nenastali dôvody pre zmenu výšky rezerv a opravných položiek, ktoré nastali v dôsledku udalostí po dni, ku ktorému sa zostavuje účtovná závierka do dňa zostavenia účtovnej závierky,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c) nedošlo k zmene spoločníkov účtovnej jednotky,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d) nebolo prijaté   rozhodnutie o predaji účtovnej jednotky alebo jej časti,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e) nenastali významné zmeny zmenách významných položiek dlhodobého finančného majetku,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f) neuvažuje sa o začatí alebo ukončení činnosti časti účtovnej jednotky,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g) neboli vydané dlhopisy alebo iné   cenné papiere,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h) nedošlo k  zlúčeniu, splynutiu, rozdeleniu a zmene právnej formy účtovnej jednotky,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i) nenastali mimoriadne udalosti, ktoré by mali vplyv na hospodárenie účtovnej jednotky, 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j) nebola získaná ani  odobratá licencia alebo iné povolenia významné pre činnosť účtovnej jednotky 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VII</w:t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Ostatné informácie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5"/>
        </w:numPr>
        <w:spacing w:before="0" w:after="14"/>
        <w:contextualSpacing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Spoločnosti neboli udelené  výlučné práva alebo osobitné práva  poskytovať služby vo verejnom záujme, </w:t>
      </w:r>
    </w:p>
    <w:p>
      <w:pPr>
        <w:pStyle w:val="Normal"/>
        <w:ind w:left="360" w:hanging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5"/>
        </w:num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Na účtovnú jednotku sa nevzťahuje § 23d ods. 6 zákona, a jej činnosť nie je zaradená do kategórie priemyselnej výroby podľa osobitného predpisu</w:t>
      </w:r>
      <w:r>
        <w:rPr>
          <w:rFonts w:cs="Arial" w:ascii="Arial" w:hAnsi="Arial"/>
          <w:color w:val="000000"/>
          <w:sz w:val="14"/>
          <w:szCs w:val="14"/>
          <w:lang w:eastAsia="sk-SK"/>
        </w:rPr>
        <w:t xml:space="preserve">23) </w:t>
      </w: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a jej čistý obrat za bezprostredne predchádzajúce účtovné obdobie nebol väčší ako 250 000 000 eur,  </w:t>
      </w:r>
    </w:p>
    <w:p>
      <w:pPr>
        <w:pStyle w:val="ListParagraph"/>
        <w:spacing w:before="0" w:after="14"/>
        <w:contextualSpacing/>
        <w:rPr/>
      </w:pPr>
      <w:r>
        <w:rPr/>
      </w:r>
    </w:p>
    <w:sectPr>
      <w:headerReference w:type="default" r:id="rId2"/>
      <w:headerReference w:type="first" r:id="rId3"/>
      <w:footerReference w:type="default" r:id="rId4"/>
      <w:type w:val="nextPage"/>
      <w:pgSz w:w="11906" w:h="16838"/>
      <w:pgMar w:left="1417" w:right="1417" w:header="708" w:top="993" w:footer="708" w:bottom="1417" w:gutter="0"/>
      <w:pgNumType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Arial CE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770" cy="29273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0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fillcolor="white" stroked="f" style="position:absolute;margin-left:224.25pt;margin-top:0.05pt;width:5pt;height:22.95pt;mso-position-horizontal:center;mso-position-horizontal-relative:margin">
              <w10:wrap type="squar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PODV 3-01                                                                          IČO: 31599 061   DIČ:2020465128</w:t>
    </w:r>
  </w:p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PODV 3-01                                                                          IČO: 31599 061   DIČ:2020465128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</w:latentStyles>
  <w:style w:type="paragraph" w:styleId="Normal" w:default="1">
    <w:name w:val="Normal"/>
    <w:qFormat/>
    <w:rsid w:val="007a187a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cs-CZ" w:bidi="ar-SA"/>
    </w:rPr>
  </w:style>
  <w:style w:type="paragraph" w:styleId="Nadpis1">
    <w:name w:val="Nadpis 1"/>
    <w:basedOn w:val="Normal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Nadpis 2"/>
    <w:basedOn w:val="Normal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Nadpis 4"/>
    <w:basedOn w:val="Normal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Nadpis 6"/>
    <w:basedOn w:val="Normal"/>
    <w:qFormat/>
    <w:rsid w:val="007a187a"/>
    <w:pPr>
      <w:keepNext/>
      <w:outlineLvl w:val="5"/>
    </w:pPr>
    <w:rPr>
      <w:b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basedOn w:val="DefaultParagraphFont"/>
    <w:semiHidden/>
    <w:qFormat/>
    <w:rsid w:val="00a403f7"/>
    <w:rPr>
      <w:vertAlign w:val="superscript"/>
    </w:rPr>
  </w:style>
  <w:style w:type="character" w:styleId="Nadpis1Char" w:customStyle="1">
    <w:name w:val="Nadpis 1 Char"/>
    <w:basedOn w:val="DefaultParagraphFont"/>
    <w:link w:val="Nadpis1"/>
    <w:qFormat/>
    <w:rsid w:val="003a436d"/>
    <w:rPr>
      <w:b/>
      <w:sz w:val="28"/>
      <w:lang w:val="sk-SK" w:eastAsia="cs-CZ" w:bidi="ar-SA"/>
    </w:rPr>
  </w:style>
  <w:style w:type="character" w:styleId="Nadpis2Char" w:customStyle="1">
    <w:name w:val="Nadpis 2 Char"/>
    <w:basedOn w:val="DefaultParagraphFont"/>
    <w:link w:val="Nadpis2"/>
    <w:qFormat/>
    <w:rsid w:val="003a436d"/>
    <w:rPr>
      <w:b/>
      <w:sz w:val="24"/>
      <w:lang w:val="sk-SK" w:eastAsia="cs-CZ" w:bidi="ar-SA"/>
    </w:rPr>
  </w:style>
  <w:style w:type="character" w:styleId="Nadpis4Char" w:customStyle="1">
    <w:name w:val="Nadpis 4 Char"/>
    <w:basedOn w:val="DefaultParagraphFont"/>
    <w:link w:val="Nadpis4"/>
    <w:qFormat/>
    <w:rsid w:val="003a436d"/>
    <w:rPr>
      <w:b/>
      <w:sz w:val="24"/>
      <w:lang w:val="sk-SK" w:eastAsia="cs-CZ" w:bidi="ar-SA"/>
    </w:rPr>
  </w:style>
  <w:style w:type="character" w:styleId="Pagenumber">
    <w:name w:val="page number"/>
    <w:basedOn w:val="DefaultParagraphFont"/>
    <w:qFormat/>
    <w:rsid w:val="00a30faa"/>
    <w:rPr/>
  </w:style>
  <w:style w:type="character" w:styleId="TextbublinyChar" w:customStyle="1">
    <w:name w:val="Text bubliny Char"/>
    <w:basedOn w:val="DefaultParagraphFont"/>
    <w:link w:val="Textbubliny"/>
    <w:qFormat/>
    <w:rsid w:val="00bb4478"/>
    <w:rPr>
      <w:rFonts w:ascii="Tahoma" w:hAnsi="Tahoma" w:cs="Tahoma"/>
      <w:sz w:val="16"/>
      <w:szCs w:val="16"/>
      <w:lang w:eastAsia="cs-CZ"/>
    </w:rPr>
  </w:style>
  <w:style w:type="character" w:styleId="Ra" w:customStyle="1">
    <w:name w:val="ra"/>
    <w:basedOn w:val="DefaultParagraphFont"/>
    <w:qFormat/>
    <w:rsid w:val="00602a1d"/>
    <w:rPr/>
  </w:style>
  <w:style w:type="character" w:styleId="Appleconvertedspace" w:customStyle="1">
    <w:name w:val="apple-converted-space"/>
    <w:basedOn w:val="DefaultParagraphFont"/>
    <w:qFormat/>
    <w:rsid w:val="00602a1d"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0115da"/>
    <w:rPr>
      <w:lang w:eastAsia="cs-CZ"/>
    </w:rPr>
  </w:style>
  <w:style w:type="character" w:styleId="ListLabel1">
    <w:name w:val="ListLabel 1"/>
    <w:qFormat/>
    <w:rPr>
      <w:rFonts w:eastAsia="Times New Roman" w:cs="Times New Roman"/>
      <w:sz w:val="22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b/>
    </w:rPr>
  </w:style>
  <w:style w:type="character" w:styleId="ListLabel4">
    <w:name w:val="ListLabel 4"/>
    <w:qFormat/>
    <w:rPr>
      <w:rFonts w:cs="Times New Roman"/>
      <w:sz w:val="22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rsid w:val="007a187a"/>
    <w:pPr/>
    <w:rPr>
      <w:sz w:val="18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odyTextIndent2">
    <w:name w:val="Body Text Indent 2"/>
    <w:basedOn w:val="Normal"/>
    <w:qFormat/>
    <w:rsid w:val="00ce44ea"/>
    <w:pPr>
      <w:spacing w:lineRule="auto" w:line="480" w:before="0" w:after="120"/>
      <w:ind w:left="283" w:hanging="0"/>
    </w:pPr>
    <w:rPr/>
  </w:style>
  <w:style w:type="paragraph" w:styleId="Footnotetext">
    <w:name w:val="footnote text"/>
    <w:basedOn w:val="Normal"/>
    <w:semiHidden/>
    <w:qFormat/>
    <w:rsid w:val="00a403f7"/>
    <w:pPr/>
    <w:rPr/>
  </w:style>
  <w:style w:type="paragraph" w:styleId="Zkladntext1" w:customStyle="1">
    <w:name w:val="Základní text1"/>
    <w:basedOn w:val="Normal"/>
    <w:qFormat/>
    <w:rsid w:val="009b41d1"/>
    <w:pPr>
      <w:widowControl w:val="false"/>
    </w:pPr>
    <w:rPr>
      <w:sz w:val="24"/>
    </w:rPr>
  </w:style>
  <w:style w:type="paragraph" w:styleId="Odstavecseseznamem" w:customStyle="1">
    <w:name w:val="Odstavec se seznamem"/>
    <w:basedOn w:val="Normal"/>
    <w:qFormat/>
    <w:rsid w:val="003a436d"/>
    <w:pPr>
      <w:spacing w:before="0" w:after="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rsid w:val="00a30faa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rsid w:val="00a30faa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qFormat/>
    <w:rsid w:val="00bb4478"/>
    <w:pPr/>
    <w:rPr>
      <w:rFonts w:ascii="Tahoma" w:hAnsi="Tahoma" w:cs="Tahoma"/>
      <w:sz w:val="16"/>
      <w:szCs w:val="16"/>
    </w:rPr>
  </w:style>
  <w:style w:type="paragraph" w:styleId="Default" w:customStyle="1">
    <w:name w:val="Default"/>
    <w:qFormat/>
    <w:rsid w:val="00e430c9"/>
    <w:pPr>
      <w:widowControl/>
      <w:bidi w:val="0"/>
      <w:jc w:val="left"/>
    </w:pPr>
    <w:rPr>
      <w:rFonts w:ascii="Arial" w:hAnsi="Arial" w:eastAsia="Calibri" w:cs="Arial" w:eastAsiaTheme="minorHAnsi"/>
      <w:color w:val="000000"/>
      <w:sz w:val="24"/>
      <w:szCs w:val="24"/>
      <w:lang w:val="sk-SK" w:eastAsia="en-US" w:bidi="ar-SA"/>
    </w:rPr>
  </w:style>
  <w:style w:type="paragraph" w:styleId="ListParagraph">
    <w:name w:val="List Paragraph"/>
    <w:basedOn w:val="Normal"/>
    <w:uiPriority w:val="34"/>
    <w:qFormat/>
    <w:rsid w:val="00b10e22"/>
    <w:pPr>
      <w:spacing w:before="0" w:after="0"/>
      <w:ind w:left="720" w:hanging="0"/>
      <w:contextualSpacing/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385bb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LibreOffice/5.0.3.2$Windows_X86_64 LibreOffice_project/e5f16313668ac592c1bfb310f4390624e3dbfb75</Application>
  <Paragraphs>158</Paragraphs>
  <Company>MURAT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2017-02-14T11:47:00Z</dcterms:created>
  <dc:creator>senka</dc:creator>
  <dc:language>sk-SK</dc:language>
  <cp:lastPrinted>2018-03-27T09:52:55Z</cp:lastPrinted>
  <dcterms:modified xsi:type="dcterms:W3CDTF">2018-03-27T09:54:21Z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MURAT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