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spacing w:lineRule="auto" w:line="240" w:before="0" w:after="12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POZNÁMKY K ÚČTOVNEJ ZÁVIERKE 201</w:t>
      </w:r>
      <w:bookmarkStart w:id="0" w:name="_GoBack"/>
      <w:bookmarkEnd w:id="0"/>
      <w:r>
        <w:rPr>
          <w:rFonts w:eastAsia="Calibri" w:cs="Calibri" w:ascii="Calibri" w:hAnsi="Calibri"/>
          <w:b/>
          <w:sz w:val="24"/>
          <w:szCs w:val="24"/>
        </w:rPr>
        <w:t>7</w:t>
      </w:r>
    </w:p>
    <w:p>
      <w:pPr>
        <w:pStyle w:val="Normal"/>
        <w:spacing w:lineRule="auto" w:line="240"/>
        <w:jc w:val="center"/>
        <w:rPr/>
      </w:pPr>
      <w:r>
        <w:rPr>
          <w:rFonts w:eastAsia="Calibri" w:cs="Calibri" w:ascii="Calibri" w:hAnsi="Calibri"/>
          <w:sz w:val="24"/>
          <w:szCs w:val="24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spacing w:lineRule="auto" w:line="24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pre mikro účtovné jednotky</w:t>
      </w: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 – VŠEOBECNÉ INFORMÁCIE</w:t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1) Základné informácie o účtovnej jednotke:</w:t>
      </w:r>
    </w:p>
    <w:p>
      <w:pPr>
        <w:pStyle w:val="Normal"/>
        <w:spacing w:lineRule="auto" w:line="240"/>
        <w:rPr/>
      </w:pPr>
      <w:r>
        <w:rPr/>
      </w:r>
    </w:p>
    <w:tbl>
      <w:tblPr>
        <w:tblStyle w:val="a"/>
        <w:tblW w:w="9714" w:type="dxa"/>
        <w:jc w:val="left"/>
        <w:tblInd w:w="-10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835"/>
        <w:gridCol w:w="6878"/>
      </w:tblGrid>
      <w:tr>
        <w:trPr>
          <w:trHeight w:val="340" w:hRule="atLeast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Obchodné meno: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>Štens Car, s.r.o.</w:t>
            </w:r>
          </w:p>
        </w:tc>
      </w:tr>
      <w:tr>
        <w:trPr>
          <w:trHeight w:val="380" w:hRule="atLeast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Sídlo: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>Krakujevská 8644, 010 01   Žilina</w:t>
            </w:r>
          </w:p>
        </w:tc>
      </w:tr>
      <w:tr>
        <w:trPr>
          <w:trHeight w:val="180" w:hRule="atLeast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Právna forma: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Spoločnosť s ručením obmedzeným</w:t>
            </w:r>
          </w:p>
        </w:tc>
      </w:tr>
      <w:tr>
        <w:trPr>
          <w:trHeight w:val="22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Dátum vzniku:</w:t>
            </w:r>
          </w:p>
        </w:tc>
        <w:tc>
          <w:tcPr>
            <w:tcW w:w="6878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Zápis do obchodného registra: </w:t>
            </w: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>12.3.2013</w:t>
            </w:r>
          </w:p>
        </w:tc>
      </w:tr>
      <w:tr>
        <w:trPr>
          <w:trHeight w:val="26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ind w:right="1027" w:hanging="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Hlavný predmet podnikania:</w:t>
            </w:r>
          </w:p>
        </w:tc>
        <w:tc>
          <w:tcPr>
            <w:tcW w:w="6878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/>
            </w:r>
          </w:p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Ostatné čistiace činnosti</w:t>
            </w:r>
          </w:p>
        </w:tc>
      </w:tr>
      <w:tr>
        <w:trPr>
          <w:trHeight w:val="52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Subjekt verejného záujmu:</w:t>
            </w:r>
          </w:p>
        </w:tc>
        <w:tc>
          <w:tcPr>
            <w:tcW w:w="6878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Spoločnosť  nie je subjektom verejného záujmu (§ 2/14 ZoU).</w:t>
            </w:r>
          </w:p>
        </w:tc>
      </w:tr>
      <w:tr>
        <w:trPr>
          <w:trHeight w:val="30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Účtovné obdobie:</w:t>
            </w:r>
          </w:p>
        </w:tc>
        <w:tc>
          <w:tcPr>
            <w:tcW w:w="6878" w:type="dxa"/>
            <w:tcBorders>
              <w:top w:val="single" w:sz="4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Kalendárny rok 201</w:t>
            </w:r>
            <w:r>
              <w:rPr>
                <w:rFonts w:eastAsia="Calibri" w:cs="Calibri" w:ascii="Calibri" w:hAnsi="Calibri"/>
                <w:sz w:val="24"/>
                <w:szCs w:val="24"/>
              </w:rPr>
              <w:t>7</w:t>
            </w:r>
          </w:p>
        </w:tc>
      </w:tr>
    </w:tbl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UJ bola v účtovnom období roku 201</w:t>
      </w:r>
      <w:r>
        <w:rPr>
          <w:rFonts w:eastAsia="Calibri" w:cs="Calibri" w:ascii="Calibri" w:hAnsi="Calibri"/>
          <w:sz w:val="24"/>
          <w:szCs w:val="24"/>
        </w:rPr>
        <w:t>7</w:t>
      </w:r>
      <w:r>
        <w:rPr>
          <w:rFonts w:eastAsia="Calibri" w:cs="Calibri" w:ascii="Calibri" w:hAnsi="Calibri"/>
          <w:sz w:val="24"/>
          <w:szCs w:val="24"/>
        </w:rPr>
        <w:t xml:space="preserve"> – mikro účtovná jednotka, preto zostavuje účtovnú závierku podľa metodiky pre túto veľkostnú skupinu (Opatrenie č.MF/23378/2014-74).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Dátum schválenia účtovnej závierky za bezprostredne predchádzajúce účtovné obdobie príslušným orgánom účtovnej jednotky:</w:t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widowControl w:val="false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3) Právny dôvod na zostavenie účtovnej závierky: Účtovná závierka Spoločnosti k 31.12.2016 je zostavená ako riadna účtovná závierka podľa §17 ods. 6 Zákona č. 431/2002 Z.z. o účtovníctve za účtovné obdobie od 01. januára 201</w:t>
      </w:r>
      <w:r>
        <w:rPr>
          <w:rFonts w:eastAsia="Calibri" w:cs="Calibri" w:ascii="Calibri" w:hAnsi="Calibri"/>
          <w:sz w:val="24"/>
          <w:szCs w:val="24"/>
        </w:rPr>
        <w:t>7</w:t>
      </w:r>
      <w:r>
        <w:rPr>
          <w:rFonts w:eastAsia="Calibri" w:cs="Calibri" w:ascii="Calibri" w:hAnsi="Calibri"/>
          <w:sz w:val="24"/>
          <w:szCs w:val="24"/>
        </w:rPr>
        <w:t xml:space="preserve"> do 31. decembra 201</w:t>
      </w:r>
      <w:r>
        <w:rPr>
          <w:rFonts w:eastAsia="Calibri" w:cs="Calibri" w:ascii="Calibri" w:hAnsi="Calibri"/>
          <w:sz w:val="24"/>
          <w:szCs w:val="24"/>
        </w:rPr>
        <w:t>7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4) ÚJ nie je v skupine účtovných jednotiek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5) Priemerný prepočítaný počet zamestnancov účtovnej jednotky:</w:t>
      </w:r>
    </w:p>
    <w:tbl>
      <w:tblPr>
        <w:tblStyle w:val="a0"/>
        <w:tblW w:w="9747" w:type="dxa"/>
        <w:jc w:val="left"/>
        <w:tblInd w:w="-10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6"/>
        <w:gridCol w:w="2523"/>
        <w:gridCol w:w="2368"/>
      </w:tblGrid>
      <w:tr>
        <w:trPr>
          <w:trHeight w:val="520" w:hRule="atLeast"/>
        </w:trPr>
        <w:tc>
          <w:tcPr>
            <w:tcW w:w="4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ind w:right="459" w:hanging="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160" w:hRule="atLeast"/>
        </w:trPr>
        <w:tc>
          <w:tcPr>
            <w:tcW w:w="4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  <w:tc>
          <w:tcPr>
            <w:tcW w:w="23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</w:tr>
    </w:tbl>
    <w:p>
      <w:pPr>
        <w:pStyle w:val="Normal"/>
        <w:spacing w:lineRule="auto" w:line="240"/>
        <w:ind w:left="928"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II – INFORMÁCIE O ORGÁNOCH SPOLOČNOSTI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b/>
          <w:sz w:val="24"/>
          <w:szCs w:val="24"/>
        </w:rPr>
        <w:t>Informácie o orgánoch účtovnej jednotky</w:t>
      </w:r>
      <w:r>
        <w:rPr>
          <w:rFonts w:eastAsia="Calibri" w:cs="Calibri" w:ascii="Calibri" w:hAnsi="Calibri"/>
          <w:sz w:val="24"/>
          <w:szCs w:val="24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Style w:val="a1"/>
        <w:tblW w:w="9817" w:type="dxa"/>
        <w:jc w:val="center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969"/>
        <w:gridCol w:w="2488"/>
        <w:gridCol w:w="2360"/>
      </w:tblGrid>
      <w:tr>
        <w:trPr>
          <w:trHeight w:val="8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Orgány účtovnej jednotky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24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Štatutárny orgán/Spoločník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/>
            </w:r>
          </w:p>
        </w:tc>
      </w:tr>
      <w:tr>
        <w:trPr>
          <w:trHeight w:val="24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numPr>
                <w:ilvl w:val="0"/>
                <w:numId w:val="3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4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 </w:t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Spoločník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ind w:left="720" w:hanging="0"/>
              <w:rPr/>
            </w:pPr>
            <w:r>
              <w:rPr/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</w:tbl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III – INFORMÁCIE O PRIJATÝCH POSTUPOCH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1) Účtovná závierka je zostavená za splnenia predpokladu, že ÚJ bude nepretržite pokračovať vo svojej činnosti minimálne 12 mesiacov po závierkovom dni v zmysle § 7 ods. 4 zákona o účtovníctve.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Účtovné metódy vychádzajúce z interných smerníc spoločnosti a všeobecné účtovné zásady boli účtovnou jednotkou konzistentne aplikované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3) ÚJ neeviduje žiadne transakcie, ktoré sa neuvádzajú v súvahe.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ab/>
        <w:tab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4) Spôsob a určenie oceňovania majetku a záväzkov (vrátane rozhodujúcich odhadov):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a) Spôsob oceňovania majetku a záväzkov (§ 25 ZoU):</w:t>
      </w:r>
    </w:p>
    <w:p>
      <w:pPr>
        <w:pStyle w:val="Normal"/>
        <w:widowControl w:val="false"/>
        <w:tabs>
          <w:tab w:val="left" w:pos="808" w:leader="none"/>
        </w:tabs>
        <w:spacing w:lineRule="auto" w:line="240"/>
        <w:jc w:val="both"/>
        <w:rPr/>
      </w:pPr>
      <w:r>
        <w:rPr/>
      </w:r>
    </w:p>
    <w:tbl>
      <w:tblPr>
        <w:tblStyle w:val="a2"/>
        <w:tblW w:w="9606" w:type="dxa"/>
        <w:jc w:val="left"/>
        <w:tblInd w:w="-10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6"/>
        <w:gridCol w:w="5300"/>
        <w:gridCol w:w="3600"/>
      </w:tblGrid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Spôsob oceňovania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Reprodukčná 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Reprodukčná 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Reprodukčná 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Majetok a záväzky zabezpečené derivátmi: 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Splatná daň z príjmov a odložená daň z príjmov: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</w:tbl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b) Trvalé zníženie hodnoty majetku nebolo účtované. 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c) Záväzky účtovná jednotka ocenila menovitou hodnotou záväzkov. 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d) Účtovná jednotka nepoužila dobrovoľné oceňovanie obchodných podielov metódou vlastného imania (§ 27/9 ZoU).</w:t>
      </w:r>
    </w:p>
    <w:p>
      <w:pPr>
        <w:pStyle w:val="Normal"/>
        <w:keepNext/>
        <w:tabs>
          <w:tab w:val="left" w:pos="1005" w:leader="none"/>
        </w:tabs>
        <w:spacing w:lineRule="auto" w:line="240" w:before="0" w:after="120"/>
        <w:jc w:val="both"/>
        <w:rPr/>
      </w:pPr>
      <w:r>
        <w:rPr/>
      </w:r>
    </w:p>
    <w:p>
      <w:pPr>
        <w:pStyle w:val="Normal"/>
        <w:keepNext/>
        <w:tabs>
          <w:tab w:val="left" w:pos="1005" w:leader="none"/>
        </w:tabs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f) Tvorba odpisového plánu pre dlhodobý majetok, pričom sa uvádza doba odpisovania, sadzby odpisov a odpisové metódy pre účtovné odpisy:</w:t>
      </w:r>
    </w:p>
    <w:tbl>
      <w:tblPr>
        <w:tblStyle w:val="a3"/>
        <w:tblW w:w="9606" w:type="dxa"/>
        <w:jc w:val="left"/>
        <w:tblInd w:w="-10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7"/>
        <w:gridCol w:w="1014"/>
        <w:gridCol w:w="2107"/>
        <w:gridCol w:w="2267"/>
      </w:tblGrid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Dlhodobý hmotný a nehmotný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odpisovaný majetok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číslo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doba odpisovania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(počet rokov)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 xml:space="preserve">odpisová sadzba 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(%)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Software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013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Ostatný DNM 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019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Stavby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20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Počítače s príslušenstvom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Dopravné prostriedky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Ostatné stroje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Ostatný dlhodobý hmotný majetok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</w:tbl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spacing w:lineRule="auto" w:line="240" w:before="0" w:after="120"/>
        <w:rPr/>
      </w:pPr>
      <w:r>
        <w:rPr>
          <w:rFonts w:eastAsia="Calibri" w:cs="Calibri" w:ascii="Calibri" w:hAnsi="Calibri"/>
          <w:sz w:val="24"/>
          <w:szCs w:val="24"/>
        </w:rPr>
        <w:t xml:space="preserve">Komentár k odpisovému plánu: 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používa účtovné odpisy nezávisle na daňových odpisoch. Majetok sa začína odpisovať v mesiaci, kedy bol zaradený do užívania. Účtovné odpisy vychádzajú z predpokladanej doby používania majetku.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odpisuje jednotlivé veci alebo relevantné súbory hnuteľných vecí (napr. počítačová sieť, nábytková zostava). UJ nepoužíva komponentné odpisovanie (odpisovanie častí majetku - komponentov).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nepoužila jednorazový odpis</w:t>
      </w:r>
      <w:r>
        <w:rPr>
          <w:rFonts w:eastAsia="Calibri" w:cs="Calibri" w:ascii="Calibri" w:hAnsi="Calibri"/>
          <w:b/>
          <w:sz w:val="24"/>
          <w:szCs w:val="24"/>
        </w:rPr>
        <w:t xml:space="preserve"> </w:t>
      </w:r>
      <w:r>
        <w:rPr>
          <w:rFonts w:eastAsia="Calibri" w:cs="Calibri" w:ascii="Calibri" w:hAnsi="Calibri"/>
          <w:sz w:val="24"/>
          <w:szCs w:val="24"/>
        </w:rPr>
        <w:t>dlhodobého majetku z dôvodu jednorazového trvalého zníženia hodnoty majetku (§ 21/5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kategóriu drobného dlhodobého nehmotného majetku - položky pod 2 400 eur jednotkovej ceny so životnosťou nad jeden rok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kategóriu drobného dlhodobého hmotného majetku - položky pod 1 700 eur jednotkovej ceny so životnosťou nad jeden rok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360" w:hanging="360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dobrovoľnú kapitalizáciu úrokov do obstarávacej ceny odpisovaného dlhodobého hmotného majetku alebo dlhodobého nehmotného majetku (§ 34/1 PU; § 35/2/h PU).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g) ÚJ neboli v zdaňovacom období roku 201</w:t>
      </w:r>
      <w:r>
        <w:rPr>
          <w:rFonts w:eastAsia="Calibri" w:cs="Calibri" w:ascii="Calibri" w:hAnsi="Calibri"/>
          <w:sz w:val="24"/>
          <w:szCs w:val="24"/>
        </w:rPr>
        <w:t>7</w:t>
      </w:r>
      <w:r>
        <w:rPr>
          <w:rFonts w:eastAsia="Calibri" w:cs="Calibri" w:ascii="Calibri" w:hAnsi="Calibri"/>
          <w:sz w:val="24"/>
          <w:szCs w:val="24"/>
        </w:rPr>
        <w:t xml:space="preserve"> poskytnuté žiadne dotácie</w:t>
      </w:r>
    </w:p>
    <w:p>
      <w:pPr>
        <w:pStyle w:val="Normal"/>
        <w:keepNext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5) ÚJ v zdaňovacom období roku 201</w:t>
      </w:r>
      <w:r>
        <w:rPr>
          <w:rFonts w:eastAsia="Calibri" w:cs="Calibri" w:ascii="Calibri" w:hAnsi="Calibri"/>
          <w:sz w:val="24"/>
          <w:szCs w:val="24"/>
        </w:rPr>
        <w:t>7</w:t>
      </w:r>
      <w:r>
        <w:rPr>
          <w:rFonts w:eastAsia="Calibri" w:cs="Calibri" w:ascii="Calibri" w:hAnsi="Calibri"/>
          <w:sz w:val="24"/>
          <w:szCs w:val="24"/>
        </w:rPr>
        <w:t xml:space="preserve"> nevykonala žiadne opravy významných chýb.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IV – INFORMÁCIE, KTORÉ VYSVETĽUJÚ A DOPĹŇAJÚ SÚVAHU A VÝKAZ ZISKOV A STRÁT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1) ÚJ neeviduje žiadne položky nehmotného majetku.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ÚJ neeviduje žiadne položky významných derivátov, majetku a záväzkoch zabezpečených derivátmi.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3a) ÚJ neeviduje žiadne položky zabezpečených záväzkov so zostatkovou dobou splatnosti dlhšou </w:t>
        <w:tab/>
        <w:tab/>
        <w:tab/>
        <w:tab/>
        <w:tab/>
        <w:t xml:space="preserve"> ako 5 rokov:  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tbl>
      <w:tblPr>
        <w:tblStyle w:val="a4"/>
        <w:tblW w:w="9714" w:type="dxa"/>
        <w:jc w:val="center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2"/>
        <w:gridCol w:w="2377"/>
      </w:tblGrid>
      <w:tr>
        <w:trPr>
          <w:trHeight w:val="680" w:hRule="atLeast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Názov položky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200" w:hRule="atLeast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Záväzky so zostatkovou dobou splatnosti nad 5 rokov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  <w:tc>
          <w:tcPr>
            <w:tcW w:w="2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</w:tr>
    </w:tbl>
    <w:p>
      <w:pPr>
        <w:pStyle w:val="Normal"/>
        <w:spacing w:lineRule="auto" w:line="240" w:before="120" w:after="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3b) ÚJ neeviduje žiadne položky zabezpečených záväzkov.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4) ÚJ neeviduje žiadne vlastné akcie.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5) ÚJ neeviduje žiadne položky nákladov alebo výnosov, ktoré majú výnimočný rozsah alebo výskyt.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V – INFORMÁCIE O INÝCH AKTÍVACH A INÝCH PASÍVACH</w:t>
      </w:r>
    </w:p>
    <w:p>
      <w:pPr>
        <w:pStyle w:val="Normal"/>
        <w:spacing w:lineRule="auto" w:line="240" w:before="0" w:after="12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1a) ÚJ neeviduje žiadne položky podmieneného majetku.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1b) ÚJ neeviduje žiadne položky podmienených záväzkov.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ÚJ neeviduje žiadne ostatné finančné povinnosti, ktoré a nevykazujú v účtovných výkazoch.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3 V účtovníctve ÚJ sa nenachádzajú žiadne položky evidované na podsúvahových účtoch.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VI – UDALOSTI, KTORÉ NASTALI PO ZÁVIERKOVOM DNI</w:t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(Následné udalosti)</w:t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ÚJ neeviduje žiadne udalosti, ktoré nastali po závierkovom dni.</w:t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VII – OSTATNÉ INFORMÁCIE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1) ÚJ nemá žiadne právo poskytovať služby vo verejnom záujme.</w:t>
        <w:tab/>
        <w:tab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ÚJ nemá žiadnu priemyselnú výrobu. (§ 23d/6 ZoU)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ab/>
        <w:tab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3) ÚJ nemá žiadne finančné vzťahy s orgánmi verejnej moci. (§ 23d/6 ZoU)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ab/>
        <w:tab/>
      </w:r>
    </w:p>
    <w:sectPr>
      <w:headerReference w:type="default" r:id="rId2"/>
      <w:footerReference w:type="default" r:id="rId3"/>
      <w:type w:val="nextPage"/>
      <w:pgSz w:w="11906" w:h="16838"/>
      <w:pgMar w:left="1417" w:right="992" w:header="708" w:top="1417" w:footer="708" w:bottom="1417" w:gutter="0"/>
      <w:pgNumType w:start="1" w:fmt="decimal"/>
      <w:formProt w:val="false"/>
      <w:textDirection w:val="lrTb"/>
      <w:docGrid w:type="default" w:linePitch="24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Georgia"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center" w:pos="4536" w:leader="none"/>
        <w:tab w:val="right" w:pos="9072" w:leader="none"/>
      </w:tabs>
      <w:spacing w:lineRule="auto" w:line="240"/>
      <w:jc w:val="right"/>
      <w:rPr/>
    </w:pPr>
    <w:r>
      <w:rPr/>
      <w:fldChar w:fldCharType="begin"/>
    </w:r>
    <w:r>
      <w:instrText> PAGE </w:instrText>
    </w:r>
    <w:r>
      <w:fldChar w:fldCharType="separate"/>
    </w:r>
    <w:r>
      <w:t>6</w:t>
    </w:r>
    <w:r>
      <w:fldChar w:fldCharType="end"/>
    </w:r>
  </w:p>
  <w:p>
    <w:pPr>
      <w:pStyle w:val="Normal"/>
      <w:tabs>
        <w:tab w:val="center" w:pos="4536" w:leader="none"/>
        <w:tab w:val="right" w:pos="9072" w:leader="none"/>
      </w:tabs>
      <w:spacing w:lineRule="auto" w:line="240" w:before="0" w:after="567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widowControl w:val="false"/>
      <w:tabs>
        <w:tab w:val="left" w:pos="2990" w:leader="none"/>
        <w:tab w:val="left" w:pos="6348" w:leader="none"/>
      </w:tabs>
      <w:spacing w:lineRule="auto" w:line="240" w:before="567" w:after="0"/>
      <w:ind w:left="0" w:hanging="0"/>
      <w:jc w:val="center"/>
      <w:rPr/>
    </w:pPr>
    <w:r>
      <w:rPr/>
      <w:t xml:space="preserve"> </w:t>
    </w:r>
    <w:r>
      <w:rPr/>
      <w:t xml:space="preserve">Poznámky Úč POD 3 – 01          </w:t>
    </w:r>
    <w:r>
      <w:rPr>
        <w:color w:val="707070"/>
        <w:sz w:val="18"/>
        <w:szCs w:val="18"/>
        <w:highlight w:val="white"/>
      </w:rPr>
      <w:tab/>
    </w:r>
    <w:r>
      <w:rPr/>
      <w:t xml:space="preserve">                 IČO: </w:t>
    </w:r>
    <w:r>
      <w:rPr/>
      <w:t xml:space="preserve">47032324  </w:t>
    </w:r>
    <w:r>
      <w:rPr/>
      <w:t xml:space="preserve"> DIČ: </w:t>
    </w:r>
    <w:r>
      <w:rPr/>
      <w:t>2023724197</w:t>
    </w:r>
  </w:p>
  <w:p>
    <w:pPr>
      <w:pStyle w:val="Normal"/>
      <w:tabs>
        <w:tab w:val="center" w:pos="4703" w:leader="none"/>
        <w:tab w:val="right" w:pos="9406" w:leader="none"/>
      </w:tabs>
      <w:spacing w:lineRule="auto" w:line="24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6"/>
      <w:numFmt w:val="bullet"/>
      <w:lvlText w:val="-"/>
      <w:lvlJc w:val="left"/>
      <w:pPr>
        <w:ind w:left="720" w:hanging="-36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1">
      <w:start w:val="1"/>
      <w:numFmt w:val="bullet"/>
      <w:lvlText w:val="o"/>
      <w:lvlJc w:val="left"/>
      <w:pPr>
        <w:ind w:left="1440" w:hanging="-108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2">
      <w:start w:val="1"/>
      <w:numFmt w:val="bullet"/>
      <w:lvlText w:val="▪"/>
      <w:lvlJc w:val="left"/>
      <w:pPr>
        <w:ind w:left="2160" w:hanging="-180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3">
      <w:start w:val="1"/>
      <w:numFmt w:val="bullet"/>
      <w:lvlText w:val="●"/>
      <w:lvlJc w:val="left"/>
      <w:pPr>
        <w:ind w:left="2880" w:hanging="-252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4">
      <w:start w:val="1"/>
      <w:numFmt w:val="bullet"/>
      <w:lvlText w:val="o"/>
      <w:lvlJc w:val="left"/>
      <w:pPr>
        <w:ind w:left="3600" w:hanging="-324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5">
      <w:start w:val="1"/>
      <w:numFmt w:val="bullet"/>
      <w:lvlText w:val="▪"/>
      <w:lvlJc w:val="left"/>
      <w:pPr>
        <w:ind w:left="4320" w:hanging="-396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6">
      <w:start w:val="1"/>
      <w:numFmt w:val="bullet"/>
      <w:lvlText w:val="●"/>
      <w:lvlJc w:val="left"/>
      <w:pPr>
        <w:ind w:left="5040" w:hanging="-468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7">
      <w:start w:val="1"/>
      <w:numFmt w:val="bullet"/>
      <w:lvlText w:val="o"/>
      <w:lvlJc w:val="left"/>
      <w:pPr>
        <w:ind w:left="5760" w:hanging="-540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8">
      <w:start w:val="1"/>
      <w:numFmt w:val="bullet"/>
      <w:lvlText w:val="▪"/>
      <w:lvlJc w:val="left"/>
      <w:pPr>
        <w:ind w:left="6480" w:hanging="-612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</w:abstractNum>
  <w:abstractNum w:abstractNumId="2">
    <w:lvl w:ilvl="0">
      <w:start w:val="1"/>
      <w:numFmt w:val="bullet"/>
      <w:lvlText w:val="➢"/>
      <w:lvlJc w:val="left"/>
      <w:pPr>
        <w:ind w:left="3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1">
      <w:start w:val="1"/>
      <w:numFmt w:val="bullet"/>
      <w:lvlText w:val="o"/>
      <w:lvlJc w:val="left"/>
      <w:pPr>
        <w:ind w:left="1080" w:hanging="-72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2">
      <w:start w:val="1"/>
      <w:numFmt w:val="bullet"/>
      <w:lvlText w:val="▪"/>
      <w:lvlJc w:val="left"/>
      <w:pPr>
        <w:ind w:left="1800" w:hanging="-144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3">
      <w:start w:val="1"/>
      <w:numFmt w:val="bullet"/>
      <w:lvlText w:val="●"/>
      <w:lvlJc w:val="left"/>
      <w:pPr>
        <w:ind w:left="2520" w:hanging="-216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4">
      <w:start w:val="1"/>
      <w:numFmt w:val="bullet"/>
      <w:lvlText w:val="o"/>
      <w:lvlJc w:val="left"/>
      <w:pPr>
        <w:ind w:left="3240" w:hanging="-288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5">
      <w:start w:val="1"/>
      <w:numFmt w:val="bullet"/>
      <w:lvlText w:val="▪"/>
      <w:lvlJc w:val="left"/>
      <w:pPr>
        <w:ind w:left="3960" w:hanging="-360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6">
      <w:start w:val="1"/>
      <w:numFmt w:val="bullet"/>
      <w:lvlText w:val="●"/>
      <w:lvlJc w:val="left"/>
      <w:pPr>
        <w:ind w:left="4680" w:hanging="-432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7">
      <w:start w:val="1"/>
      <w:numFmt w:val="bullet"/>
      <w:lvlText w:val="o"/>
      <w:lvlJc w:val="left"/>
      <w:pPr>
        <w:ind w:left="5400" w:hanging="-504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8">
      <w:start w:val="1"/>
      <w:numFmt w:val="bullet"/>
      <w:lvlText w:val="▪"/>
      <w:lvlJc w:val="left"/>
      <w:pPr>
        <w:ind w:left="6120" w:hanging="-576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</w:abstractNum>
  <w:abstractNum w:abstractNumId="3">
    <w:lvl w:ilvl="0">
      <w:numFmt w:val="bullet"/>
      <w:lvlText w:val="-"/>
      <w:lvlJc w:val="left"/>
      <w:pPr>
        <w:ind w:left="720" w:hanging="-36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1">
      <w:start w:val="1"/>
      <w:numFmt w:val="bullet"/>
      <w:lvlText w:val="o"/>
      <w:lvlJc w:val="left"/>
      <w:pPr>
        <w:ind w:left="1440" w:hanging="-108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2">
      <w:start w:val="1"/>
      <w:numFmt w:val="bullet"/>
      <w:lvlText w:val="▪"/>
      <w:lvlJc w:val="left"/>
      <w:pPr>
        <w:ind w:left="2160" w:hanging="-180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3">
      <w:start w:val="1"/>
      <w:numFmt w:val="bullet"/>
      <w:lvlText w:val="●"/>
      <w:lvlJc w:val="left"/>
      <w:pPr>
        <w:ind w:left="2880" w:hanging="-252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4">
      <w:start w:val="1"/>
      <w:numFmt w:val="bullet"/>
      <w:lvlText w:val="o"/>
      <w:lvlJc w:val="left"/>
      <w:pPr>
        <w:ind w:left="3600" w:hanging="-324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5">
      <w:start w:val="1"/>
      <w:numFmt w:val="bullet"/>
      <w:lvlText w:val="▪"/>
      <w:lvlJc w:val="left"/>
      <w:pPr>
        <w:ind w:left="4320" w:hanging="-396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6">
      <w:start w:val="1"/>
      <w:numFmt w:val="bullet"/>
      <w:lvlText w:val="●"/>
      <w:lvlJc w:val="left"/>
      <w:pPr>
        <w:ind w:left="5040" w:hanging="-468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7">
      <w:start w:val="1"/>
      <w:numFmt w:val="bullet"/>
      <w:lvlText w:val="o"/>
      <w:lvlJc w:val="left"/>
      <w:pPr>
        <w:ind w:left="5760" w:hanging="-540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8">
      <w:start w:val="1"/>
      <w:numFmt w:val="bullet"/>
      <w:lvlText w:val="▪"/>
      <w:lvlJc w:val="left"/>
      <w:pPr>
        <w:ind w:left="6480" w:hanging="-612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defaultTabStop w:val="720"/>
  <w:compat>
    <w:compatSetting w:name="compatibilityMode" w:uri="http://schemas.microsoft.com/office/word" w:val="14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color w:val="000000"/>
        <w:sz w:val="22"/>
        <w:szCs w:val="22"/>
        <w:lang w:val="sk-SK" w:eastAsia="sk-SK" w:bidi="ar-SA"/>
      </w:rPr>
    </w:rPrDefault>
    <w:pPrDefault>
      <w:pPr>
        <w:spacing w:lineRule="auto" w:line="276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/>
      <w:jc w:val="left"/>
    </w:pPr>
    <w:rPr>
      <w:rFonts w:ascii="Arial" w:hAnsi="Arial" w:eastAsia="Arial" w:cs="Arial"/>
      <w:color w:val="000000"/>
      <w:sz w:val="22"/>
      <w:szCs w:val="22"/>
      <w:lang w:val="sk-SK" w:eastAsia="sk-SK" w:bidi="ar-SA"/>
    </w:rPr>
  </w:style>
  <w:style w:type="paragraph" w:styleId="Nadpis1">
    <w:name w:val="Nadpis 1"/>
    <w:basedOn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Nadpis 2"/>
    <w:basedOn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Nadpis 3"/>
    <w:basedOn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Nadpis 4"/>
    <w:basedOn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Nadpis 5"/>
    <w:basedOn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Nadpis 6"/>
    <w:basedOn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rFonts w:eastAsia="Arial" w:cs="Arial"/>
      <w:position w:val="0"/>
      <w:sz w:val="24"/>
      <w:sz w:val="24"/>
      <w:vertAlign w:val="baseline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Arial Unicode MS" w:cs="Mangal"/>
      <w:sz w:val="28"/>
      <w:szCs w:val="28"/>
    </w:rPr>
  </w:style>
  <w:style w:type="paragraph" w:styleId="Telotextu">
    <w:name w:val="Telo textu"/>
    <w:basedOn w:val="Normal"/>
    <w:pPr>
      <w:spacing w:lineRule="auto" w:line="288" w:before="0" w:after="140"/>
    </w:pPr>
    <w:rPr/>
  </w:style>
  <w:style w:type="paragraph" w:styleId="Zoznam">
    <w:name w:val="Zoznam"/>
    <w:basedOn w:val="Telotextu"/>
    <w:pPr/>
    <w:rPr>
      <w:rFonts w:cs="Mangal"/>
    </w:rPr>
  </w:style>
  <w:style w:type="paragraph" w:styleId="Popis">
    <w:name w:val="Popis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Nzov">
    <w:name w:val="Názov"/>
    <w:basedOn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nzov">
    <w:name w:val="Podnázov"/>
    <w:basedOn w:val="Normal"/>
    <w:pPr>
      <w:keepNext/>
      <w:keepLines/>
      <w:spacing w:before="360" w:after="80"/>
      <w:contextualSpacing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Hlavika">
    <w:name w:val="Hlavička"/>
    <w:basedOn w:val="Normal"/>
    <w:pPr/>
    <w:rPr/>
  </w:style>
  <w:style w:type="paragraph" w:styleId="Pta">
    <w:name w:val="Päta"/>
    <w:basedOn w:val="Normal"/>
    <w:pPr/>
    <w:rPr/>
  </w:style>
  <w:style w:type="numbering" w:styleId="NoList" w:default="1">
    <w:name w:val="No List"/>
    <w:uiPriority w:val="99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LibreOffice/5.0.4.2$Windows_x86 LibreOffice_project/2b9802c1994aa0b7dc6079e128979269cf95bc78</Application>
  <Paragraphs>198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2017-03-30T07:49:00Z</dcterms:created>
  <dc:language>sk-SK</dc:language>
  <dcterms:modified xsi:type="dcterms:W3CDTF">2018-03-29T07:43:14Z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