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7472" w:rsidRDefault="00C97472" w:rsidP="006C72AC">
      <w:pPr>
        <w:spacing w:line="276" w:lineRule="auto"/>
      </w:pPr>
    </w:p>
    <w:p w:rsidR="00C97472" w:rsidRPr="00C97472" w:rsidRDefault="00C97472" w:rsidP="00C97472"/>
    <w:p w:rsidR="00C97472" w:rsidRPr="00C97472" w:rsidRDefault="00C97472" w:rsidP="00C97472"/>
    <w:p w:rsidR="00C97472" w:rsidRPr="00C97472" w:rsidRDefault="00C97472" w:rsidP="00C97472"/>
    <w:p w:rsidR="00C97472" w:rsidRPr="00C97472" w:rsidRDefault="00C97472" w:rsidP="00C97472"/>
    <w:p w:rsidR="00C97472" w:rsidRPr="00C97472" w:rsidRDefault="00C97472" w:rsidP="00C97472"/>
    <w:p w:rsidR="00C97472" w:rsidRPr="00C97472" w:rsidRDefault="00C97472" w:rsidP="00C97472"/>
    <w:p w:rsidR="00C97472" w:rsidRPr="00C97472" w:rsidRDefault="00C97472" w:rsidP="00C97472"/>
    <w:p w:rsidR="00C97472" w:rsidRPr="00C97472" w:rsidRDefault="00C97472" w:rsidP="00C97472"/>
    <w:p w:rsidR="00C97472" w:rsidRPr="00C97472" w:rsidRDefault="00C97472" w:rsidP="00C97472"/>
    <w:p w:rsidR="00C97472" w:rsidRPr="00C97472" w:rsidRDefault="00C97472" w:rsidP="00C97472"/>
    <w:p w:rsidR="00C97472" w:rsidRDefault="00C97472" w:rsidP="00C97472"/>
    <w:p w:rsidR="00C97472" w:rsidRDefault="00C97472" w:rsidP="00C97472">
      <w:pPr>
        <w:ind w:firstLine="708"/>
      </w:pPr>
    </w:p>
    <w:p w:rsidR="00F12512" w:rsidRPr="00C97472" w:rsidRDefault="00C97472" w:rsidP="00C97472">
      <w:pPr>
        <w:tabs>
          <w:tab w:val="left" w:pos="840"/>
        </w:tabs>
        <w:sectPr w:rsidR="00F12512" w:rsidRPr="00C97472" w:rsidSect="005568B1">
          <w:headerReference w:type="default" r:id="rId8"/>
          <w:footerReference w:type="default" r:id="rId9"/>
          <w:pgSz w:w="11906" w:h="16838"/>
          <w:pgMar w:top="1134" w:right="1418" w:bottom="1418" w:left="1418" w:header="1701" w:footer="709" w:gutter="0"/>
          <w:cols w:space="708"/>
          <w:docGrid w:linePitch="360"/>
        </w:sectPr>
      </w:pPr>
      <w:r>
        <w:tab/>
      </w:r>
    </w:p>
    <w:p w:rsidR="005568B1" w:rsidRPr="00C729F8" w:rsidRDefault="005568B1" w:rsidP="006C72AC">
      <w:pPr>
        <w:pStyle w:val="nadpisybytterm"/>
        <w:spacing w:line="276" w:lineRule="auto"/>
        <w:rPr>
          <w:sz w:val="24"/>
          <w:szCs w:val="24"/>
        </w:rPr>
      </w:pPr>
      <w:r>
        <w:lastRenderedPageBreak/>
        <w:t>OBSAH</w:t>
      </w:r>
      <w:r w:rsidRPr="00C729F8">
        <w:br/>
      </w:r>
    </w:p>
    <w:p w:rsidR="005568B1" w:rsidRPr="009E7067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>Príhovor predsedu predstavenstva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  <w:t xml:space="preserve"> 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  <w:t xml:space="preserve"> </w:t>
      </w:r>
      <w:r w:rsidR="00DD3BB7">
        <w:rPr>
          <w:rFonts w:ascii="Arial" w:hAnsi="Arial" w:cs="Arial"/>
          <w:color w:val="171717" w:themeColor="background2" w:themeShade="1A"/>
          <w:sz w:val="24"/>
          <w:szCs w:val="24"/>
        </w:rPr>
        <w:t>3</w:t>
      </w:r>
    </w:p>
    <w:p w:rsidR="005568B1" w:rsidRPr="009E7067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>Profil spoločnosti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  <w:t xml:space="preserve"> </w:t>
      </w:r>
      <w:r w:rsidR="00DD3BB7">
        <w:rPr>
          <w:rFonts w:ascii="Arial" w:hAnsi="Arial" w:cs="Arial"/>
          <w:color w:val="171717" w:themeColor="background2" w:themeShade="1A"/>
          <w:sz w:val="24"/>
          <w:szCs w:val="24"/>
        </w:rPr>
        <w:t>4</w:t>
      </w:r>
    </w:p>
    <w:p w:rsidR="005568B1" w:rsidRPr="009E7067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>Premet činnosti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  <w:t xml:space="preserve"> </w:t>
      </w:r>
      <w:r w:rsidR="00DD3BB7">
        <w:rPr>
          <w:rFonts w:ascii="Arial" w:hAnsi="Arial" w:cs="Arial"/>
          <w:color w:val="171717" w:themeColor="background2" w:themeShade="1A"/>
          <w:sz w:val="24"/>
          <w:szCs w:val="24"/>
        </w:rPr>
        <w:t>5</w:t>
      </w:r>
    </w:p>
    <w:p w:rsidR="005568B1" w:rsidRPr="009E7067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 xml:space="preserve">Štatutárne orgány </w:t>
      </w:r>
      <w:r w:rsidR="00DD3BB7">
        <w:rPr>
          <w:rFonts w:ascii="Arial" w:hAnsi="Arial" w:cs="Arial"/>
          <w:color w:val="171717" w:themeColor="background2" w:themeShade="1A"/>
          <w:sz w:val="24"/>
          <w:szCs w:val="24"/>
        </w:rPr>
        <w:t>a manažment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  <w:t xml:space="preserve"> </w:t>
      </w:r>
      <w:r w:rsidR="00DD3BB7">
        <w:rPr>
          <w:rFonts w:ascii="Arial" w:hAnsi="Arial" w:cs="Arial"/>
          <w:color w:val="171717" w:themeColor="background2" w:themeShade="1A"/>
          <w:sz w:val="24"/>
          <w:szCs w:val="24"/>
        </w:rPr>
        <w:t>6</w:t>
      </w:r>
    </w:p>
    <w:p w:rsidR="005568B1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 xml:space="preserve">Organizačná štruktúra 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  <w:t xml:space="preserve"> </w:t>
      </w:r>
      <w:r w:rsidR="00DD3BB7">
        <w:rPr>
          <w:rFonts w:ascii="Arial" w:hAnsi="Arial" w:cs="Arial"/>
          <w:color w:val="171717" w:themeColor="background2" w:themeShade="1A"/>
          <w:sz w:val="24"/>
          <w:szCs w:val="24"/>
        </w:rPr>
        <w:t>7</w:t>
      </w:r>
    </w:p>
    <w:p w:rsidR="00F60067" w:rsidRPr="009E7067" w:rsidRDefault="00F60067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>
        <w:rPr>
          <w:rFonts w:ascii="Arial" w:hAnsi="Arial" w:cs="Arial"/>
          <w:color w:val="171717" w:themeColor="background2" w:themeShade="1A"/>
          <w:sz w:val="24"/>
          <w:szCs w:val="24"/>
        </w:rPr>
        <w:t>Postavenie spoločnosti na trhu</w:t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  <w:t xml:space="preserve"> 7</w:t>
      </w:r>
    </w:p>
    <w:p w:rsidR="005568B1" w:rsidRPr="009E7067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 xml:space="preserve">Tepelné hospodárstvo 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  <w:t xml:space="preserve"> </w:t>
      </w:r>
      <w:r w:rsidR="00901386">
        <w:rPr>
          <w:rFonts w:ascii="Arial" w:hAnsi="Arial" w:cs="Arial"/>
          <w:color w:val="171717" w:themeColor="background2" w:themeShade="1A"/>
          <w:sz w:val="24"/>
          <w:szCs w:val="24"/>
        </w:rPr>
        <w:t>8</w:t>
      </w:r>
    </w:p>
    <w:p w:rsidR="005568B1" w:rsidRPr="009E7067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 xml:space="preserve">Správcovská činnosť 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="00DD3BB7">
        <w:rPr>
          <w:rFonts w:ascii="Arial" w:hAnsi="Arial" w:cs="Arial"/>
          <w:color w:val="171717" w:themeColor="background2" w:themeShade="1A"/>
          <w:sz w:val="24"/>
          <w:szCs w:val="24"/>
        </w:rPr>
        <w:t>1</w:t>
      </w:r>
      <w:r w:rsidR="00901386">
        <w:rPr>
          <w:rFonts w:ascii="Arial" w:hAnsi="Arial" w:cs="Arial"/>
          <w:color w:val="171717" w:themeColor="background2" w:themeShade="1A"/>
          <w:sz w:val="24"/>
          <w:szCs w:val="24"/>
        </w:rPr>
        <w:t>4</w:t>
      </w:r>
    </w:p>
    <w:p w:rsidR="005568B1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 xml:space="preserve">Personálna politika 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="00DD3BB7">
        <w:rPr>
          <w:rFonts w:ascii="Arial" w:hAnsi="Arial" w:cs="Arial"/>
          <w:color w:val="171717" w:themeColor="background2" w:themeShade="1A"/>
          <w:sz w:val="24"/>
          <w:szCs w:val="24"/>
        </w:rPr>
        <w:t>1</w:t>
      </w:r>
      <w:r w:rsidR="00901386">
        <w:rPr>
          <w:rFonts w:ascii="Arial" w:hAnsi="Arial" w:cs="Arial"/>
          <w:color w:val="171717" w:themeColor="background2" w:themeShade="1A"/>
          <w:sz w:val="24"/>
          <w:szCs w:val="24"/>
        </w:rPr>
        <w:t>6</w:t>
      </w:r>
    </w:p>
    <w:p w:rsidR="00901386" w:rsidRPr="009E7067" w:rsidRDefault="00901386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>
        <w:rPr>
          <w:rFonts w:ascii="Arial" w:hAnsi="Arial" w:cs="Arial"/>
          <w:color w:val="171717" w:themeColor="background2" w:themeShade="1A"/>
          <w:sz w:val="24"/>
          <w:szCs w:val="24"/>
        </w:rPr>
        <w:t>Bezpečnosť a ochrana zdravia pri práci</w:t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  <w:t>18</w:t>
      </w:r>
    </w:p>
    <w:p w:rsidR="005568B1" w:rsidRPr="009E7067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>Ochrana životného prostredia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="00901386">
        <w:rPr>
          <w:rFonts w:ascii="Arial" w:hAnsi="Arial" w:cs="Arial"/>
          <w:color w:val="171717" w:themeColor="background2" w:themeShade="1A"/>
          <w:sz w:val="24"/>
          <w:szCs w:val="24"/>
        </w:rPr>
        <w:t>19</w:t>
      </w:r>
    </w:p>
    <w:p w:rsidR="005568B1" w:rsidRPr="009E7067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>Vybrané ekonomické informácie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  <w:t>2</w:t>
      </w:r>
      <w:r w:rsidR="00901386">
        <w:rPr>
          <w:rFonts w:ascii="Arial" w:hAnsi="Arial" w:cs="Arial"/>
          <w:color w:val="171717" w:themeColor="background2" w:themeShade="1A"/>
          <w:sz w:val="24"/>
          <w:szCs w:val="24"/>
        </w:rPr>
        <w:t>1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 xml:space="preserve">  </w:t>
      </w:r>
    </w:p>
    <w:p w:rsidR="00D92749" w:rsidRPr="00DE0F7B" w:rsidRDefault="00DE0F7B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DE0F7B">
        <w:rPr>
          <w:rFonts w:ascii="Arial" w:hAnsi="Arial" w:cs="Arial"/>
          <w:sz w:val="24"/>
          <w:szCs w:val="24"/>
        </w:rPr>
        <w:t>Účtovná závierka k 31.12.201</w:t>
      </w:r>
      <w:r w:rsidR="00BB7DF7">
        <w:rPr>
          <w:rFonts w:ascii="Arial" w:hAnsi="Arial" w:cs="Arial"/>
          <w:sz w:val="24"/>
          <w:szCs w:val="24"/>
        </w:rPr>
        <w:t>7</w:t>
      </w:r>
      <w:r w:rsidRPr="00DE0F7B">
        <w:rPr>
          <w:rFonts w:ascii="Arial" w:hAnsi="Arial" w:cs="Arial"/>
          <w:sz w:val="24"/>
          <w:szCs w:val="24"/>
        </w:rPr>
        <w:t>, Správa aud</w:t>
      </w:r>
      <w:r w:rsidR="000D2CF7">
        <w:rPr>
          <w:rFonts w:ascii="Arial" w:hAnsi="Arial" w:cs="Arial"/>
          <w:sz w:val="24"/>
          <w:szCs w:val="24"/>
        </w:rPr>
        <w:t>í</w:t>
      </w:r>
      <w:r w:rsidRPr="00DE0F7B">
        <w:rPr>
          <w:rFonts w:ascii="Arial" w:hAnsi="Arial" w:cs="Arial"/>
          <w:sz w:val="24"/>
          <w:szCs w:val="24"/>
        </w:rPr>
        <w:t>tora</w:t>
      </w:r>
      <w:r>
        <w:rPr>
          <w:rFonts w:ascii="Arial" w:hAnsi="Arial" w:cs="Arial"/>
          <w:sz w:val="24"/>
          <w:szCs w:val="24"/>
        </w:rPr>
        <w:t xml:space="preserve">                                                  3</w:t>
      </w:r>
      <w:r w:rsidR="00901386">
        <w:rPr>
          <w:rFonts w:ascii="Arial" w:hAnsi="Arial" w:cs="Arial"/>
          <w:sz w:val="24"/>
          <w:szCs w:val="24"/>
        </w:rPr>
        <w:t>1</w:t>
      </w:r>
    </w:p>
    <w:p w:rsidR="00DD3BB7" w:rsidRDefault="00DD3BB7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Pr="006A5F8C" w:rsidRDefault="005258DD" w:rsidP="006C72AC">
      <w:pPr>
        <w:pStyle w:val="nadpisybytterm"/>
        <w:spacing w:line="276" w:lineRule="auto"/>
      </w:pPr>
      <w:r w:rsidRPr="006A5F8C">
        <w:lastRenderedPageBreak/>
        <w:t>PRÍ</w:t>
      </w:r>
      <w:r w:rsidR="005568B1" w:rsidRPr="006A5F8C">
        <w:t xml:space="preserve">HOVOR </w:t>
      </w:r>
      <w:r w:rsidR="005568B1" w:rsidRPr="006A5F8C">
        <w:rPr>
          <w:rStyle w:val="nadpisybyttermChar"/>
          <w:b/>
        </w:rPr>
        <w:t>PREDSEDU PREDSTAVENSTVA</w:t>
      </w:r>
    </w:p>
    <w:p w:rsidR="00D451AE" w:rsidRPr="00D451AE" w:rsidRDefault="00D451AE" w:rsidP="006C72AC">
      <w:pPr>
        <w:spacing w:line="240" w:lineRule="auto"/>
        <w:rPr>
          <w:rFonts w:ascii="Arial" w:hAnsi="Arial" w:cs="Arial"/>
          <w:sz w:val="24"/>
          <w:szCs w:val="24"/>
        </w:rPr>
      </w:pPr>
      <w:r w:rsidRPr="00D451AE">
        <w:rPr>
          <w:rFonts w:ascii="Arial" w:hAnsi="Arial" w:cs="Arial"/>
          <w:sz w:val="24"/>
          <w:szCs w:val="24"/>
        </w:rPr>
        <w:t>Vážení akcionári</w:t>
      </w:r>
      <w:r>
        <w:rPr>
          <w:rFonts w:ascii="Arial" w:hAnsi="Arial" w:cs="Arial"/>
          <w:sz w:val="24"/>
          <w:szCs w:val="24"/>
        </w:rPr>
        <w:t>,</w:t>
      </w:r>
      <w:r w:rsidRPr="00D451AE">
        <w:rPr>
          <w:rFonts w:ascii="Arial" w:hAnsi="Arial" w:cs="Arial"/>
          <w:sz w:val="24"/>
          <w:szCs w:val="24"/>
        </w:rPr>
        <w:t xml:space="preserve">                                       </w:t>
      </w:r>
    </w:p>
    <w:p w:rsidR="00D451AE" w:rsidRPr="00D451AE" w:rsidRDefault="00D451AE" w:rsidP="006C72AC">
      <w:pPr>
        <w:spacing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</w:t>
      </w:r>
      <w:r w:rsidRPr="00D451AE">
        <w:rPr>
          <w:rFonts w:ascii="Arial" w:hAnsi="Arial" w:cs="Arial"/>
          <w:sz w:val="24"/>
          <w:szCs w:val="24"/>
        </w:rPr>
        <w:t xml:space="preserve"> mojom  príhovore by som Vám chcel aspoň v stručnosti zhodnotiť predošlý rok. </w:t>
      </w:r>
    </w:p>
    <w:p w:rsidR="00D451AE" w:rsidRPr="00D451AE" w:rsidRDefault="00D451AE" w:rsidP="006C72AC">
      <w:pPr>
        <w:spacing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Pr="00D451AE">
        <w:rPr>
          <w:rFonts w:ascii="Arial" w:hAnsi="Arial" w:cs="Arial"/>
          <w:sz w:val="24"/>
          <w:szCs w:val="24"/>
        </w:rPr>
        <w:t> radosťou musím skonštatovať, že sa nám v</w:t>
      </w:r>
      <w:r>
        <w:rPr>
          <w:rFonts w:ascii="Arial" w:hAnsi="Arial" w:cs="Arial"/>
          <w:sz w:val="24"/>
          <w:szCs w:val="24"/>
        </w:rPr>
        <w:t> </w:t>
      </w:r>
      <w:r w:rsidRPr="00D451AE">
        <w:rPr>
          <w:rFonts w:ascii="Arial" w:hAnsi="Arial" w:cs="Arial"/>
          <w:sz w:val="24"/>
          <w:szCs w:val="24"/>
        </w:rPr>
        <w:t>roku</w:t>
      </w:r>
      <w:r>
        <w:rPr>
          <w:rFonts w:ascii="Arial" w:hAnsi="Arial" w:cs="Arial"/>
          <w:sz w:val="24"/>
          <w:szCs w:val="24"/>
        </w:rPr>
        <w:t xml:space="preserve"> 2017</w:t>
      </w:r>
      <w:r w:rsidRPr="00D451AE">
        <w:rPr>
          <w:rFonts w:ascii="Arial" w:hAnsi="Arial" w:cs="Arial"/>
          <w:sz w:val="24"/>
          <w:szCs w:val="24"/>
        </w:rPr>
        <w:t xml:space="preserve"> podarilo stabilizovať naše hospodárske výsledky a oproti predošlému obdobiu aj mierne zvýšiť zisk. </w:t>
      </w:r>
    </w:p>
    <w:p w:rsidR="00D451AE" w:rsidRPr="00D451AE" w:rsidRDefault="00D451AE" w:rsidP="006C72AC">
      <w:pPr>
        <w:spacing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D451AE">
        <w:rPr>
          <w:rFonts w:ascii="Arial" w:hAnsi="Arial" w:cs="Arial"/>
          <w:sz w:val="24"/>
          <w:szCs w:val="24"/>
        </w:rPr>
        <w:t>Ako viete, ziskovosť našej spoločnosti bola v minulosti negatívne ovplyvnená poklesom odberu tepla od našich klientov</w:t>
      </w:r>
      <w:r>
        <w:rPr>
          <w:rFonts w:ascii="Arial" w:hAnsi="Arial" w:cs="Arial"/>
          <w:sz w:val="24"/>
          <w:szCs w:val="24"/>
        </w:rPr>
        <w:t xml:space="preserve">, </w:t>
      </w:r>
      <w:r w:rsidRPr="00D451AE">
        <w:rPr>
          <w:rFonts w:ascii="Arial" w:hAnsi="Arial" w:cs="Arial"/>
          <w:sz w:val="24"/>
          <w:szCs w:val="24"/>
        </w:rPr>
        <w:t>spôsobené</w:t>
      </w:r>
      <w:r>
        <w:rPr>
          <w:rFonts w:ascii="Arial" w:hAnsi="Arial" w:cs="Arial"/>
          <w:sz w:val="24"/>
          <w:szCs w:val="24"/>
        </w:rPr>
        <w:t>ho</w:t>
      </w:r>
      <w:r w:rsidRPr="00D451AE">
        <w:rPr>
          <w:rFonts w:ascii="Arial" w:hAnsi="Arial" w:cs="Arial"/>
          <w:sz w:val="24"/>
          <w:szCs w:val="24"/>
        </w:rPr>
        <w:t xml:space="preserve"> masívnym zatepľovaním a vyregulovaním tepelných sústav</w:t>
      </w:r>
      <w:r>
        <w:rPr>
          <w:rFonts w:ascii="Arial" w:hAnsi="Arial" w:cs="Arial"/>
          <w:sz w:val="24"/>
          <w:szCs w:val="24"/>
        </w:rPr>
        <w:t>.</w:t>
      </w:r>
    </w:p>
    <w:p w:rsidR="00D451AE" w:rsidRPr="00D451AE" w:rsidRDefault="00D451AE" w:rsidP="006C72AC">
      <w:pPr>
        <w:spacing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D451AE">
        <w:rPr>
          <w:rFonts w:ascii="Arial" w:hAnsi="Arial" w:cs="Arial"/>
          <w:sz w:val="24"/>
          <w:szCs w:val="24"/>
        </w:rPr>
        <w:t xml:space="preserve">Tento stav sa postupne mení a začíname pripájať nových odberateľov. </w:t>
      </w:r>
    </w:p>
    <w:p w:rsidR="00D451AE" w:rsidRPr="00D451AE" w:rsidRDefault="00D451AE" w:rsidP="006C72AC">
      <w:pPr>
        <w:spacing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D451AE">
        <w:rPr>
          <w:rFonts w:ascii="Arial" w:hAnsi="Arial" w:cs="Arial"/>
          <w:sz w:val="24"/>
          <w:szCs w:val="24"/>
        </w:rPr>
        <w:t>Taktiež v ostatných divíziách nastalo lepšie plnenie plánu, ako sme predpokladali. Divízia správy majetku aj v predošlom roku úspešne pokračovala vo vybavovaní</w:t>
      </w:r>
      <w:r>
        <w:rPr>
          <w:rFonts w:ascii="Arial" w:hAnsi="Arial" w:cs="Arial"/>
          <w:sz w:val="24"/>
          <w:szCs w:val="24"/>
        </w:rPr>
        <w:t xml:space="preserve"> prostriedkov</w:t>
      </w:r>
      <w:r w:rsidRPr="00D451AE">
        <w:rPr>
          <w:rFonts w:ascii="Arial" w:hAnsi="Arial" w:cs="Arial"/>
          <w:sz w:val="24"/>
          <w:szCs w:val="24"/>
        </w:rPr>
        <w:t xml:space="preserve"> zo Štátneho fondu rozvoja bývania, potrebných na rekonštrukciu obytných dom</w:t>
      </w:r>
      <w:r w:rsidR="00901386">
        <w:rPr>
          <w:rFonts w:ascii="Arial" w:hAnsi="Arial" w:cs="Arial"/>
          <w:sz w:val="24"/>
          <w:szCs w:val="24"/>
        </w:rPr>
        <w:t>ov</w:t>
      </w:r>
      <w:r w:rsidRPr="00D451AE">
        <w:rPr>
          <w:rFonts w:ascii="Arial" w:hAnsi="Arial" w:cs="Arial"/>
          <w:sz w:val="24"/>
          <w:szCs w:val="24"/>
        </w:rPr>
        <w:t xml:space="preserve"> v našej správe . Celkovo to bolo </w:t>
      </w:r>
      <w:r w:rsidR="007F752F">
        <w:rPr>
          <w:rFonts w:ascii="Arial" w:hAnsi="Arial" w:cs="Arial"/>
          <w:sz w:val="24"/>
          <w:szCs w:val="24"/>
        </w:rPr>
        <w:t xml:space="preserve">2,6 mil. </w:t>
      </w:r>
      <w:r w:rsidR="007F752F" w:rsidRPr="002D13A0">
        <w:rPr>
          <w:rFonts w:ascii="Arial" w:hAnsi="Arial" w:cs="Arial"/>
          <w:sz w:val="24"/>
          <w:szCs w:val="24"/>
        </w:rPr>
        <w:t>€</w:t>
      </w:r>
      <w:r w:rsidR="007F752F">
        <w:rPr>
          <w:rFonts w:ascii="Arial" w:hAnsi="Arial" w:cs="Arial"/>
          <w:sz w:val="24"/>
          <w:szCs w:val="24"/>
        </w:rPr>
        <w:t>.</w:t>
      </w:r>
    </w:p>
    <w:p w:rsidR="00D451AE" w:rsidRPr="00D451AE" w:rsidRDefault="00D451AE" w:rsidP="006C72AC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Divízia výroby a služieb</w:t>
      </w:r>
      <w:r w:rsidRPr="00D451AE">
        <w:rPr>
          <w:rFonts w:ascii="Arial" w:hAnsi="Arial" w:cs="Arial"/>
          <w:sz w:val="24"/>
          <w:szCs w:val="24"/>
        </w:rPr>
        <w:t xml:space="preserve"> okrem bežnej údržby a investičných akcií pre tepelné hospodárstvo pokračovala v rozsiahlych rekonštrukciách siet</w:t>
      </w:r>
      <w:r>
        <w:rPr>
          <w:rFonts w:ascii="Arial" w:hAnsi="Arial" w:cs="Arial"/>
          <w:sz w:val="24"/>
          <w:szCs w:val="24"/>
        </w:rPr>
        <w:t>í</w:t>
      </w:r>
      <w:r w:rsidRPr="00D451AE">
        <w:rPr>
          <w:rFonts w:ascii="Arial" w:hAnsi="Arial" w:cs="Arial"/>
          <w:sz w:val="24"/>
          <w:szCs w:val="24"/>
        </w:rPr>
        <w:t xml:space="preserve">  v obytných domoch (voda, plyn, elektrika, kanalizácia).</w:t>
      </w:r>
    </w:p>
    <w:p w:rsidR="00D451AE" w:rsidRPr="00D451AE" w:rsidRDefault="007F752F" w:rsidP="006C72AC">
      <w:pPr>
        <w:spacing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základe hospodárskych výsledkov predstavenstvo rozhodlo</w:t>
      </w:r>
      <w:r w:rsidR="00D451AE" w:rsidRPr="00D451AE">
        <w:rPr>
          <w:rFonts w:ascii="Arial" w:hAnsi="Arial" w:cs="Arial"/>
          <w:sz w:val="24"/>
          <w:szCs w:val="24"/>
        </w:rPr>
        <w:t xml:space="preserve"> na svojom decembrovom zasadnutí, že od 1.4. </w:t>
      </w:r>
      <w:r w:rsidR="00D451AE">
        <w:rPr>
          <w:rFonts w:ascii="Arial" w:hAnsi="Arial" w:cs="Arial"/>
          <w:sz w:val="24"/>
          <w:szCs w:val="24"/>
        </w:rPr>
        <w:t xml:space="preserve">2018 </w:t>
      </w:r>
      <w:r w:rsidR="00D451AE" w:rsidRPr="00D451AE">
        <w:rPr>
          <w:rFonts w:ascii="Arial" w:hAnsi="Arial" w:cs="Arial"/>
          <w:sz w:val="24"/>
          <w:szCs w:val="24"/>
        </w:rPr>
        <w:t xml:space="preserve">celoplošne zvýšime mzdy </w:t>
      </w:r>
      <w:r w:rsidR="00D451AE">
        <w:rPr>
          <w:rFonts w:ascii="Arial" w:hAnsi="Arial" w:cs="Arial"/>
          <w:sz w:val="24"/>
          <w:szCs w:val="24"/>
        </w:rPr>
        <w:t>o 30</w:t>
      </w:r>
      <w:r w:rsidR="00D451AE" w:rsidRPr="00D451AE">
        <w:rPr>
          <w:rFonts w:ascii="Arial" w:hAnsi="Arial" w:cs="Arial"/>
          <w:sz w:val="24"/>
          <w:szCs w:val="24"/>
        </w:rPr>
        <w:t xml:space="preserve"> </w:t>
      </w:r>
      <w:r w:rsidR="00D451AE" w:rsidRPr="002D13A0">
        <w:rPr>
          <w:rFonts w:ascii="Arial" w:hAnsi="Arial" w:cs="Arial"/>
          <w:sz w:val="24"/>
          <w:szCs w:val="24"/>
        </w:rPr>
        <w:t>€</w:t>
      </w:r>
      <w:r w:rsidR="00D451AE" w:rsidRPr="00D451AE">
        <w:rPr>
          <w:rFonts w:ascii="Arial" w:hAnsi="Arial" w:cs="Arial"/>
          <w:sz w:val="24"/>
          <w:szCs w:val="24"/>
        </w:rPr>
        <w:t xml:space="preserve"> na pracovníka.  </w:t>
      </w:r>
    </w:p>
    <w:p w:rsidR="00D451AE" w:rsidRPr="00D451AE" w:rsidRDefault="00D451AE" w:rsidP="006C72AC">
      <w:pPr>
        <w:spacing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D451AE">
        <w:rPr>
          <w:rFonts w:ascii="Arial" w:hAnsi="Arial" w:cs="Arial"/>
          <w:sz w:val="24"/>
          <w:szCs w:val="24"/>
        </w:rPr>
        <w:t>V priloženej správe o hospodárskych výsledkoch sú podrobne rozobraté všetky ekonomické ukazovatele. Preto sa nimi nebudem podrobne zaoberať. Len v stručnosti môžem spomenúť</w:t>
      </w:r>
      <w:r>
        <w:rPr>
          <w:rFonts w:ascii="Arial" w:hAnsi="Arial" w:cs="Arial"/>
          <w:sz w:val="24"/>
          <w:szCs w:val="24"/>
        </w:rPr>
        <w:t>,</w:t>
      </w:r>
      <w:r w:rsidRPr="00D451AE">
        <w:rPr>
          <w:rFonts w:ascii="Arial" w:hAnsi="Arial" w:cs="Arial"/>
          <w:sz w:val="24"/>
          <w:szCs w:val="24"/>
        </w:rPr>
        <w:t xml:space="preserve"> že </w:t>
      </w:r>
      <w:r>
        <w:rPr>
          <w:rFonts w:ascii="Arial" w:hAnsi="Arial" w:cs="Arial"/>
          <w:sz w:val="24"/>
          <w:szCs w:val="24"/>
        </w:rPr>
        <w:t>rovnako ako v</w:t>
      </w:r>
      <w:r w:rsidRPr="00D451AE">
        <w:rPr>
          <w:rFonts w:ascii="Arial" w:hAnsi="Arial" w:cs="Arial"/>
          <w:sz w:val="24"/>
          <w:szCs w:val="24"/>
        </w:rPr>
        <w:t xml:space="preserve"> minulom roku aj v  roku </w:t>
      </w:r>
      <w:r>
        <w:rPr>
          <w:rFonts w:ascii="Arial" w:hAnsi="Arial" w:cs="Arial"/>
          <w:sz w:val="24"/>
          <w:szCs w:val="24"/>
        </w:rPr>
        <w:t xml:space="preserve">2018 </w:t>
      </w:r>
      <w:r w:rsidRPr="00D451AE">
        <w:rPr>
          <w:rFonts w:ascii="Arial" w:hAnsi="Arial" w:cs="Arial"/>
          <w:sz w:val="24"/>
          <w:szCs w:val="24"/>
        </w:rPr>
        <w:t>dáme do investícií cca</w:t>
      </w:r>
      <w:r>
        <w:rPr>
          <w:rFonts w:ascii="Arial" w:hAnsi="Arial" w:cs="Arial"/>
          <w:sz w:val="24"/>
          <w:szCs w:val="24"/>
        </w:rPr>
        <w:t xml:space="preserve"> </w:t>
      </w:r>
      <w:r w:rsidR="0010201F">
        <w:rPr>
          <w:rFonts w:ascii="Arial" w:hAnsi="Arial" w:cs="Arial"/>
          <w:sz w:val="24"/>
          <w:szCs w:val="24"/>
        </w:rPr>
        <w:t>1,2 mil</w:t>
      </w:r>
      <w:r>
        <w:rPr>
          <w:rFonts w:ascii="Arial" w:hAnsi="Arial" w:cs="Arial"/>
          <w:sz w:val="24"/>
          <w:szCs w:val="24"/>
        </w:rPr>
        <w:t>.</w:t>
      </w:r>
      <w:r w:rsidRPr="00D451AE">
        <w:rPr>
          <w:rFonts w:ascii="Arial" w:hAnsi="Arial" w:cs="Arial"/>
          <w:sz w:val="24"/>
          <w:szCs w:val="24"/>
        </w:rPr>
        <w:t xml:space="preserve"> </w:t>
      </w:r>
      <w:r w:rsidRPr="002D13A0">
        <w:rPr>
          <w:rFonts w:ascii="Arial" w:hAnsi="Arial" w:cs="Arial"/>
          <w:sz w:val="24"/>
          <w:szCs w:val="24"/>
        </w:rPr>
        <w:t>€</w:t>
      </w:r>
      <w:r w:rsidRPr="00D451AE">
        <w:rPr>
          <w:rFonts w:ascii="Arial" w:hAnsi="Arial" w:cs="Arial"/>
          <w:sz w:val="24"/>
          <w:szCs w:val="24"/>
        </w:rPr>
        <w:t xml:space="preserve">. Na opravy vynaložíme </w:t>
      </w:r>
      <w:r w:rsidR="002140AF">
        <w:rPr>
          <w:rFonts w:ascii="Arial" w:hAnsi="Arial" w:cs="Arial"/>
          <w:sz w:val="24"/>
          <w:szCs w:val="24"/>
        </w:rPr>
        <w:t>podľa plánu pre rok 2018</w:t>
      </w:r>
      <w:r w:rsidRPr="00D451AE">
        <w:rPr>
          <w:rFonts w:ascii="Arial" w:hAnsi="Arial" w:cs="Arial"/>
          <w:sz w:val="24"/>
          <w:szCs w:val="24"/>
        </w:rPr>
        <w:t xml:space="preserve"> </w:t>
      </w:r>
      <w:r w:rsidR="002140AF">
        <w:rPr>
          <w:rFonts w:ascii="Arial" w:hAnsi="Arial" w:cs="Arial"/>
          <w:sz w:val="24"/>
          <w:szCs w:val="24"/>
        </w:rPr>
        <w:t xml:space="preserve">sumu </w:t>
      </w:r>
      <w:r w:rsidR="0010201F">
        <w:rPr>
          <w:rFonts w:ascii="Arial" w:hAnsi="Arial" w:cs="Arial"/>
          <w:sz w:val="24"/>
          <w:szCs w:val="24"/>
        </w:rPr>
        <w:t xml:space="preserve"> 1,1 mil</w:t>
      </w:r>
      <w:r>
        <w:rPr>
          <w:rFonts w:ascii="Arial" w:hAnsi="Arial" w:cs="Arial"/>
          <w:sz w:val="24"/>
          <w:szCs w:val="24"/>
        </w:rPr>
        <w:t xml:space="preserve">. </w:t>
      </w:r>
      <w:r w:rsidRPr="002D13A0">
        <w:rPr>
          <w:rFonts w:ascii="Arial" w:hAnsi="Arial" w:cs="Arial"/>
          <w:sz w:val="24"/>
          <w:szCs w:val="24"/>
        </w:rPr>
        <w:t>€</w:t>
      </w:r>
      <w:r w:rsidRPr="00D451AE">
        <w:rPr>
          <w:rFonts w:ascii="Arial" w:hAnsi="Arial" w:cs="Arial"/>
          <w:sz w:val="24"/>
          <w:szCs w:val="24"/>
        </w:rPr>
        <w:t xml:space="preserve">. Okrem toho predpokladáme, že </w:t>
      </w:r>
      <w:r w:rsidR="00B63D45">
        <w:rPr>
          <w:rFonts w:ascii="Arial" w:hAnsi="Arial" w:cs="Arial"/>
          <w:sz w:val="24"/>
          <w:szCs w:val="24"/>
        </w:rPr>
        <w:t>v budúcom roku</w:t>
      </w:r>
      <w:r w:rsidRPr="00D451AE">
        <w:rPr>
          <w:rFonts w:ascii="Arial" w:hAnsi="Arial" w:cs="Arial"/>
          <w:sz w:val="24"/>
          <w:szCs w:val="24"/>
        </w:rPr>
        <w:t xml:space="preserve"> dôjde k rekonštrukcii siedmich veľkých výmenníkových staníc z dôvodu prechodu vykurovacieho média z pary na horúcu vodu. Jedná sa o vyvolanú investíciu Žilinskej teplárenskej spoločnosti. </w:t>
      </w:r>
      <w:r w:rsidR="002140AF">
        <w:rPr>
          <w:rFonts w:ascii="Arial" w:hAnsi="Arial" w:cs="Arial"/>
          <w:sz w:val="24"/>
          <w:szCs w:val="24"/>
        </w:rPr>
        <w:t xml:space="preserve">V najbližších dňoch bude </w:t>
      </w:r>
      <w:r w:rsidRPr="00D451AE">
        <w:rPr>
          <w:rFonts w:ascii="Arial" w:hAnsi="Arial" w:cs="Arial"/>
          <w:sz w:val="24"/>
          <w:szCs w:val="24"/>
        </w:rPr>
        <w:t>o tom podpísaná dlho pripravovaná zmluva o</w:t>
      </w:r>
      <w:r w:rsidR="002140AF">
        <w:rPr>
          <w:rFonts w:ascii="Arial" w:hAnsi="Arial" w:cs="Arial"/>
          <w:sz w:val="24"/>
          <w:szCs w:val="24"/>
        </w:rPr>
        <w:t> </w:t>
      </w:r>
      <w:r w:rsidRPr="00D451AE">
        <w:rPr>
          <w:rFonts w:ascii="Arial" w:hAnsi="Arial" w:cs="Arial"/>
          <w:sz w:val="24"/>
          <w:szCs w:val="24"/>
        </w:rPr>
        <w:t>spolupráci</w:t>
      </w:r>
      <w:r w:rsidR="002140AF">
        <w:rPr>
          <w:rFonts w:ascii="Arial" w:hAnsi="Arial" w:cs="Arial"/>
          <w:sz w:val="24"/>
          <w:szCs w:val="24"/>
        </w:rPr>
        <w:t>, na ktorej sa pracovalo jeden a pol roka</w:t>
      </w:r>
      <w:r w:rsidRPr="00D451AE">
        <w:rPr>
          <w:rFonts w:ascii="Arial" w:hAnsi="Arial" w:cs="Arial"/>
          <w:sz w:val="24"/>
          <w:szCs w:val="24"/>
        </w:rPr>
        <w:t xml:space="preserve">. Bol to veľmi náročný a zodpovedný proces, nakoľko sa muselo dbať nielen na technické riešenia, ale najmä aby nebolo ohrozené naše vlastníctvo </w:t>
      </w:r>
      <w:r w:rsidR="002140AF">
        <w:rPr>
          <w:rFonts w:ascii="Arial" w:hAnsi="Arial" w:cs="Arial"/>
          <w:sz w:val="24"/>
          <w:szCs w:val="24"/>
        </w:rPr>
        <w:t>tepelných zariadení</w:t>
      </w:r>
      <w:r w:rsidRPr="00D451AE">
        <w:rPr>
          <w:rFonts w:ascii="Arial" w:hAnsi="Arial" w:cs="Arial"/>
          <w:sz w:val="24"/>
          <w:szCs w:val="24"/>
        </w:rPr>
        <w:t xml:space="preserve">.  </w:t>
      </w:r>
    </w:p>
    <w:p w:rsidR="00D451AE" w:rsidRPr="00D451AE" w:rsidRDefault="00D451AE" w:rsidP="006C72AC">
      <w:pPr>
        <w:spacing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D451AE">
        <w:rPr>
          <w:rFonts w:ascii="Arial" w:hAnsi="Arial" w:cs="Arial"/>
          <w:sz w:val="24"/>
          <w:szCs w:val="24"/>
        </w:rPr>
        <w:t>Na základe rozhodnutia Najvyššieho  súdu , že pozemok pod administratívnou budovou patrí definitívne rádu Saleziánov, sme s nimi uzavreli kúpnopredajnú zmluvu</w:t>
      </w:r>
      <w:r w:rsidR="00B63D45">
        <w:rPr>
          <w:rFonts w:ascii="Arial" w:hAnsi="Arial" w:cs="Arial"/>
          <w:sz w:val="24"/>
          <w:szCs w:val="24"/>
        </w:rPr>
        <w:t>,</w:t>
      </w:r>
      <w:r w:rsidRPr="00D451AE">
        <w:rPr>
          <w:rFonts w:ascii="Arial" w:hAnsi="Arial" w:cs="Arial"/>
          <w:sz w:val="24"/>
          <w:szCs w:val="24"/>
        </w:rPr>
        <w:t xml:space="preserve"> a tak po dlhých rokoch súdov máme k dnešnému dňu aj túto vec usporiadanú</w:t>
      </w:r>
      <w:r w:rsidR="002140AF">
        <w:rPr>
          <w:rFonts w:ascii="Arial" w:hAnsi="Arial" w:cs="Arial"/>
          <w:sz w:val="24"/>
          <w:szCs w:val="24"/>
        </w:rPr>
        <w:t>.</w:t>
      </w:r>
      <w:r w:rsidRPr="00D451AE">
        <w:rPr>
          <w:rFonts w:ascii="Arial" w:hAnsi="Arial" w:cs="Arial"/>
          <w:sz w:val="24"/>
          <w:szCs w:val="24"/>
        </w:rPr>
        <w:t xml:space="preserve"> </w:t>
      </w:r>
    </w:p>
    <w:p w:rsidR="00D451AE" w:rsidRPr="00D451AE" w:rsidRDefault="00D451AE" w:rsidP="006C72AC">
      <w:pPr>
        <w:spacing w:line="240" w:lineRule="auto"/>
        <w:ind w:firstLine="708"/>
        <w:jc w:val="both"/>
        <w:rPr>
          <w:rFonts w:ascii="Arial" w:hAnsi="Arial" w:cs="Arial"/>
          <w:i/>
          <w:sz w:val="24"/>
          <w:szCs w:val="24"/>
        </w:rPr>
      </w:pPr>
      <w:r w:rsidRPr="00D451AE">
        <w:rPr>
          <w:rFonts w:ascii="Arial" w:hAnsi="Arial" w:cs="Arial"/>
          <w:sz w:val="24"/>
          <w:szCs w:val="24"/>
        </w:rPr>
        <w:t>Pokiaľ sa mám vyjadriť k očakávanej blízkej budúcnosti, pozerám sa mierne optimisticky a očakávam ďalšie mierne zlepšenie hospodárskych výsledkov</w:t>
      </w:r>
      <w:r w:rsidR="002140AF">
        <w:rPr>
          <w:rFonts w:ascii="Arial" w:hAnsi="Arial" w:cs="Arial"/>
          <w:sz w:val="24"/>
          <w:szCs w:val="24"/>
        </w:rPr>
        <w:t>.</w:t>
      </w:r>
    </w:p>
    <w:p w:rsidR="002140AF" w:rsidRDefault="002140AF" w:rsidP="006C72AC">
      <w:pPr>
        <w:spacing w:line="240" w:lineRule="auto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F37361" w:rsidRDefault="00F37361" w:rsidP="006C72AC">
      <w:pPr>
        <w:spacing w:line="240" w:lineRule="auto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5568B1" w:rsidRPr="000F34A8" w:rsidRDefault="002140AF" w:rsidP="006C72AC">
      <w:pPr>
        <w:spacing w:line="240" w:lineRule="auto"/>
        <w:jc w:val="both"/>
        <w:rPr>
          <w:rFonts w:ascii="Times New Roman" w:hAnsi="Times New Roman" w:cs="Times New Roman"/>
          <w:i/>
          <w:sz w:val="26"/>
          <w:szCs w:val="26"/>
        </w:rPr>
      </w:pPr>
      <w:r w:rsidRPr="00B63D45">
        <w:rPr>
          <w:rFonts w:ascii="Times New Roman" w:hAnsi="Times New Roman" w:cs="Times New Roman"/>
          <w:i/>
          <w:sz w:val="26"/>
          <w:szCs w:val="26"/>
        </w:rPr>
        <w:t xml:space="preserve">V Žiline, </w:t>
      </w:r>
      <w:r w:rsidR="00CA6305">
        <w:rPr>
          <w:rFonts w:ascii="Times New Roman" w:hAnsi="Times New Roman" w:cs="Times New Roman"/>
          <w:i/>
          <w:sz w:val="26"/>
          <w:szCs w:val="26"/>
        </w:rPr>
        <w:t>20.3</w:t>
      </w:r>
      <w:r w:rsidRPr="00B63D45">
        <w:rPr>
          <w:rFonts w:ascii="Times New Roman" w:hAnsi="Times New Roman" w:cs="Times New Roman"/>
          <w:i/>
          <w:sz w:val="26"/>
          <w:szCs w:val="26"/>
        </w:rPr>
        <w:t>.2018</w:t>
      </w:r>
      <w:r w:rsidRPr="00B63D45">
        <w:rPr>
          <w:rFonts w:ascii="Times New Roman" w:hAnsi="Times New Roman" w:cs="Times New Roman"/>
          <w:i/>
          <w:sz w:val="26"/>
          <w:szCs w:val="26"/>
        </w:rPr>
        <w:tab/>
      </w:r>
      <w:r>
        <w:rPr>
          <w:rFonts w:ascii="Times New Roman" w:hAnsi="Times New Roman" w:cs="Times New Roman"/>
          <w:i/>
          <w:sz w:val="26"/>
          <w:szCs w:val="26"/>
        </w:rPr>
        <w:tab/>
      </w:r>
      <w:r>
        <w:rPr>
          <w:rFonts w:ascii="Times New Roman" w:hAnsi="Times New Roman" w:cs="Times New Roman"/>
          <w:i/>
          <w:sz w:val="26"/>
          <w:szCs w:val="26"/>
        </w:rPr>
        <w:tab/>
      </w:r>
      <w:r>
        <w:rPr>
          <w:rFonts w:ascii="Times New Roman" w:hAnsi="Times New Roman" w:cs="Times New Roman"/>
          <w:i/>
          <w:sz w:val="26"/>
          <w:szCs w:val="26"/>
        </w:rPr>
        <w:tab/>
      </w:r>
      <w:r w:rsidR="005568B1" w:rsidRPr="000F34A8">
        <w:rPr>
          <w:rFonts w:ascii="Times New Roman" w:hAnsi="Times New Roman" w:cs="Times New Roman"/>
          <w:i/>
          <w:sz w:val="26"/>
          <w:szCs w:val="26"/>
        </w:rPr>
        <w:t>Ing. Milan Kováč, predseda predstavenstva</w:t>
      </w:r>
    </w:p>
    <w:p w:rsidR="005568B1" w:rsidRPr="00FE449F" w:rsidRDefault="005568B1" w:rsidP="006C72AC">
      <w:pPr>
        <w:pStyle w:val="nadpisybytterm"/>
        <w:spacing w:line="276" w:lineRule="auto"/>
      </w:pPr>
      <w:r w:rsidRPr="00FE449F">
        <w:lastRenderedPageBreak/>
        <w:t>PROFIL SPOLOČNOSTI</w:t>
      </w:r>
    </w:p>
    <w:p w:rsidR="005568B1" w:rsidRDefault="005568B1" w:rsidP="006C72AC">
      <w:pPr>
        <w:spacing w:line="276" w:lineRule="auto"/>
      </w:pP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Spoločnosť BYTTERM, a.s. vznikla privatizáciou Podniku bytového hospodárstva, š.p. a mestského podniku Obnova Žilina – prevádzka Drevovýroba.</w:t>
      </w:r>
    </w:p>
    <w:p w:rsidR="005568B1" w:rsidRDefault="005568B1" w:rsidP="006C72AC">
      <w:pPr>
        <w:spacing w:line="276" w:lineRule="auto"/>
        <w:rPr>
          <w:rFonts w:ascii="Times New Roman" w:hAnsi="Times New Roman" w:cs="Times New Roman"/>
        </w:rPr>
      </w:pPr>
    </w:p>
    <w:p w:rsidR="005568B1" w:rsidRPr="0052549A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</w:pPr>
      <w:r w:rsidRPr="00D327D4">
        <w:rPr>
          <w:rFonts w:ascii="Times New Roman" w:hAnsi="Times New Roman" w:cs="Times New Roman"/>
          <w:b/>
          <w:color w:val="538135" w:themeColor="accent6" w:themeShade="BF"/>
        </w:rPr>
        <w:t>Obchodné meno:</w:t>
      </w:r>
      <w:r w:rsidRPr="00D327D4">
        <w:rPr>
          <w:color w:val="538135" w:themeColor="accent6" w:themeShade="BF"/>
        </w:rPr>
        <w:t xml:space="preserve"> </w:t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 w:rsidRPr="00D327D4">
        <w:rPr>
          <w:rFonts w:ascii="Times New Roman" w:hAnsi="Times New Roman" w:cs="Times New Roman"/>
        </w:rPr>
        <w:t>BYTTERM, a.s.</w:t>
      </w:r>
      <w:r w:rsidRPr="0052549A">
        <w:t xml:space="preserve"> </w:t>
      </w:r>
    </w:p>
    <w:p w:rsidR="005568B1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</w:pPr>
      <w:r w:rsidRPr="002E767E">
        <w:rPr>
          <w:rFonts w:ascii="Times New Roman" w:hAnsi="Times New Roman" w:cs="Times New Roman"/>
          <w:b/>
          <w:color w:val="538135" w:themeColor="accent6" w:themeShade="BF"/>
        </w:rPr>
        <w:t>Sídlo:</w:t>
      </w:r>
      <w:r>
        <w:t xml:space="preserve"> </w:t>
      </w:r>
      <w:r>
        <w:tab/>
      </w:r>
      <w:r w:rsidRPr="00E636A2">
        <w:rPr>
          <w:color w:val="538135" w:themeColor="accent6" w:themeShade="BF"/>
        </w:rPr>
        <w:tab/>
      </w:r>
      <w:r>
        <w:tab/>
      </w:r>
      <w:r>
        <w:tab/>
      </w:r>
      <w:r>
        <w:tab/>
      </w:r>
      <w:r>
        <w:tab/>
      </w:r>
      <w:r w:rsidRPr="002E767E">
        <w:rPr>
          <w:rFonts w:ascii="Times New Roman" w:hAnsi="Times New Roman" w:cs="Times New Roman"/>
        </w:rPr>
        <w:t>Saleziánska 4, 010 77 Žilina</w:t>
      </w:r>
      <w:r>
        <w:t xml:space="preserve"> </w:t>
      </w:r>
    </w:p>
    <w:p w:rsidR="005568B1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</w:pPr>
      <w:r w:rsidRPr="002E767E">
        <w:rPr>
          <w:rFonts w:ascii="Times New Roman" w:hAnsi="Times New Roman" w:cs="Times New Roman"/>
          <w:b/>
          <w:color w:val="538135" w:themeColor="accent6" w:themeShade="BF"/>
        </w:rPr>
        <w:t>IČO: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2E767E">
        <w:rPr>
          <w:rFonts w:ascii="Times New Roman" w:hAnsi="Times New Roman" w:cs="Times New Roman"/>
        </w:rPr>
        <w:t>31 584 705</w:t>
      </w:r>
      <w:r>
        <w:t xml:space="preserve"> </w:t>
      </w:r>
    </w:p>
    <w:p w:rsidR="005568B1" w:rsidRPr="002E767E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  <w:rPr>
          <w:rFonts w:ascii="Times New Roman" w:hAnsi="Times New Roman" w:cs="Times New Roman"/>
        </w:rPr>
      </w:pPr>
      <w:r w:rsidRPr="002E767E">
        <w:rPr>
          <w:rFonts w:ascii="Times New Roman" w:hAnsi="Times New Roman" w:cs="Times New Roman"/>
          <w:b/>
          <w:color w:val="538135" w:themeColor="accent6" w:themeShade="BF"/>
        </w:rPr>
        <w:t>Deň zápisu do Obchodného registra:</w:t>
      </w:r>
      <w:r w:rsidRPr="002E767E">
        <w:rPr>
          <w:color w:val="538135" w:themeColor="accent6" w:themeShade="BF"/>
        </w:rPr>
        <w:t xml:space="preserve"> </w:t>
      </w:r>
      <w:r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 w:rsidRPr="002E767E">
        <w:rPr>
          <w:rFonts w:ascii="Times New Roman" w:hAnsi="Times New Roman" w:cs="Times New Roman"/>
        </w:rPr>
        <w:t xml:space="preserve">01.04.1993 </w:t>
      </w:r>
    </w:p>
    <w:p w:rsidR="005568B1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</w:pPr>
      <w:r w:rsidRPr="002E767E">
        <w:rPr>
          <w:rFonts w:ascii="Times New Roman" w:hAnsi="Times New Roman" w:cs="Times New Roman"/>
          <w:b/>
          <w:color w:val="538135" w:themeColor="accent6" w:themeShade="BF"/>
        </w:rPr>
        <w:t>Právna forma:</w:t>
      </w:r>
      <w:r>
        <w:t xml:space="preserve"> </w:t>
      </w:r>
      <w:r>
        <w:tab/>
      </w:r>
      <w:r>
        <w:tab/>
      </w:r>
      <w:r>
        <w:tab/>
      </w:r>
      <w:r>
        <w:tab/>
      </w:r>
      <w:r w:rsidRPr="002E767E">
        <w:rPr>
          <w:rFonts w:ascii="Times New Roman" w:hAnsi="Times New Roman" w:cs="Times New Roman"/>
        </w:rPr>
        <w:t>akciová spoločnosť</w:t>
      </w:r>
      <w:r>
        <w:t xml:space="preserve"> </w:t>
      </w:r>
    </w:p>
    <w:p w:rsidR="005568B1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</w:pPr>
      <w:r w:rsidRPr="002E767E">
        <w:rPr>
          <w:rFonts w:ascii="Times New Roman" w:hAnsi="Times New Roman" w:cs="Times New Roman"/>
          <w:b/>
          <w:color w:val="538135" w:themeColor="accent6" w:themeShade="BF"/>
        </w:rPr>
        <w:t>Zapísaná v: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 w:rsidRPr="002E767E">
        <w:rPr>
          <w:rFonts w:ascii="Times New Roman" w:hAnsi="Times New Roman" w:cs="Times New Roman"/>
        </w:rPr>
        <w:t xml:space="preserve">Obchodnom registri </w:t>
      </w:r>
      <w:r>
        <w:rPr>
          <w:rFonts w:ascii="Times New Roman" w:hAnsi="Times New Roman" w:cs="Times New Roman"/>
        </w:rPr>
        <w:t>OS</w:t>
      </w:r>
      <w:r w:rsidRPr="002E767E">
        <w:rPr>
          <w:rFonts w:ascii="Times New Roman" w:hAnsi="Times New Roman" w:cs="Times New Roman"/>
        </w:rPr>
        <w:t xml:space="preserve"> Žilina, v odd.: Sa, vl</w:t>
      </w:r>
      <w:r>
        <w:rPr>
          <w:rFonts w:ascii="Times New Roman" w:hAnsi="Times New Roman" w:cs="Times New Roman"/>
        </w:rPr>
        <w:t>.</w:t>
      </w:r>
      <w:r w:rsidRPr="002E767E">
        <w:rPr>
          <w:rFonts w:ascii="Times New Roman" w:hAnsi="Times New Roman" w:cs="Times New Roman"/>
        </w:rPr>
        <w:t xml:space="preserve"> č.:156/L</w:t>
      </w:r>
      <w:r>
        <w:t xml:space="preserve"> </w:t>
      </w:r>
    </w:p>
    <w:p w:rsidR="005568B1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color w:val="538135" w:themeColor="accent6" w:themeShade="BF"/>
        </w:rPr>
        <w:t>Základné imanie</w:t>
      </w:r>
      <w:r w:rsidRPr="002E767E">
        <w:rPr>
          <w:rFonts w:ascii="Times New Roman" w:hAnsi="Times New Roman" w:cs="Times New Roman"/>
          <w:b/>
          <w:color w:val="538135" w:themeColor="accent6" w:themeShade="BF"/>
        </w:rPr>
        <w:t>:</w:t>
      </w:r>
      <w:r>
        <w:t xml:space="preserve"> </w:t>
      </w:r>
      <w:r>
        <w:tab/>
      </w:r>
      <w:r>
        <w:tab/>
      </w:r>
      <w:r>
        <w:tab/>
      </w:r>
      <w:r>
        <w:tab/>
      </w:r>
      <w:r w:rsidR="000A6975">
        <w:rPr>
          <w:rFonts w:ascii="Times New Roman" w:hAnsi="Times New Roman" w:cs="Times New Roman"/>
        </w:rPr>
        <w:t>225 096</w:t>
      </w:r>
      <w:r w:rsidRPr="002E767E">
        <w:rPr>
          <w:rFonts w:ascii="Times New Roman" w:hAnsi="Times New Roman" w:cs="Times New Roman"/>
        </w:rPr>
        <w:t xml:space="preserve"> €</w:t>
      </w:r>
    </w:p>
    <w:p w:rsidR="005568B1" w:rsidRPr="00FE449F" w:rsidRDefault="005568B1" w:rsidP="006C72AC">
      <w:pPr>
        <w:spacing w:line="276" w:lineRule="auto"/>
        <w:rPr>
          <w:rFonts w:ascii="Arial" w:hAnsi="Arial" w:cs="Arial"/>
          <w:color w:val="538135" w:themeColor="accent6" w:themeShade="BF"/>
        </w:rPr>
      </w:pPr>
    </w:p>
    <w:p w:rsidR="00F1277C" w:rsidRDefault="00F1277C" w:rsidP="006C72AC">
      <w:pPr>
        <w:spacing w:line="276" w:lineRule="auto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</w:p>
    <w:p w:rsidR="005568B1" w:rsidRPr="00FE449F" w:rsidRDefault="005568B1" w:rsidP="006C72AC">
      <w:pPr>
        <w:spacing w:line="276" w:lineRule="auto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 w:rsidRPr="00FE449F">
        <w:rPr>
          <w:rFonts w:ascii="Arial" w:hAnsi="Arial" w:cs="Arial"/>
          <w:smallCaps/>
          <w:color w:val="538135" w:themeColor="accent6" w:themeShade="BF"/>
          <w:sz w:val="36"/>
          <w:szCs w:val="36"/>
        </w:rPr>
        <w:t>vlastnícka štruktúra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2D13A0">
        <w:rPr>
          <w:rFonts w:ascii="Arial" w:hAnsi="Arial" w:cs="Arial"/>
          <w:color w:val="000000" w:themeColor="text1"/>
          <w:sz w:val="24"/>
          <w:szCs w:val="24"/>
        </w:rPr>
        <w:t>Akcionármi spoločnosti sú jej súčasní a bývalí zamestnanci alebo ich najbližší rodinní príslušníci, ktorí akcie získali dedením alebo prevodom. K 31.12.201</w:t>
      </w:r>
      <w:r w:rsidR="000A6975">
        <w:rPr>
          <w:rFonts w:ascii="Arial" w:hAnsi="Arial" w:cs="Arial"/>
          <w:color w:val="000000" w:themeColor="text1"/>
          <w:sz w:val="24"/>
          <w:szCs w:val="24"/>
        </w:rPr>
        <w:t>7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vlastnia akcionári spolu </w:t>
      </w:r>
      <w:r w:rsidR="000A6975">
        <w:rPr>
          <w:rFonts w:ascii="Arial" w:hAnsi="Arial" w:cs="Arial"/>
          <w:color w:val="000000" w:themeColor="text1"/>
          <w:sz w:val="24"/>
          <w:szCs w:val="24"/>
        </w:rPr>
        <w:t>678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ks akcií v nominálnej hodnote 332 </w:t>
      </w:r>
      <w:r w:rsidRPr="002D13A0">
        <w:rPr>
          <w:rFonts w:ascii="Arial" w:hAnsi="Arial" w:cs="Arial"/>
          <w:sz w:val="24"/>
          <w:szCs w:val="24"/>
        </w:rPr>
        <w:t>€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, z toho spoločnosť BYTTERM, a.s. vlastní </w:t>
      </w:r>
      <w:r w:rsidR="000A6975">
        <w:rPr>
          <w:rFonts w:ascii="Arial" w:hAnsi="Arial" w:cs="Arial"/>
          <w:color w:val="000000" w:themeColor="text1"/>
          <w:sz w:val="24"/>
          <w:szCs w:val="24"/>
        </w:rPr>
        <w:t>26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ks akcií (vlastné akcie) a ostatní akcionári </w:t>
      </w:r>
      <w:r w:rsidR="000A6975">
        <w:rPr>
          <w:rFonts w:ascii="Arial" w:hAnsi="Arial" w:cs="Arial"/>
          <w:color w:val="000000" w:themeColor="text1"/>
          <w:sz w:val="24"/>
          <w:szCs w:val="24"/>
        </w:rPr>
        <w:t>652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ks akcií. Ide o listinné cenné papiere na meno, ktoré nie sú verejne obchodovateľné.</w:t>
      </w:r>
    </w:p>
    <w:p w:rsidR="005568B1" w:rsidRDefault="005568B1" w:rsidP="006C72AC">
      <w:pPr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68B1" w:rsidRPr="00103C8C" w:rsidRDefault="005568B1" w:rsidP="006C72AC">
      <w:pPr>
        <w:pStyle w:val="Import38"/>
        <w:tabs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</w:tabs>
        <w:spacing w:line="276" w:lineRule="auto"/>
        <w:jc w:val="both"/>
        <w:rPr>
          <w:rFonts w:ascii="Arial" w:hAnsi="Arial"/>
          <w:smallCaps/>
          <w:sz w:val="20"/>
          <w:lang w:val="sk-SK"/>
        </w:rPr>
      </w:pPr>
      <w:r w:rsidRPr="00103C8C">
        <w:rPr>
          <w:rFonts w:ascii="Arial" w:hAnsi="Arial"/>
          <w:smallCaps/>
          <w:sz w:val="20"/>
          <w:lang w:val="sk-SK"/>
        </w:rPr>
        <w:t xml:space="preserve">Rozdelenie akcií 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48"/>
        <w:gridCol w:w="1281"/>
        <w:gridCol w:w="709"/>
        <w:gridCol w:w="1275"/>
        <w:gridCol w:w="709"/>
        <w:gridCol w:w="1276"/>
        <w:gridCol w:w="709"/>
        <w:gridCol w:w="1376"/>
      </w:tblGrid>
      <w:tr w:rsidR="005568B1" w:rsidRPr="00D7176D" w:rsidTr="005568B1">
        <w:trPr>
          <w:trHeight w:val="221"/>
        </w:trPr>
        <w:tc>
          <w:tcPr>
            <w:tcW w:w="6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9B096F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</w:rPr>
            </w:pPr>
            <w:r w:rsidRPr="009B096F">
              <w:rPr>
                <w:rFonts w:ascii="Book Antiqua" w:hAnsi="Book Antiqua"/>
                <w:snapToGrid w:val="0"/>
              </w:rPr>
              <w:t>Počet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568B1" w:rsidRPr="00F4577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 w:rsidRPr="00F4577D">
              <w:rPr>
                <w:rFonts w:ascii="Book Antiqua" w:hAnsi="Book Antiqua"/>
                <w:snapToGrid w:val="0"/>
                <w:color w:val="000000"/>
              </w:rPr>
              <w:t>Počet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F4577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 w:rsidRPr="00F4577D">
              <w:rPr>
                <w:rFonts w:ascii="Book Antiqua" w:hAnsi="Book Antiqua"/>
                <w:snapToGrid w:val="0"/>
                <w:color w:val="000000"/>
              </w:rPr>
              <w:t>Počet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568B1" w:rsidRPr="00F4577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 w:rsidRPr="00F4577D">
              <w:rPr>
                <w:rFonts w:ascii="Book Antiqua" w:hAnsi="Book Antiqua"/>
                <w:snapToGrid w:val="0"/>
                <w:color w:val="000000"/>
              </w:rPr>
              <w:t>Počet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F4577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 w:rsidRPr="00F4577D">
              <w:rPr>
                <w:rFonts w:ascii="Book Antiqua" w:hAnsi="Book Antiqua"/>
                <w:snapToGrid w:val="0"/>
                <w:color w:val="000000"/>
              </w:rPr>
              <w:t>Počet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568B1" w:rsidRPr="00F4577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 w:rsidRPr="00F4577D">
              <w:rPr>
                <w:rFonts w:ascii="Book Antiqua" w:hAnsi="Book Antiqua"/>
                <w:snapToGrid w:val="0"/>
                <w:color w:val="000000"/>
              </w:rPr>
              <w:t>Počet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F4577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 w:rsidRPr="00F4577D">
              <w:rPr>
                <w:rFonts w:ascii="Book Antiqua" w:hAnsi="Book Antiqua"/>
                <w:snapToGrid w:val="0"/>
                <w:color w:val="000000"/>
              </w:rPr>
              <w:t>Počet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568B1" w:rsidRPr="00F4577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 w:rsidRPr="00F4577D">
              <w:rPr>
                <w:rFonts w:ascii="Book Antiqua" w:hAnsi="Book Antiqua"/>
                <w:snapToGrid w:val="0"/>
                <w:color w:val="000000"/>
              </w:rPr>
              <w:t>Počet</w:t>
            </w:r>
          </w:p>
        </w:tc>
      </w:tr>
      <w:tr w:rsidR="005568B1" w:rsidRPr="00D7176D" w:rsidTr="005568B1">
        <w:trPr>
          <w:trHeight w:val="235"/>
        </w:trPr>
        <w:tc>
          <w:tcPr>
            <w:tcW w:w="648" w:type="dxa"/>
            <w:tcBorders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solid" w:color="C0C0C0" w:fill="auto"/>
          </w:tcPr>
          <w:p w:rsidR="005568B1" w:rsidRPr="009B096F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</w:rPr>
            </w:pPr>
            <w:r w:rsidRPr="009B096F">
              <w:rPr>
                <w:rFonts w:ascii="Book Antiqua" w:hAnsi="Book Antiqua"/>
                <w:snapToGrid w:val="0"/>
              </w:rPr>
              <w:t>akcií</w:t>
            </w:r>
          </w:p>
        </w:tc>
        <w:tc>
          <w:tcPr>
            <w:tcW w:w="1281" w:type="dxa"/>
            <w:tcBorders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568B1" w:rsidRPr="00F4577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 w:rsidRPr="00F4577D">
              <w:rPr>
                <w:rFonts w:ascii="Book Antiqua" w:hAnsi="Book Antiqua"/>
                <w:snapToGrid w:val="0"/>
                <w:color w:val="000000"/>
              </w:rPr>
              <w:t>akcionárov</w:t>
            </w:r>
          </w:p>
        </w:tc>
        <w:tc>
          <w:tcPr>
            <w:tcW w:w="709" w:type="dxa"/>
            <w:tcBorders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solid" w:color="C0C0C0" w:fill="auto"/>
          </w:tcPr>
          <w:p w:rsidR="005568B1" w:rsidRPr="00F4577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 w:rsidRPr="00F4577D">
              <w:rPr>
                <w:rFonts w:ascii="Book Antiqua" w:hAnsi="Book Antiqua"/>
                <w:snapToGrid w:val="0"/>
                <w:color w:val="000000"/>
              </w:rPr>
              <w:t>akcií</w:t>
            </w:r>
          </w:p>
        </w:tc>
        <w:tc>
          <w:tcPr>
            <w:tcW w:w="1275" w:type="dxa"/>
            <w:tcBorders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568B1" w:rsidRPr="00F4577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 w:rsidRPr="00F4577D">
              <w:rPr>
                <w:rFonts w:ascii="Book Antiqua" w:hAnsi="Book Antiqua"/>
                <w:snapToGrid w:val="0"/>
                <w:color w:val="000000"/>
              </w:rPr>
              <w:t>akcionárov</w:t>
            </w:r>
          </w:p>
        </w:tc>
        <w:tc>
          <w:tcPr>
            <w:tcW w:w="709" w:type="dxa"/>
            <w:tcBorders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solid" w:color="C0C0C0" w:fill="auto"/>
          </w:tcPr>
          <w:p w:rsidR="005568B1" w:rsidRPr="00F4577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 w:rsidRPr="00F4577D">
              <w:rPr>
                <w:rFonts w:ascii="Book Antiqua" w:hAnsi="Book Antiqua"/>
                <w:snapToGrid w:val="0"/>
                <w:color w:val="000000"/>
              </w:rPr>
              <w:t>akcií</w:t>
            </w:r>
          </w:p>
        </w:tc>
        <w:tc>
          <w:tcPr>
            <w:tcW w:w="1276" w:type="dxa"/>
            <w:tcBorders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568B1" w:rsidRPr="00F4577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 w:rsidRPr="00F4577D">
              <w:rPr>
                <w:rFonts w:ascii="Book Antiqua" w:hAnsi="Book Antiqua"/>
                <w:snapToGrid w:val="0"/>
                <w:color w:val="000000"/>
              </w:rPr>
              <w:t>akcionárov</w:t>
            </w:r>
          </w:p>
        </w:tc>
        <w:tc>
          <w:tcPr>
            <w:tcW w:w="709" w:type="dxa"/>
            <w:tcBorders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solid" w:color="C0C0C0" w:fill="auto"/>
          </w:tcPr>
          <w:p w:rsidR="005568B1" w:rsidRPr="00F4577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 w:rsidRPr="00F4577D">
              <w:rPr>
                <w:rFonts w:ascii="Book Antiqua" w:hAnsi="Book Antiqua"/>
                <w:snapToGrid w:val="0"/>
                <w:color w:val="000000"/>
              </w:rPr>
              <w:t>akcií</w:t>
            </w:r>
          </w:p>
        </w:tc>
        <w:tc>
          <w:tcPr>
            <w:tcW w:w="1376" w:type="dxa"/>
            <w:tcBorders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5568B1" w:rsidRPr="00F4577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 w:rsidRPr="00F4577D">
              <w:rPr>
                <w:rFonts w:ascii="Book Antiqua" w:hAnsi="Book Antiqua"/>
                <w:snapToGrid w:val="0"/>
                <w:color w:val="000000"/>
              </w:rPr>
              <w:t>akcionárov</w:t>
            </w:r>
          </w:p>
        </w:tc>
      </w:tr>
      <w:tr w:rsidR="005568B1" w:rsidRPr="00D7176D" w:rsidTr="005568B1">
        <w:trPr>
          <w:trHeight w:val="235"/>
        </w:trPr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</w:rPr>
            </w:pPr>
            <w:r w:rsidRPr="00D7176D">
              <w:rPr>
                <w:rFonts w:ascii="Book Antiqua" w:hAnsi="Book Antiqua"/>
                <w:snapToGrid w:val="0"/>
              </w:rPr>
              <w:t>181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 w:rsidRPr="00D7176D">
              <w:rPr>
                <w:rFonts w:ascii="Book Antiqua" w:hAnsi="Book Antiqua"/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26</w:t>
            </w:r>
          </w:p>
        </w:tc>
        <w:tc>
          <w:tcPr>
            <w:tcW w:w="127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14</w:t>
            </w: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2</w:t>
            </w:r>
          </w:p>
        </w:tc>
        <w:tc>
          <w:tcPr>
            <w:tcW w:w="70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5</w:t>
            </w:r>
          </w:p>
        </w:tc>
        <w:tc>
          <w:tcPr>
            <w:tcW w:w="1376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2</w:t>
            </w:r>
          </w:p>
        </w:tc>
      </w:tr>
      <w:tr w:rsidR="000A6975" w:rsidRPr="00D7176D" w:rsidTr="005568B1">
        <w:trPr>
          <w:trHeight w:val="221"/>
        </w:trPr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0A6975" w:rsidRPr="00D7176D" w:rsidRDefault="000A6975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</w:rPr>
            </w:pPr>
            <w:r>
              <w:rPr>
                <w:rFonts w:ascii="Book Antiqua" w:hAnsi="Book Antiqua"/>
                <w:snapToGrid w:val="0"/>
              </w:rPr>
              <w:t>96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6975" w:rsidRPr="00D7176D" w:rsidRDefault="000A6975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0A6975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25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6975" w:rsidRDefault="000A6975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0A6975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13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6975" w:rsidRDefault="000A6975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solid" w:color="C0C0C0" w:fill="auto"/>
          </w:tcPr>
          <w:p w:rsidR="000A6975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4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A6975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3</w:t>
            </w:r>
          </w:p>
        </w:tc>
      </w:tr>
      <w:tr w:rsidR="005568B1" w:rsidRPr="00D7176D" w:rsidTr="005568B1">
        <w:trPr>
          <w:trHeight w:val="221"/>
        </w:trPr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0A6975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</w:rPr>
            </w:pPr>
            <w:r>
              <w:rPr>
                <w:rFonts w:ascii="Book Antiqua" w:hAnsi="Book Antiqua"/>
                <w:snapToGrid w:val="0"/>
              </w:rPr>
              <w:t>45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0A6975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23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10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solid" w:color="C0C0C0" w:fill="auto"/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3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4</w:t>
            </w:r>
          </w:p>
        </w:tc>
      </w:tr>
      <w:tr w:rsidR="005568B1" w:rsidRPr="00D7176D" w:rsidTr="005568B1">
        <w:trPr>
          <w:trHeight w:val="221"/>
        </w:trPr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0A6975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35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 w:rsidRPr="00D7176D">
              <w:rPr>
                <w:rFonts w:ascii="Book Antiqua" w:hAnsi="Book Antiqua"/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22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C0C0C0" w:fill="auto"/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2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11</w:t>
            </w:r>
          </w:p>
        </w:tc>
      </w:tr>
      <w:tr w:rsidR="005568B1" w:rsidRPr="00D7176D" w:rsidTr="000A6975">
        <w:trPr>
          <w:trHeight w:val="235"/>
        </w:trPr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0A6975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31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568B1" w:rsidRPr="00D7176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 w:rsidRPr="00D7176D">
              <w:rPr>
                <w:rFonts w:ascii="Book Antiqua" w:hAnsi="Book Antiqua"/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20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5568B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 w:rsidRPr="00D7176D">
              <w:rPr>
                <w:rFonts w:ascii="Book Antiqua" w:hAnsi="Book Antiqua"/>
                <w:snapToGrid w:val="0"/>
                <w:color w:val="000000"/>
              </w:rPr>
              <w:t>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1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568B1" w:rsidRPr="00D7176D" w:rsidRDefault="00E316A1" w:rsidP="006C72AC">
            <w:pPr>
              <w:spacing w:line="276" w:lineRule="auto"/>
              <w:jc w:val="center"/>
              <w:rPr>
                <w:rFonts w:ascii="Book Antiqua" w:hAnsi="Book Antiqua"/>
                <w:snapToGrid w:val="0"/>
                <w:color w:val="000000"/>
              </w:rPr>
            </w:pPr>
            <w:r>
              <w:rPr>
                <w:rFonts w:ascii="Book Antiqua" w:hAnsi="Book Antiqua"/>
                <w:snapToGrid w:val="0"/>
                <w:color w:val="000000"/>
              </w:rPr>
              <w:t>32</w:t>
            </w:r>
          </w:p>
        </w:tc>
      </w:tr>
    </w:tbl>
    <w:p w:rsidR="005568B1" w:rsidRDefault="006C72AC" w:rsidP="006C72AC">
      <w:pPr>
        <w:pStyle w:val="nadpisybytterm"/>
        <w:spacing w:line="276" w:lineRule="auto"/>
      </w:pPr>
      <w:r>
        <w:lastRenderedPageBreak/>
        <w:t>P</w:t>
      </w:r>
      <w:r w:rsidR="005568B1">
        <w:t>REDMET ČINNOSTI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 xml:space="preserve">Hlavným predmetom činnosti spoločnosti BYTTERM, a.s. je </w:t>
      </w:r>
      <w:r w:rsidR="00901386" w:rsidRPr="00901386">
        <w:rPr>
          <w:rFonts w:ascii="Arial" w:hAnsi="Arial" w:cs="Arial"/>
          <w:b/>
          <w:sz w:val="24"/>
          <w:szCs w:val="24"/>
        </w:rPr>
        <w:t>nákup,</w:t>
      </w:r>
      <w:r w:rsidR="00901386">
        <w:rPr>
          <w:rFonts w:ascii="Arial" w:hAnsi="Arial" w:cs="Arial"/>
          <w:sz w:val="24"/>
          <w:szCs w:val="24"/>
        </w:rPr>
        <w:t xml:space="preserve"> </w:t>
      </w:r>
      <w:r w:rsidR="00901386">
        <w:rPr>
          <w:rFonts w:ascii="Arial" w:hAnsi="Arial" w:cs="Arial"/>
          <w:b/>
          <w:sz w:val="24"/>
          <w:szCs w:val="24"/>
        </w:rPr>
        <w:t>výroba, rozvod, distribúcia a predaj</w:t>
      </w:r>
      <w:r w:rsidRPr="004106CF">
        <w:rPr>
          <w:rFonts w:ascii="Arial" w:hAnsi="Arial" w:cs="Arial"/>
          <w:b/>
          <w:sz w:val="24"/>
          <w:szCs w:val="24"/>
        </w:rPr>
        <w:t xml:space="preserve"> tepla a teplej úžitkovej</w:t>
      </w:r>
      <w:r w:rsidRPr="002D13A0">
        <w:rPr>
          <w:rFonts w:ascii="Arial" w:hAnsi="Arial" w:cs="Arial"/>
          <w:sz w:val="24"/>
          <w:szCs w:val="24"/>
        </w:rPr>
        <w:t xml:space="preserve"> </w:t>
      </w:r>
      <w:r w:rsidRPr="004106CF">
        <w:rPr>
          <w:rFonts w:ascii="Arial" w:hAnsi="Arial" w:cs="Arial"/>
          <w:b/>
          <w:sz w:val="24"/>
          <w:szCs w:val="24"/>
        </w:rPr>
        <w:t>vody</w:t>
      </w:r>
      <w:r w:rsidRPr="002D13A0">
        <w:rPr>
          <w:rFonts w:ascii="Arial" w:hAnsi="Arial" w:cs="Arial"/>
          <w:sz w:val="24"/>
          <w:szCs w:val="24"/>
        </w:rPr>
        <w:t xml:space="preserve"> pre občanov a organizácie mesta Žilina a </w:t>
      </w:r>
      <w:r w:rsidRPr="004106CF">
        <w:rPr>
          <w:rFonts w:ascii="Arial" w:hAnsi="Arial" w:cs="Arial"/>
          <w:b/>
          <w:sz w:val="24"/>
          <w:szCs w:val="24"/>
        </w:rPr>
        <w:t>výkon správy a údržby bytového a nebytového fondu</w:t>
      </w:r>
      <w:r w:rsidRPr="002D13A0">
        <w:rPr>
          <w:rFonts w:ascii="Arial" w:hAnsi="Arial" w:cs="Arial"/>
          <w:sz w:val="24"/>
          <w:szCs w:val="24"/>
        </w:rPr>
        <w:t xml:space="preserve"> v Žiline a okolí.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Okrem toho spoločnosť podniká aj v nasledujúcich činnostiach: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oprava a údržba meracej a regulačnej techniky,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maloobchod a veľkoobchod mimo koncesovaných živností,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výroba a predaj elektriny z kogeneračného zdroja,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montáž, rekonštrukcia, oprava a údržba, odborné prehliadky a odborné skúšky plynových zariadení,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zámočníctvo,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klampiarstvo, pokrývačstvo,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vodoinštalatérstvo,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kúrenárske práce,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výkon činnosti stavebného dozoru – pozemné stavby,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sprostredkovateľská činnosť v rozsahu voľných činností,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opravy, odborné prehliadky a odborné skúšky elektrických zariadení,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montáž, rekonštrukcie, údržba elektrických zariadení,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opravy, odborné prehliadky a odborné skúšky zdvíhacích zariadení,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montáž, rekonštrukcie, údržba zdvíhacích zariadení,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izolatérstvo,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prenájom hnuteľných vecí,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montáž, rekonštrukcia a údržba vyhradených technických zariadení – tlakových,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opravy, odborné prehliadky a odborné skúšky vyhradených tlakových zariadení v rozsahu Ab1, b2, e, Ba, b1, b2, e1, f1, f2, f3,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opravy a montáž určených meradiel,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murárstvo,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výkon činnosti stavbyvedúceho,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podnikanie v oblasti nakladania s nebezpečným odpadom,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uskutočňovanie stavieb a ich zmien,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informatívne testovanie, meranie, analýzy, kontroly,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dokončovacie stavebné práce pri realizácii exteriérov a interiérov,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prenájom nehnuteľností spojený s poskytovaním iných než základných služieb spojených s prenájmom,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prevádzkovanie čistiarne  a práčovne,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podnikanie v oblasti nakladania s iným ako nebezpečným odpadom,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montáž pomerových rozdeľovačov nákladov vykurovania,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hubenie škodlivých živočíchov, mikroorganizmov a potláčanie ďalších škodlivých činiteľov,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reklamné a marketingové služby,</w:t>
      </w:r>
    </w:p>
    <w:p w:rsidR="004106CF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oprava a kontrola požiarnych hydrantov</w:t>
      </w:r>
      <w:r w:rsidR="004106CF">
        <w:rPr>
          <w:rFonts w:ascii="Arial" w:hAnsi="Arial" w:cs="Arial"/>
          <w:sz w:val="24"/>
          <w:szCs w:val="24"/>
        </w:rPr>
        <w:t>,</w:t>
      </w:r>
    </w:p>
    <w:p w:rsidR="005568B1" w:rsidRDefault="004106CF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odstraňovanie azbestu alebo materiálov obsahujúcich azbest zo stavieb pri búracích prácach, údržbárskych prácach, opravách a iných činnostiach</w:t>
      </w:r>
      <w:r w:rsidR="005568B1" w:rsidRPr="002D13A0">
        <w:rPr>
          <w:rFonts w:ascii="Arial" w:hAnsi="Arial" w:cs="Arial"/>
          <w:sz w:val="24"/>
          <w:szCs w:val="24"/>
        </w:rPr>
        <w:t>.</w:t>
      </w:r>
    </w:p>
    <w:p w:rsidR="005568B1" w:rsidRPr="002D13A0" w:rsidRDefault="005568B1" w:rsidP="006C72AC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6C72AC" w:rsidRDefault="006C72AC" w:rsidP="006C72AC">
      <w:pPr>
        <w:pStyle w:val="nadpisybytterm"/>
        <w:spacing w:line="276" w:lineRule="auto"/>
      </w:pPr>
    </w:p>
    <w:p w:rsidR="005568B1" w:rsidRDefault="005568B1" w:rsidP="006C72AC">
      <w:pPr>
        <w:pStyle w:val="nadpisybytterm"/>
        <w:spacing w:line="276" w:lineRule="auto"/>
        <w:rPr>
          <w:rFonts w:ascii="Arial" w:hAnsi="Arial"/>
          <w:smallCaps/>
          <w:color w:val="538135" w:themeColor="accent6" w:themeShade="BF"/>
        </w:rPr>
      </w:pPr>
      <w:r>
        <w:lastRenderedPageBreak/>
        <w:t xml:space="preserve">ŠTATUTÁRNE ORGÁNY A MANAŽMENT 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b/>
          <w:smallCaps/>
          <w:color w:val="538135" w:themeColor="accent6" w:themeShade="BF"/>
          <w:sz w:val="32"/>
          <w:szCs w:val="32"/>
        </w:rPr>
      </w:pPr>
    </w:p>
    <w:p w:rsidR="005568B1" w:rsidRDefault="005568B1" w:rsidP="006C72AC">
      <w:pPr>
        <w:spacing w:line="276" w:lineRule="auto"/>
        <w:jc w:val="both"/>
        <w:rPr>
          <w:rFonts w:ascii="Arial" w:hAnsi="Arial" w:cs="Arial"/>
          <w:b/>
          <w:smallCaps/>
          <w:color w:val="538135" w:themeColor="accent6" w:themeShade="BF"/>
          <w:sz w:val="32"/>
          <w:szCs w:val="32"/>
        </w:rPr>
      </w:pPr>
      <w:r w:rsidRPr="00535599">
        <w:rPr>
          <w:rFonts w:ascii="Arial" w:hAnsi="Arial" w:cs="Arial"/>
          <w:b/>
          <w:smallCaps/>
          <w:color w:val="538135" w:themeColor="accent6" w:themeShade="BF"/>
          <w:sz w:val="32"/>
          <w:szCs w:val="32"/>
        </w:rPr>
        <w:t>členovia predstavenstva</w:t>
      </w:r>
    </w:p>
    <w:p w:rsidR="005568B1" w:rsidRPr="0052549A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</w:pPr>
      <w:r>
        <w:rPr>
          <w:rFonts w:ascii="Times New Roman" w:hAnsi="Times New Roman" w:cs="Times New Roman"/>
          <w:b/>
          <w:color w:val="538135" w:themeColor="accent6" w:themeShade="BF"/>
        </w:rPr>
        <w:t>predseda</w:t>
      </w:r>
      <w:r w:rsidRPr="00D327D4">
        <w:rPr>
          <w:rFonts w:ascii="Times New Roman" w:hAnsi="Times New Roman" w:cs="Times New Roman"/>
          <w:b/>
          <w:color w:val="538135" w:themeColor="accent6" w:themeShade="BF"/>
        </w:rPr>
        <w:t>:</w:t>
      </w:r>
      <w:r w:rsidRPr="00D327D4">
        <w:rPr>
          <w:color w:val="538135" w:themeColor="accent6" w:themeShade="BF"/>
        </w:rPr>
        <w:t xml:space="preserve"> </w:t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>
        <w:rPr>
          <w:rFonts w:ascii="Times New Roman" w:hAnsi="Times New Roman" w:cs="Times New Roman"/>
        </w:rPr>
        <w:t>Ing. Milan Kováč</w:t>
      </w:r>
      <w:r w:rsidRPr="0052549A">
        <w:t xml:space="preserve"> </w:t>
      </w:r>
    </w:p>
    <w:p w:rsidR="005568B1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</w:pPr>
      <w:r>
        <w:rPr>
          <w:rFonts w:ascii="Times New Roman" w:hAnsi="Times New Roman" w:cs="Times New Roman"/>
          <w:b/>
          <w:color w:val="538135" w:themeColor="accent6" w:themeShade="BF"/>
        </w:rPr>
        <w:t>podpredseda</w:t>
      </w:r>
      <w:r w:rsidRPr="002E767E">
        <w:rPr>
          <w:rFonts w:ascii="Times New Roman" w:hAnsi="Times New Roman" w:cs="Times New Roman"/>
          <w:b/>
          <w:color w:val="538135" w:themeColor="accent6" w:themeShade="BF"/>
        </w:rPr>
        <w:t>: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Times New Roman" w:hAnsi="Times New Roman" w:cs="Times New Roman"/>
        </w:rPr>
        <w:t>Bc. Zuzana Klottonová</w:t>
      </w:r>
      <w:r>
        <w:t xml:space="preserve"> </w:t>
      </w:r>
    </w:p>
    <w:p w:rsidR="005568B1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</w:pPr>
      <w:r>
        <w:rPr>
          <w:rFonts w:ascii="Times New Roman" w:hAnsi="Times New Roman" w:cs="Times New Roman"/>
          <w:b/>
          <w:color w:val="538135" w:themeColor="accent6" w:themeShade="BF"/>
        </w:rPr>
        <w:t>člen</w:t>
      </w:r>
      <w:r w:rsidRPr="002E767E">
        <w:rPr>
          <w:rFonts w:ascii="Times New Roman" w:hAnsi="Times New Roman" w:cs="Times New Roman"/>
          <w:b/>
          <w:color w:val="538135" w:themeColor="accent6" w:themeShade="BF"/>
        </w:rPr>
        <w:t>: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Times New Roman" w:hAnsi="Times New Roman" w:cs="Times New Roman"/>
        </w:rPr>
        <w:t>Ing. Miroslav Adámek</w:t>
      </w:r>
      <w:r>
        <w:t xml:space="preserve"> </w:t>
      </w:r>
    </w:p>
    <w:p w:rsidR="005568B1" w:rsidRPr="002E767E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color w:val="538135" w:themeColor="accent6" w:themeShade="BF"/>
        </w:rPr>
        <w:t>člen</w:t>
      </w:r>
      <w:r w:rsidRPr="002E767E">
        <w:rPr>
          <w:rFonts w:ascii="Times New Roman" w:hAnsi="Times New Roman" w:cs="Times New Roman"/>
          <w:b/>
          <w:color w:val="538135" w:themeColor="accent6" w:themeShade="BF"/>
        </w:rPr>
        <w:t>:</w:t>
      </w:r>
      <w:r w:rsidRPr="002E767E">
        <w:rPr>
          <w:color w:val="538135" w:themeColor="accent6" w:themeShade="BF"/>
        </w:rPr>
        <w:t xml:space="preserve"> </w:t>
      </w:r>
      <w:r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>
        <w:rPr>
          <w:rFonts w:ascii="Times New Roman" w:hAnsi="Times New Roman" w:cs="Times New Roman"/>
        </w:rPr>
        <w:t>Ing. František Zelina</w:t>
      </w:r>
      <w:r w:rsidRPr="002E767E">
        <w:rPr>
          <w:rFonts w:ascii="Times New Roman" w:hAnsi="Times New Roman" w:cs="Times New Roman"/>
        </w:rPr>
        <w:t xml:space="preserve"> </w:t>
      </w:r>
    </w:p>
    <w:p w:rsidR="005568B1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</w:pPr>
      <w:r>
        <w:rPr>
          <w:rFonts w:ascii="Times New Roman" w:hAnsi="Times New Roman" w:cs="Times New Roman"/>
          <w:b/>
          <w:color w:val="538135" w:themeColor="accent6" w:themeShade="BF"/>
        </w:rPr>
        <w:t>člen</w:t>
      </w:r>
      <w:r w:rsidRPr="002E767E">
        <w:rPr>
          <w:rFonts w:ascii="Times New Roman" w:hAnsi="Times New Roman" w:cs="Times New Roman"/>
          <w:b/>
          <w:color w:val="538135" w:themeColor="accent6" w:themeShade="BF"/>
        </w:rPr>
        <w:t>: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Times New Roman" w:hAnsi="Times New Roman" w:cs="Times New Roman"/>
        </w:rPr>
        <w:t>Ing. Anton Slanička</w:t>
      </w:r>
      <w:r>
        <w:t xml:space="preserve"> </w:t>
      </w:r>
    </w:p>
    <w:p w:rsidR="005568B1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</w:pPr>
      <w:r>
        <w:rPr>
          <w:rFonts w:ascii="Times New Roman" w:hAnsi="Times New Roman" w:cs="Times New Roman"/>
          <w:b/>
          <w:color w:val="538135" w:themeColor="accent6" w:themeShade="BF"/>
        </w:rPr>
        <w:t>člen</w:t>
      </w:r>
      <w:r w:rsidRPr="002E767E">
        <w:rPr>
          <w:rFonts w:ascii="Times New Roman" w:hAnsi="Times New Roman" w:cs="Times New Roman"/>
          <w:b/>
          <w:color w:val="538135" w:themeColor="accent6" w:themeShade="BF"/>
        </w:rPr>
        <w:t>: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Times New Roman" w:hAnsi="Times New Roman" w:cs="Times New Roman"/>
        </w:rPr>
        <w:t>Ing. Richard Zelina</w:t>
      </w:r>
      <w:r>
        <w:t xml:space="preserve"> </w:t>
      </w:r>
    </w:p>
    <w:p w:rsidR="005568B1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color w:val="538135" w:themeColor="accent6" w:themeShade="BF"/>
        </w:rPr>
        <w:t>člen</w:t>
      </w:r>
      <w:r w:rsidRPr="002E767E">
        <w:rPr>
          <w:rFonts w:ascii="Times New Roman" w:hAnsi="Times New Roman" w:cs="Times New Roman"/>
          <w:b/>
          <w:color w:val="538135" w:themeColor="accent6" w:themeShade="BF"/>
        </w:rPr>
        <w:t>: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Times New Roman" w:hAnsi="Times New Roman" w:cs="Times New Roman"/>
        </w:rPr>
        <w:t>JUDr. Martin Šustek</w:t>
      </w:r>
    </w:p>
    <w:p w:rsidR="005568B1" w:rsidRPr="00535599" w:rsidRDefault="005568B1" w:rsidP="006C72AC">
      <w:pPr>
        <w:spacing w:line="276" w:lineRule="auto"/>
        <w:jc w:val="both"/>
        <w:rPr>
          <w:rFonts w:ascii="Arial" w:hAnsi="Arial" w:cs="Arial"/>
          <w:b/>
          <w:smallCaps/>
          <w:color w:val="538135" w:themeColor="accent6" w:themeShade="BF"/>
          <w:sz w:val="32"/>
          <w:szCs w:val="32"/>
        </w:rPr>
      </w:pP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 w:rsidRPr="00535599">
        <w:rPr>
          <w:rFonts w:ascii="Arial" w:hAnsi="Arial" w:cs="Arial"/>
          <w:b/>
          <w:smallCaps/>
          <w:color w:val="538135" w:themeColor="accent6" w:themeShade="BF"/>
          <w:sz w:val="32"/>
          <w:szCs w:val="32"/>
        </w:rPr>
        <w:t xml:space="preserve">členovia </w:t>
      </w:r>
      <w:r>
        <w:rPr>
          <w:rFonts w:ascii="Arial" w:hAnsi="Arial" w:cs="Arial"/>
          <w:b/>
          <w:smallCaps/>
          <w:color w:val="538135" w:themeColor="accent6" w:themeShade="BF"/>
          <w:sz w:val="32"/>
          <w:szCs w:val="32"/>
        </w:rPr>
        <w:t>dozornej rady</w:t>
      </w:r>
    </w:p>
    <w:p w:rsidR="005568B1" w:rsidRPr="0052549A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</w:pPr>
      <w:r>
        <w:rPr>
          <w:rFonts w:ascii="Times New Roman" w:hAnsi="Times New Roman" w:cs="Times New Roman"/>
          <w:b/>
          <w:color w:val="538135" w:themeColor="accent6" w:themeShade="BF"/>
        </w:rPr>
        <w:t>predseda</w:t>
      </w:r>
      <w:r w:rsidRPr="00D327D4">
        <w:rPr>
          <w:rFonts w:ascii="Times New Roman" w:hAnsi="Times New Roman" w:cs="Times New Roman"/>
          <w:b/>
          <w:color w:val="538135" w:themeColor="accent6" w:themeShade="BF"/>
        </w:rPr>
        <w:t>:</w:t>
      </w:r>
      <w:r w:rsidRPr="00D327D4">
        <w:rPr>
          <w:color w:val="538135" w:themeColor="accent6" w:themeShade="BF"/>
        </w:rPr>
        <w:t xml:space="preserve"> </w:t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>
        <w:rPr>
          <w:rFonts w:ascii="Times New Roman" w:hAnsi="Times New Roman" w:cs="Times New Roman"/>
        </w:rPr>
        <w:t>Ing. Jozef Seifert</w:t>
      </w:r>
      <w:r w:rsidRPr="0052549A">
        <w:t xml:space="preserve"> </w:t>
      </w:r>
    </w:p>
    <w:p w:rsidR="005568B1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</w:pPr>
      <w:r>
        <w:rPr>
          <w:rFonts w:ascii="Times New Roman" w:hAnsi="Times New Roman" w:cs="Times New Roman"/>
          <w:b/>
          <w:color w:val="538135" w:themeColor="accent6" w:themeShade="BF"/>
        </w:rPr>
        <w:t>člen</w:t>
      </w:r>
      <w:r w:rsidRPr="002E767E">
        <w:rPr>
          <w:rFonts w:ascii="Times New Roman" w:hAnsi="Times New Roman" w:cs="Times New Roman"/>
          <w:b/>
          <w:color w:val="538135" w:themeColor="accent6" w:themeShade="BF"/>
        </w:rPr>
        <w:t>: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Times New Roman" w:hAnsi="Times New Roman" w:cs="Times New Roman"/>
        </w:rPr>
        <w:t>Pavol Kavecký</w:t>
      </w:r>
      <w:r w:rsidR="00C04A43">
        <w:rPr>
          <w:rFonts w:ascii="Times New Roman" w:hAnsi="Times New Roman" w:cs="Times New Roman"/>
        </w:rPr>
        <w:t xml:space="preserve"> (do 27.4.2017)</w:t>
      </w:r>
      <w:r>
        <w:t xml:space="preserve"> </w:t>
      </w:r>
    </w:p>
    <w:p w:rsidR="005568B1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</w:pPr>
      <w:r>
        <w:rPr>
          <w:rFonts w:ascii="Times New Roman" w:hAnsi="Times New Roman" w:cs="Times New Roman"/>
          <w:b/>
          <w:color w:val="538135" w:themeColor="accent6" w:themeShade="BF"/>
        </w:rPr>
        <w:t>člen</w:t>
      </w:r>
      <w:r w:rsidRPr="002E767E">
        <w:rPr>
          <w:rFonts w:ascii="Times New Roman" w:hAnsi="Times New Roman" w:cs="Times New Roman"/>
          <w:b/>
          <w:color w:val="538135" w:themeColor="accent6" w:themeShade="BF"/>
        </w:rPr>
        <w:t>: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Times New Roman" w:hAnsi="Times New Roman" w:cs="Times New Roman"/>
        </w:rPr>
        <w:t>Ing. František Holeša</w:t>
      </w:r>
      <w:r>
        <w:t xml:space="preserve"> </w:t>
      </w:r>
    </w:p>
    <w:p w:rsidR="005568B1" w:rsidRPr="002E767E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color w:val="538135" w:themeColor="accent6" w:themeShade="BF"/>
        </w:rPr>
        <w:t>člen</w:t>
      </w:r>
      <w:r w:rsidRPr="002E767E">
        <w:rPr>
          <w:rFonts w:ascii="Times New Roman" w:hAnsi="Times New Roman" w:cs="Times New Roman"/>
          <w:b/>
          <w:color w:val="538135" w:themeColor="accent6" w:themeShade="BF"/>
        </w:rPr>
        <w:t>:</w:t>
      </w:r>
      <w:r w:rsidRPr="002E767E">
        <w:rPr>
          <w:color w:val="538135" w:themeColor="accent6" w:themeShade="BF"/>
        </w:rPr>
        <w:t xml:space="preserve"> </w:t>
      </w:r>
      <w:r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>
        <w:rPr>
          <w:rFonts w:ascii="Times New Roman" w:hAnsi="Times New Roman" w:cs="Times New Roman"/>
        </w:rPr>
        <w:t>Ing. Karol Kucka</w:t>
      </w:r>
      <w:r w:rsidRPr="002E767E">
        <w:rPr>
          <w:rFonts w:ascii="Times New Roman" w:hAnsi="Times New Roman" w:cs="Times New Roman"/>
        </w:rPr>
        <w:t xml:space="preserve"> </w:t>
      </w:r>
    </w:p>
    <w:p w:rsidR="005568B1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</w:pPr>
      <w:r>
        <w:rPr>
          <w:rFonts w:ascii="Times New Roman" w:hAnsi="Times New Roman" w:cs="Times New Roman"/>
          <w:b/>
          <w:color w:val="538135" w:themeColor="accent6" w:themeShade="BF"/>
        </w:rPr>
        <w:t>člen</w:t>
      </w:r>
      <w:r w:rsidRPr="002E767E">
        <w:rPr>
          <w:rFonts w:ascii="Times New Roman" w:hAnsi="Times New Roman" w:cs="Times New Roman"/>
          <w:b/>
          <w:color w:val="538135" w:themeColor="accent6" w:themeShade="BF"/>
        </w:rPr>
        <w:t>: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Times New Roman" w:hAnsi="Times New Roman" w:cs="Times New Roman"/>
        </w:rPr>
        <w:t>Dana Pudíková</w:t>
      </w:r>
      <w:r>
        <w:t xml:space="preserve"> </w:t>
      </w:r>
    </w:p>
    <w:p w:rsidR="00C04A43" w:rsidRDefault="00C04A43" w:rsidP="006C72AC">
      <w:pPr>
        <w:pBdr>
          <w:bottom w:val="single" w:sz="4" w:space="1" w:color="auto"/>
          <w:between w:val="single" w:sz="4" w:space="1" w:color="auto"/>
        </w:pBd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color w:val="538135" w:themeColor="accent6" w:themeShade="BF"/>
        </w:rPr>
        <w:t>člen</w:t>
      </w:r>
      <w:r w:rsidRPr="002E767E">
        <w:rPr>
          <w:rFonts w:ascii="Times New Roman" w:hAnsi="Times New Roman" w:cs="Times New Roman"/>
          <w:b/>
          <w:color w:val="538135" w:themeColor="accent6" w:themeShade="BF"/>
        </w:rPr>
        <w:t>: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Times New Roman" w:hAnsi="Times New Roman" w:cs="Times New Roman"/>
        </w:rPr>
        <w:t>Ing. Martina Michnáčová (od 27.4.2017)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b/>
          <w:smallCaps/>
          <w:color w:val="2F5496" w:themeColor="accent5" w:themeShade="BF"/>
          <w:sz w:val="32"/>
          <w:szCs w:val="32"/>
        </w:rPr>
      </w:pPr>
      <w:r w:rsidRPr="002D13A0">
        <w:rPr>
          <w:rFonts w:ascii="Arial" w:hAnsi="Arial" w:cs="Arial"/>
          <w:b/>
          <w:smallCaps/>
          <w:color w:val="2F5496" w:themeColor="accent5" w:themeShade="BF"/>
          <w:sz w:val="32"/>
          <w:szCs w:val="32"/>
        </w:rPr>
        <w:t>výkonný manažment</w:t>
      </w:r>
    </w:p>
    <w:p w:rsidR="005568B1" w:rsidRPr="0052549A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</w:pPr>
      <w:r w:rsidRPr="00E636A2">
        <w:rPr>
          <w:rFonts w:ascii="Times New Roman" w:hAnsi="Times New Roman" w:cs="Times New Roman"/>
          <w:b/>
          <w:color w:val="767171" w:themeColor="background2" w:themeShade="80"/>
        </w:rPr>
        <w:t>generálny riaditeľ:</w:t>
      </w:r>
      <w:r w:rsidRPr="00E636A2">
        <w:rPr>
          <w:color w:val="767171" w:themeColor="background2" w:themeShade="80"/>
        </w:rPr>
        <w:t xml:space="preserve"> </w:t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>
        <w:rPr>
          <w:rFonts w:ascii="Times New Roman" w:hAnsi="Times New Roman" w:cs="Times New Roman"/>
        </w:rPr>
        <w:t>Ing. Richard Zelina</w:t>
      </w:r>
      <w:r w:rsidRPr="0052549A">
        <w:t xml:space="preserve"> </w:t>
      </w:r>
    </w:p>
    <w:p w:rsidR="005568B1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</w:pPr>
      <w:r w:rsidRPr="00E636A2">
        <w:rPr>
          <w:rFonts w:ascii="Times New Roman" w:hAnsi="Times New Roman" w:cs="Times New Roman"/>
          <w:b/>
          <w:color w:val="767171" w:themeColor="background2" w:themeShade="80"/>
        </w:rPr>
        <w:t>riaditeľka ekonomickej divízie:</w:t>
      </w:r>
      <w:r>
        <w:tab/>
      </w:r>
      <w:r>
        <w:tab/>
      </w:r>
      <w:r>
        <w:rPr>
          <w:rFonts w:ascii="Times New Roman" w:hAnsi="Times New Roman" w:cs="Times New Roman"/>
        </w:rPr>
        <w:t>Ing. Alena Sartorisová</w:t>
      </w:r>
      <w:r>
        <w:t xml:space="preserve"> </w:t>
      </w:r>
    </w:p>
    <w:p w:rsidR="005568B1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</w:pPr>
      <w:r w:rsidRPr="00E636A2">
        <w:rPr>
          <w:rFonts w:ascii="Times New Roman" w:hAnsi="Times New Roman" w:cs="Times New Roman"/>
          <w:b/>
          <w:color w:val="767171" w:themeColor="background2" w:themeShade="80"/>
        </w:rPr>
        <w:t>riaditeľ divízie správy majetku:</w:t>
      </w:r>
      <w:r w:rsidRPr="00E636A2">
        <w:rPr>
          <w:color w:val="767171" w:themeColor="background2" w:themeShade="80"/>
        </w:rPr>
        <w:t xml:space="preserve"> </w:t>
      </w:r>
      <w:r>
        <w:tab/>
      </w:r>
      <w:r>
        <w:tab/>
      </w:r>
      <w:r>
        <w:rPr>
          <w:rFonts w:ascii="Times New Roman" w:hAnsi="Times New Roman" w:cs="Times New Roman"/>
        </w:rPr>
        <w:t>Ing. Karol Kucka</w:t>
      </w:r>
      <w:r>
        <w:t xml:space="preserve"> </w:t>
      </w:r>
    </w:p>
    <w:p w:rsidR="005568B1" w:rsidRPr="002E767E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  <w:rPr>
          <w:rFonts w:ascii="Times New Roman" w:hAnsi="Times New Roman" w:cs="Times New Roman"/>
        </w:rPr>
      </w:pPr>
      <w:r w:rsidRPr="00E636A2">
        <w:rPr>
          <w:rFonts w:ascii="Times New Roman" w:hAnsi="Times New Roman" w:cs="Times New Roman"/>
          <w:b/>
          <w:color w:val="767171" w:themeColor="background2" w:themeShade="80"/>
        </w:rPr>
        <w:t>riaditeľ divízie výroby a služieb:</w:t>
      </w:r>
      <w:r w:rsidRPr="00E636A2">
        <w:rPr>
          <w:color w:val="767171" w:themeColor="background2" w:themeShade="80"/>
        </w:rPr>
        <w:t xml:space="preserve"> </w:t>
      </w:r>
      <w:r w:rsidRPr="00E636A2">
        <w:rPr>
          <w:color w:val="767171" w:themeColor="background2" w:themeShade="80"/>
        </w:rPr>
        <w:tab/>
      </w:r>
      <w:r>
        <w:rPr>
          <w:color w:val="538135" w:themeColor="accent6" w:themeShade="BF"/>
        </w:rPr>
        <w:tab/>
      </w:r>
      <w:r>
        <w:rPr>
          <w:rFonts w:ascii="Times New Roman" w:hAnsi="Times New Roman" w:cs="Times New Roman"/>
        </w:rPr>
        <w:t>Ing. Milan Kováč</w:t>
      </w:r>
      <w:r w:rsidRPr="002E767E">
        <w:rPr>
          <w:rFonts w:ascii="Times New Roman" w:hAnsi="Times New Roman" w:cs="Times New Roman"/>
        </w:rPr>
        <w:t xml:space="preserve"> </w:t>
      </w:r>
    </w:p>
    <w:p w:rsidR="005568B1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</w:pPr>
      <w:r w:rsidRPr="00E636A2">
        <w:rPr>
          <w:rFonts w:ascii="Times New Roman" w:hAnsi="Times New Roman" w:cs="Times New Roman"/>
          <w:b/>
          <w:color w:val="767171" w:themeColor="background2" w:themeShade="80"/>
        </w:rPr>
        <w:t xml:space="preserve">riaditeľ </w:t>
      </w:r>
      <w:r w:rsidR="00C04A43">
        <w:rPr>
          <w:rFonts w:ascii="Times New Roman" w:hAnsi="Times New Roman" w:cs="Times New Roman"/>
          <w:b/>
          <w:color w:val="767171" w:themeColor="background2" w:themeShade="80"/>
        </w:rPr>
        <w:t>technickej divízie</w:t>
      </w:r>
      <w:r w:rsidRPr="00E636A2">
        <w:rPr>
          <w:rFonts w:ascii="Times New Roman" w:hAnsi="Times New Roman" w:cs="Times New Roman"/>
          <w:b/>
          <w:color w:val="767171" w:themeColor="background2" w:themeShade="80"/>
        </w:rPr>
        <w:t>:</w:t>
      </w:r>
      <w:r w:rsidR="00C04A43">
        <w:rPr>
          <w:rFonts w:ascii="Times New Roman" w:hAnsi="Times New Roman" w:cs="Times New Roman"/>
          <w:b/>
          <w:color w:val="767171" w:themeColor="background2" w:themeShade="80"/>
        </w:rPr>
        <w:tab/>
      </w:r>
      <w:r>
        <w:tab/>
      </w:r>
      <w:r>
        <w:tab/>
      </w:r>
      <w:r>
        <w:rPr>
          <w:rFonts w:ascii="Times New Roman" w:hAnsi="Times New Roman" w:cs="Times New Roman"/>
        </w:rPr>
        <w:t>Ing. Jozef Seifert</w:t>
      </w:r>
      <w:r>
        <w:t xml:space="preserve"> </w:t>
      </w:r>
    </w:p>
    <w:p w:rsidR="005568B1" w:rsidRDefault="005568B1" w:rsidP="006C72AC">
      <w:pPr>
        <w:pBdr>
          <w:bottom w:val="single" w:sz="4" w:space="1" w:color="auto"/>
          <w:between w:val="single" w:sz="4" w:space="1" w:color="auto"/>
        </w:pBdr>
        <w:spacing w:line="276" w:lineRule="auto"/>
      </w:pPr>
      <w:r w:rsidRPr="00E636A2">
        <w:rPr>
          <w:rFonts w:ascii="Times New Roman" w:hAnsi="Times New Roman" w:cs="Times New Roman"/>
          <w:b/>
          <w:color w:val="767171" w:themeColor="background2" w:themeShade="80"/>
        </w:rPr>
        <w:t>riaditeľ divízie tepelného hospodárstva:</w:t>
      </w:r>
      <w:r w:rsidRPr="00E636A2">
        <w:rPr>
          <w:color w:val="767171" w:themeColor="background2" w:themeShade="80"/>
        </w:rPr>
        <w:t xml:space="preserve"> </w:t>
      </w:r>
      <w:r>
        <w:tab/>
      </w:r>
      <w:r>
        <w:rPr>
          <w:rFonts w:ascii="Times New Roman" w:hAnsi="Times New Roman" w:cs="Times New Roman"/>
        </w:rPr>
        <w:t>Ing. Anton Slanička</w:t>
      </w:r>
      <w:r>
        <w:t xml:space="preserve"> </w:t>
      </w:r>
    </w:p>
    <w:p w:rsidR="005568B1" w:rsidRPr="00FE449F" w:rsidRDefault="005568B1" w:rsidP="006C72AC">
      <w:pPr>
        <w:pStyle w:val="nadpisybytterm"/>
        <w:spacing w:line="276" w:lineRule="auto"/>
      </w:pPr>
      <w:r>
        <w:lastRenderedPageBreak/>
        <w:t>ORGANIZAČNÁ ŠTRUKTÚRA</w:t>
      </w:r>
    </w:p>
    <w:p w:rsidR="005568B1" w:rsidRPr="00854369" w:rsidRDefault="005568B1" w:rsidP="006C72AC">
      <w:pPr>
        <w:spacing w:line="276" w:lineRule="auto"/>
        <w:jc w:val="both"/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mallCaps/>
          <w:noProof/>
          <w:color w:val="70AD47" w:themeColor="accent6"/>
          <w:sz w:val="36"/>
          <w:szCs w:val="36"/>
          <w:lang w:eastAsia="sk-SK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-375920</wp:posOffset>
            </wp:positionH>
            <wp:positionV relativeFrom="paragraph">
              <wp:posOffset>373380</wp:posOffset>
            </wp:positionV>
            <wp:extent cx="6353810" cy="3778885"/>
            <wp:effectExtent l="0" t="0" r="0" b="12065"/>
            <wp:wrapNone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anchor>
        </w:drawing>
      </w: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6C72AC" w:rsidRDefault="006C72AC" w:rsidP="006C72AC">
      <w:pPr>
        <w:pStyle w:val="nadpisybytterm"/>
        <w:spacing w:line="276" w:lineRule="auto"/>
      </w:pPr>
    </w:p>
    <w:p w:rsidR="004F047B" w:rsidRDefault="004F047B" w:rsidP="006C72AC">
      <w:pPr>
        <w:pStyle w:val="nadpisybytterm"/>
        <w:spacing w:line="276" w:lineRule="auto"/>
      </w:pPr>
      <w:r>
        <w:t>POSTAVENIE SPOLOČNOSTI NA TRHU</w:t>
      </w:r>
    </w:p>
    <w:p w:rsidR="004F047B" w:rsidRPr="002D13A0" w:rsidRDefault="004F047B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 xml:space="preserve">Hlavnou činnosťou spoločnosti BYTTERM, a.s. je výroba, distribúcia a predaj tepla a teplej vody. Teplom a teplou vodou zásobujeme viac ako 21-tisíc bytov a takmer 200 nebytových objektov na území mesta Žilina (predškolské a školské zariadenia, obchodné a administratívne priestory). Celkový výkon tepelných zariadení predstavuje </w:t>
      </w:r>
      <w:r>
        <w:rPr>
          <w:rFonts w:ascii="Arial" w:hAnsi="Arial" w:cs="Arial"/>
          <w:sz w:val="24"/>
          <w:szCs w:val="24"/>
        </w:rPr>
        <w:t xml:space="preserve">145,5 </w:t>
      </w:r>
      <w:r w:rsidRPr="002D13A0">
        <w:rPr>
          <w:rFonts w:ascii="Arial" w:hAnsi="Arial" w:cs="Arial"/>
          <w:sz w:val="24"/>
          <w:szCs w:val="24"/>
        </w:rPr>
        <w:t>MW.</w:t>
      </w:r>
    </w:p>
    <w:p w:rsidR="00BA1F67" w:rsidRPr="004F047B" w:rsidRDefault="004F047B" w:rsidP="006C72AC">
      <w:pPr>
        <w:pStyle w:val="nadpisybytterm"/>
        <w:spacing w:line="276" w:lineRule="auto"/>
        <w:jc w:val="both"/>
        <w:rPr>
          <w:rFonts w:ascii="Arial" w:hAnsi="Arial" w:cs="Arial"/>
          <w:b w:val="0"/>
          <w:color w:val="auto"/>
          <w:sz w:val="24"/>
          <w:szCs w:val="24"/>
        </w:rPr>
      </w:pPr>
      <w:r w:rsidRPr="004F047B">
        <w:rPr>
          <w:rFonts w:ascii="Arial" w:hAnsi="Arial" w:cs="Arial"/>
          <w:b w:val="0"/>
          <w:color w:val="auto"/>
          <w:sz w:val="24"/>
          <w:szCs w:val="24"/>
        </w:rPr>
        <w:t xml:space="preserve">Druhou významnou činnosťou spoločnosti je </w:t>
      </w:r>
      <w:r w:rsidR="00C7667A">
        <w:rPr>
          <w:rFonts w:ascii="Arial" w:hAnsi="Arial" w:cs="Arial"/>
          <w:b w:val="0"/>
          <w:color w:val="auto"/>
          <w:sz w:val="24"/>
          <w:szCs w:val="24"/>
        </w:rPr>
        <w:t>zabezpečovanie</w:t>
      </w:r>
      <w:r w:rsidRPr="004F047B">
        <w:rPr>
          <w:rFonts w:ascii="Arial" w:hAnsi="Arial" w:cs="Arial"/>
          <w:b w:val="0"/>
          <w:color w:val="auto"/>
          <w:sz w:val="24"/>
          <w:szCs w:val="24"/>
        </w:rPr>
        <w:t xml:space="preserve"> správy domov v zmysle zákona č. 182/1993 Z. z. o vlastníctve bytov a nebytových priestorov v znení neskorších predpisov. Spoločnosť k</w:t>
      </w:r>
      <w:r w:rsidR="00C7667A">
        <w:rPr>
          <w:rFonts w:ascii="Arial" w:hAnsi="Arial" w:cs="Arial"/>
          <w:b w:val="0"/>
          <w:color w:val="auto"/>
          <w:sz w:val="24"/>
          <w:szCs w:val="24"/>
        </w:rPr>
        <w:t> 31.12.2017</w:t>
      </w:r>
      <w:r w:rsidRPr="004F047B">
        <w:rPr>
          <w:rFonts w:ascii="Arial" w:hAnsi="Arial" w:cs="Arial"/>
          <w:b w:val="0"/>
          <w:color w:val="auto"/>
          <w:sz w:val="24"/>
          <w:szCs w:val="24"/>
        </w:rPr>
        <w:t xml:space="preserve"> spravovala na území mesta </w:t>
      </w:r>
      <w:r w:rsidR="00C7667A">
        <w:rPr>
          <w:rFonts w:ascii="Arial" w:hAnsi="Arial" w:cs="Arial"/>
          <w:b w:val="0"/>
          <w:color w:val="auto"/>
          <w:sz w:val="24"/>
          <w:szCs w:val="24"/>
        </w:rPr>
        <w:t>Žilina a v jeho okolí</w:t>
      </w:r>
      <w:r w:rsidRPr="004F047B">
        <w:rPr>
          <w:rFonts w:ascii="Arial" w:hAnsi="Arial" w:cs="Arial"/>
          <w:b w:val="0"/>
          <w:color w:val="auto"/>
          <w:sz w:val="24"/>
          <w:szCs w:val="24"/>
        </w:rPr>
        <w:t xml:space="preserve"> </w:t>
      </w:r>
      <w:r w:rsidR="009B5319">
        <w:rPr>
          <w:rFonts w:ascii="Arial" w:hAnsi="Arial" w:cs="Arial"/>
          <w:b w:val="0"/>
          <w:color w:val="auto"/>
          <w:sz w:val="24"/>
          <w:szCs w:val="24"/>
        </w:rPr>
        <w:t>359</w:t>
      </w:r>
      <w:r w:rsidRPr="004F047B">
        <w:rPr>
          <w:rFonts w:ascii="Arial" w:hAnsi="Arial" w:cs="Arial"/>
          <w:b w:val="0"/>
          <w:color w:val="auto"/>
          <w:sz w:val="24"/>
          <w:szCs w:val="24"/>
        </w:rPr>
        <w:t xml:space="preserve"> domov s počtom </w:t>
      </w:r>
      <w:r w:rsidR="009B5319">
        <w:rPr>
          <w:rFonts w:ascii="Arial" w:hAnsi="Arial" w:cs="Arial"/>
          <w:b w:val="0"/>
          <w:color w:val="auto"/>
          <w:sz w:val="24"/>
          <w:szCs w:val="24"/>
        </w:rPr>
        <w:t>11 545</w:t>
      </w:r>
      <w:r w:rsidRPr="004F047B">
        <w:rPr>
          <w:rFonts w:ascii="Arial" w:hAnsi="Arial" w:cs="Arial"/>
          <w:b w:val="0"/>
          <w:color w:val="auto"/>
          <w:sz w:val="24"/>
          <w:szCs w:val="24"/>
        </w:rPr>
        <w:t xml:space="preserve"> bytov a nebytových priestorov. V súlade s ustanoveniami zákona č. 246/2015 Z. z. o správcoch bytových domov bolo spoločnosti dňa </w:t>
      </w:r>
      <w:r w:rsidR="00C7667A">
        <w:rPr>
          <w:rFonts w:ascii="Arial" w:hAnsi="Arial" w:cs="Arial"/>
          <w:b w:val="0"/>
          <w:color w:val="auto"/>
          <w:sz w:val="24"/>
          <w:szCs w:val="24"/>
        </w:rPr>
        <w:t>5.4</w:t>
      </w:r>
      <w:r w:rsidRPr="004F047B">
        <w:rPr>
          <w:rFonts w:ascii="Arial" w:hAnsi="Arial" w:cs="Arial"/>
          <w:b w:val="0"/>
          <w:color w:val="auto"/>
          <w:sz w:val="24"/>
          <w:szCs w:val="24"/>
        </w:rPr>
        <w:t>.2016 vydané Osvedčenie o zápise do zoznamu správcov bytových domov.</w:t>
      </w:r>
    </w:p>
    <w:p w:rsidR="005568B1" w:rsidRPr="00FE449F" w:rsidRDefault="005568B1" w:rsidP="006C72AC">
      <w:pPr>
        <w:pStyle w:val="nadpisybytterm"/>
        <w:spacing w:line="276" w:lineRule="auto"/>
      </w:pPr>
      <w:r>
        <w:lastRenderedPageBreak/>
        <w:t>TEPELNÉ HOSPODÁRSTVO</w:t>
      </w:r>
    </w:p>
    <w:p w:rsidR="005568B1" w:rsidRPr="00133E30" w:rsidRDefault="005568B1" w:rsidP="006C72AC">
      <w:pPr>
        <w:spacing w:line="276" w:lineRule="auto"/>
        <w:ind w:right="563"/>
        <w:jc w:val="both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 w:rsidRPr="00133E30">
        <w:rPr>
          <w:rFonts w:ascii="Arial" w:hAnsi="Arial" w:cs="Arial"/>
          <w:smallCaps/>
          <w:color w:val="538135" w:themeColor="accent6" w:themeShade="BF"/>
          <w:sz w:val="36"/>
          <w:szCs w:val="36"/>
        </w:rPr>
        <w:t>výroba a distribúcia tepla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 xml:space="preserve">Na zabezpečenie výroby a distribúcie tepla </w:t>
      </w:r>
      <w:r w:rsidR="004F047B">
        <w:rPr>
          <w:rFonts w:ascii="Arial" w:hAnsi="Arial" w:cs="Arial"/>
          <w:sz w:val="24"/>
          <w:szCs w:val="24"/>
        </w:rPr>
        <w:t>prevádzkujeme</w:t>
      </w:r>
      <w:r w:rsidRPr="002D13A0">
        <w:rPr>
          <w:rFonts w:ascii="Arial" w:hAnsi="Arial" w:cs="Arial"/>
          <w:sz w:val="24"/>
          <w:szCs w:val="24"/>
        </w:rPr>
        <w:t xml:space="preserve"> 96 tepelných zariadení, z toho: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color w:val="538135" w:themeColor="accent6" w:themeShade="BF"/>
          <w:sz w:val="24"/>
          <w:szCs w:val="24"/>
        </w:rPr>
        <w:sym w:font="Wingdings" w:char="F0D8"/>
      </w:r>
      <w:r w:rsidRPr="002D13A0">
        <w:rPr>
          <w:rFonts w:ascii="Arial" w:hAnsi="Arial" w:cs="Arial"/>
          <w:color w:val="538135" w:themeColor="accent6" w:themeShade="BF"/>
          <w:sz w:val="24"/>
          <w:szCs w:val="24"/>
        </w:rPr>
        <w:t xml:space="preserve">    </w:t>
      </w:r>
      <w:r w:rsidRPr="002D13A0">
        <w:rPr>
          <w:rFonts w:ascii="Arial" w:hAnsi="Arial" w:cs="Arial"/>
          <w:sz w:val="24"/>
          <w:szCs w:val="24"/>
        </w:rPr>
        <w:t>47 parných a horúcovodných výmenníkových staníc (VS) Vlčince, Solinky, Hliny, Mesto,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color w:val="538135" w:themeColor="accent6" w:themeShade="BF"/>
          <w:sz w:val="24"/>
          <w:szCs w:val="24"/>
        </w:rPr>
        <w:sym w:font="Wingdings" w:char="F0D8"/>
      </w:r>
      <w:r w:rsidRPr="002D13A0">
        <w:rPr>
          <w:rFonts w:ascii="Arial" w:hAnsi="Arial" w:cs="Arial"/>
          <w:color w:val="538135" w:themeColor="accent6" w:themeShade="BF"/>
          <w:sz w:val="24"/>
          <w:szCs w:val="24"/>
        </w:rPr>
        <w:t xml:space="preserve">    </w:t>
      </w:r>
      <w:r w:rsidRPr="002D13A0">
        <w:rPr>
          <w:rFonts w:ascii="Arial" w:hAnsi="Arial" w:cs="Arial"/>
          <w:sz w:val="24"/>
          <w:szCs w:val="24"/>
        </w:rPr>
        <w:t>5 veľkých plynových kotolní (VPK),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color w:val="538135" w:themeColor="accent6" w:themeShade="BF"/>
          <w:sz w:val="24"/>
          <w:szCs w:val="24"/>
        </w:rPr>
        <w:sym w:font="Wingdings" w:char="F0D8"/>
      </w:r>
      <w:r w:rsidRPr="002D13A0">
        <w:rPr>
          <w:rFonts w:ascii="Arial" w:hAnsi="Arial" w:cs="Arial"/>
          <w:sz w:val="24"/>
          <w:szCs w:val="24"/>
        </w:rPr>
        <w:t xml:space="preserve">    20 samostatných kompaktných odovzdávacích staníc – KOS,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color w:val="538135" w:themeColor="accent6" w:themeShade="BF"/>
          <w:sz w:val="24"/>
          <w:szCs w:val="24"/>
        </w:rPr>
        <w:sym w:font="Wingdings" w:char="F0D8"/>
      </w:r>
      <w:r w:rsidRPr="002D13A0">
        <w:rPr>
          <w:rFonts w:ascii="Arial" w:hAnsi="Arial" w:cs="Arial"/>
          <w:sz w:val="24"/>
          <w:szCs w:val="24"/>
        </w:rPr>
        <w:t xml:space="preserve">    24 malých plynových kotolní (MPK).  </w:t>
      </w:r>
    </w:p>
    <w:p w:rsidR="006C72AC" w:rsidRDefault="006C72AC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Dodávateľom média (pary, horúcej vody) pre naše parné a horúcovodné zariadenia je Žilinská teplárenská, a.s.</w:t>
      </w:r>
      <w:r w:rsidR="00CF5165">
        <w:rPr>
          <w:rFonts w:ascii="Arial" w:hAnsi="Arial" w:cs="Arial"/>
          <w:sz w:val="24"/>
          <w:szCs w:val="24"/>
        </w:rPr>
        <w:t>.</w:t>
      </w:r>
      <w:r w:rsidRPr="002D13A0">
        <w:rPr>
          <w:rFonts w:ascii="Arial" w:hAnsi="Arial" w:cs="Arial"/>
          <w:sz w:val="24"/>
          <w:szCs w:val="24"/>
        </w:rPr>
        <w:t xml:space="preserve"> Až 86% z celého nami dodávaného tepla a teplej vody je z výmenníkových staníc a zostávajúcich 14% vyrábame a dodávame z plynových kotolní.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 xml:space="preserve"> Všetky tepelné zariadenia okrem MPK sú vybavené riadiacimi systémami s prepojením na dva dispečingy. Jeden dispečing riadi prevádzku parných a horúcovodných výmenníkových staníc, druhý dispečing riadi prevádzku plynových kotolní a KOS na sídlisku Hájik. Za účelom zabezpečenia plynulej prevádzky tepelných zariadení je na dispečerských pracoviskách nepretržitá prevádzka vrátane havarijnej služby zameriavajúcej sa na odstraňovanie technických a prevádzkových porúch v tepelných zariadeniach a bytovo komunálnom sektore.</w:t>
      </w:r>
    </w:p>
    <w:p w:rsidR="005568B1" w:rsidRPr="006E0F5A" w:rsidRDefault="00B54BF2" w:rsidP="006C72AC">
      <w:pPr>
        <w:spacing w:line="276" w:lineRule="auto"/>
        <w:jc w:val="both"/>
        <w:rPr>
          <w:rFonts w:ascii="Times New Roman" w:hAnsi="Times New Roman"/>
          <w:sz w:val="24"/>
        </w:rPr>
      </w:pPr>
      <w:r>
        <w:rPr>
          <w:rFonts w:ascii="Arial" w:hAnsi="Arial" w:cs="Arial"/>
          <w:smallCaps/>
          <w:noProof/>
          <w:color w:val="538135" w:themeColor="accent6" w:themeShade="BF"/>
          <w:sz w:val="36"/>
          <w:szCs w:val="36"/>
          <w:lang w:eastAsia="sk-SK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285115</wp:posOffset>
            </wp:positionV>
            <wp:extent cx="2752090" cy="1771650"/>
            <wp:effectExtent l="0" t="0" r="0" b="0"/>
            <wp:wrapSquare wrapText="bothSides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090" cy="1771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5568B1" w:rsidRPr="006E0F5A">
        <w:rPr>
          <w:rFonts w:ascii="Times New Roman" w:hAnsi="Times New Roman"/>
          <w:sz w:val="24"/>
        </w:rPr>
        <w:t xml:space="preserve">                                                               </w:t>
      </w:r>
    </w:p>
    <w:p w:rsidR="00774B9F" w:rsidRPr="00E559B9" w:rsidRDefault="00774B9F" w:rsidP="006C72AC">
      <w:pPr>
        <w:spacing w:line="276" w:lineRule="auto"/>
        <w:jc w:val="both"/>
        <w:rPr>
          <w:sz w:val="20"/>
          <w:szCs w:val="20"/>
        </w:rPr>
      </w:pPr>
      <w:r>
        <w:rPr>
          <w:rFonts w:ascii="Arial" w:hAnsi="Arial" w:cs="Arial"/>
          <w:smallCaps/>
          <w:noProof/>
          <w:color w:val="538135" w:themeColor="accent6" w:themeShade="BF"/>
          <w:sz w:val="36"/>
          <w:szCs w:val="36"/>
          <w:lang w:eastAsia="sk-SK"/>
        </w:rPr>
        <w:drawing>
          <wp:inline distT="0" distB="0" distL="0" distR="0">
            <wp:extent cx="2761615" cy="1752600"/>
            <wp:effectExtent l="0" t="0" r="635" b="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1615" cy="1752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smallCaps/>
          <w:color w:val="538135" w:themeColor="accent6" w:themeShade="BF"/>
          <w:sz w:val="36"/>
          <w:szCs w:val="36"/>
        </w:rPr>
        <w:br w:type="textWrapping" w:clear="all"/>
      </w:r>
      <w:r>
        <w:rPr>
          <w:rFonts w:ascii="Arial" w:hAnsi="Arial" w:cs="Arial"/>
          <w:smallCaps/>
          <w:color w:val="538135" w:themeColor="accent6" w:themeShade="BF"/>
          <w:sz w:val="36"/>
          <w:szCs w:val="36"/>
        </w:rPr>
        <w:tab/>
      </w:r>
      <w:r>
        <w:rPr>
          <w:rFonts w:ascii="Arial" w:hAnsi="Arial" w:cs="Arial"/>
          <w:smallCaps/>
          <w:color w:val="538135" w:themeColor="accent6" w:themeShade="BF"/>
          <w:sz w:val="36"/>
          <w:szCs w:val="36"/>
        </w:rPr>
        <w:tab/>
      </w:r>
      <w:r>
        <w:rPr>
          <w:sz w:val="20"/>
          <w:szCs w:val="20"/>
        </w:rPr>
        <w:t>VS – HS 41, Hliny VII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VS – HS 88 b.j., Hliny VI</w:t>
      </w:r>
    </w:p>
    <w:p w:rsidR="00774B9F" w:rsidRDefault="00774B9F" w:rsidP="006C72AC">
      <w:pPr>
        <w:spacing w:line="276" w:lineRule="auto"/>
        <w:jc w:val="both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</w:p>
    <w:p w:rsidR="00774B9F" w:rsidRDefault="00774B9F" w:rsidP="006C72AC">
      <w:pPr>
        <w:spacing w:line="276" w:lineRule="auto"/>
        <w:jc w:val="both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</w:p>
    <w:p w:rsidR="005568B1" w:rsidRPr="00133E30" w:rsidRDefault="005568B1" w:rsidP="006C72AC">
      <w:pPr>
        <w:spacing w:line="276" w:lineRule="auto"/>
        <w:jc w:val="both"/>
        <w:rPr>
          <w:rFonts w:ascii="Times New Roman" w:hAnsi="Times New Roman"/>
          <w:sz w:val="36"/>
          <w:szCs w:val="36"/>
        </w:rPr>
      </w:pPr>
      <w:r w:rsidRPr="00133E30">
        <w:rPr>
          <w:rFonts w:ascii="Arial" w:hAnsi="Arial" w:cs="Arial"/>
          <w:smallCaps/>
          <w:color w:val="538135" w:themeColor="accent6" w:themeShade="BF"/>
          <w:sz w:val="36"/>
          <w:szCs w:val="36"/>
        </w:rPr>
        <w:lastRenderedPageBreak/>
        <w:t>starostlivosť o energetické zariadenia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 xml:space="preserve">Pri nepretržitej prevádzke tepelných zariadení je nevyhnutné naplánovať údržbu na priebežné odstraňovanie nedostatkov a porúch, ktoré sa vyskytujú na technologických zariadeniach,  fasádach a strechách VS a PK. 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Počas celého roka sme realizovali práce na sústave tepla a teplej vody, pričom sme sa snažili v čo najmenšej miere obmedzovať ich dodávku konečným spotrebiteľom. Z toho vyplýva, že</w:t>
      </w:r>
      <w:r w:rsidRPr="002D13A0">
        <w:rPr>
          <w:rFonts w:ascii="Times New Roman" w:hAnsi="Times New Roman"/>
          <w:sz w:val="24"/>
          <w:szCs w:val="24"/>
        </w:rPr>
        <w:t xml:space="preserve"> </w:t>
      </w:r>
      <w:r w:rsidRPr="002D13A0">
        <w:rPr>
          <w:rFonts w:ascii="Arial" w:hAnsi="Arial" w:cs="Arial"/>
          <w:sz w:val="24"/>
          <w:szCs w:val="24"/>
        </w:rPr>
        <w:t>v rámci plynulej dodávky energií, vrátane ich požadovanej kvality, neustále zabezpečujeme a realizujeme práce ako odstraňovanie porúch na sekundárnych rozvodoch tepla a teplej vody, pretesňovanie prírub, výmena obehových a cirkulačných čerpadiel, teplomerov, tlakomerov, kondenzačných hrncov, opravy a chemické čistenia zásobníkov teplej vody, výmenníkov tepla, servopohonov a mnoho ďalších údržbárskych prác. Treba spomenúť i odstraňovanie nedostatkov po periodických revíziách elektro, tlakových nádob, plynu a rádiového prenosu. Dodávateľsky sme realizovali hlavne práce na riadiacich systémoch, počítačových programoch, diaľkových odpočtoch spotreby tepla a teplej vody, opravách vysielačiek, horákov, kotlov, atď.</w:t>
      </w:r>
      <w:r w:rsidR="00CF5165">
        <w:rPr>
          <w:rFonts w:ascii="Arial" w:hAnsi="Arial" w:cs="Arial"/>
          <w:sz w:val="24"/>
          <w:szCs w:val="24"/>
        </w:rPr>
        <w:t>.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V samotných letných mesiacoch, počas ktorých sa nedodáva teplo</w:t>
      </w:r>
      <w:r w:rsidR="00CF5165">
        <w:rPr>
          <w:rFonts w:ascii="Arial" w:hAnsi="Arial" w:cs="Arial"/>
          <w:sz w:val="24"/>
          <w:szCs w:val="24"/>
        </w:rPr>
        <w:t>,</w:t>
      </w:r>
      <w:r w:rsidRPr="002D13A0">
        <w:rPr>
          <w:rFonts w:ascii="Arial" w:hAnsi="Arial" w:cs="Arial"/>
          <w:sz w:val="24"/>
          <w:szCs w:val="24"/>
        </w:rPr>
        <w:t xml:space="preserve"> sa okrem investičných akcií realizujú i práce väčšieho rozsahu, ako napr.: zabrusovanie ventilov, hydraulické vyregulovanie systémov, metrologické overovanie fakturačných meračov tepla a teplej vody atď.</w:t>
      </w:r>
      <w:r w:rsidR="00CF5165">
        <w:rPr>
          <w:rFonts w:ascii="Arial" w:hAnsi="Arial" w:cs="Arial"/>
          <w:sz w:val="24"/>
          <w:szCs w:val="24"/>
        </w:rPr>
        <w:t>.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b/>
          <w:smallCaps/>
          <w:color w:val="538135" w:themeColor="accent6" w:themeShade="BF"/>
          <w:sz w:val="32"/>
          <w:szCs w:val="32"/>
        </w:rPr>
      </w:pPr>
    </w:p>
    <w:p w:rsidR="005568B1" w:rsidRPr="00133E30" w:rsidRDefault="005568B1" w:rsidP="006C72AC">
      <w:pPr>
        <w:spacing w:line="276" w:lineRule="auto"/>
        <w:jc w:val="both"/>
        <w:rPr>
          <w:rFonts w:ascii="Times New Roman" w:hAnsi="Times New Roman"/>
          <w:sz w:val="36"/>
          <w:szCs w:val="36"/>
        </w:rPr>
      </w:pPr>
      <w:r w:rsidRPr="00133E30">
        <w:rPr>
          <w:rFonts w:ascii="Arial" w:hAnsi="Arial" w:cs="Arial"/>
          <w:smallCaps/>
          <w:color w:val="538135" w:themeColor="accent6" w:themeShade="BF"/>
          <w:sz w:val="36"/>
          <w:szCs w:val="36"/>
        </w:rPr>
        <w:t>rozvoj a obnova tepelných zariadení</w:t>
      </w:r>
    </w:p>
    <w:p w:rsidR="00842887" w:rsidRPr="00842887" w:rsidRDefault="00B54BF2" w:rsidP="006C72AC">
      <w:pPr>
        <w:tabs>
          <w:tab w:val="left" w:pos="720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Aj v roku 2017 venovala spoločnosť</w:t>
      </w:r>
      <w:r w:rsidR="00842887" w:rsidRPr="00842887">
        <w:rPr>
          <w:rFonts w:ascii="Arial" w:hAnsi="Arial" w:cs="Arial"/>
          <w:sz w:val="24"/>
          <w:szCs w:val="24"/>
        </w:rPr>
        <w:t xml:space="preserve"> BYTTERM a.s nemalú pozornosť obnove technologických zariadení. K bezproblémovému štartu vykurovacej sezóny určite prispeli realizované modernizácie tepelno-technických zariadení</w:t>
      </w:r>
      <w:r>
        <w:rPr>
          <w:rFonts w:ascii="Arial" w:hAnsi="Arial" w:cs="Arial"/>
          <w:sz w:val="24"/>
          <w:szCs w:val="24"/>
        </w:rPr>
        <w:t>, ktoré</w:t>
      </w:r>
      <w:r w:rsidR="00842887" w:rsidRPr="00842887">
        <w:rPr>
          <w:rFonts w:ascii="Arial" w:hAnsi="Arial" w:cs="Arial"/>
          <w:sz w:val="24"/>
          <w:szCs w:val="24"/>
        </w:rPr>
        <w:t xml:space="preserve"> prinášajú zlepšenie energetickej efektívnosti a hospodárnosti, čo má nemalý vplyv aj na znížen</w:t>
      </w:r>
      <w:r>
        <w:rPr>
          <w:rFonts w:ascii="Arial" w:hAnsi="Arial" w:cs="Arial"/>
          <w:sz w:val="24"/>
          <w:szCs w:val="24"/>
        </w:rPr>
        <w:t xml:space="preserve">ie </w:t>
      </w:r>
      <w:r w:rsidR="00842887" w:rsidRPr="00842887">
        <w:rPr>
          <w:rFonts w:ascii="Arial" w:hAnsi="Arial" w:cs="Arial"/>
          <w:sz w:val="24"/>
          <w:szCs w:val="24"/>
        </w:rPr>
        <w:t>prevádzkových nákladov.</w:t>
      </w:r>
    </w:p>
    <w:p w:rsidR="00842887" w:rsidRPr="00842887" w:rsidRDefault="00842887" w:rsidP="006C72AC">
      <w:pPr>
        <w:tabs>
          <w:tab w:val="left" w:pos="0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42887">
        <w:rPr>
          <w:rFonts w:ascii="Arial" w:hAnsi="Arial" w:cs="Arial"/>
          <w:sz w:val="24"/>
          <w:szCs w:val="24"/>
        </w:rPr>
        <w:t xml:space="preserve">BYTTERM a.s. každoročne plánuje aj výmenu vonkajších sekundárnych rozvodov tepla a teplej vody. Výmenou opotrebovaných rozvodov sa </w:t>
      </w:r>
      <w:r w:rsidR="00927808">
        <w:rPr>
          <w:rFonts w:ascii="Arial" w:hAnsi="Arial" w:cs="Arial"/>
          <w:sz w:val="24"/>
          <w:szCs w:val="24"/>
        </w:rPr>
        <w:t>predchádza</w:t>
      </w:r>
      <w:r w:rsidRPr="00842887">
        <w:rPr>
          <w:rFonts w:ascii="Arial" w:hAnsi="Arial" w:cs="Arial"/>
          <w:sz w:val="24"/>
          <w:szCs w:val="24"/>
        </w:rPr>
        <w:t xml:space="preserve"> poruchovosti a súčasne </w:t>
      </w:r>
      <w:r w:rsidR="00927808">
        <w:rPr>
          <w:rFonts w:ascii="Arial" w:hAnsi="Arial" w:cs="Arial"/>
          <w:sz w:val="24"/>
          <w:szCs w:val="24"/>
        </w:rPr>
        <w:t>zvyšuje</w:t>
      </w:r>
      <w:r w:rsidRPr="00842887">
        <w:rPr>
          <w:rFonts w:ascii="Arial" w:hAnsi="Arial" w:cs="Arial"/>
          <w:sz w:val="24"/>
          <w:szCs w:val="24"/>
        </w:rPr>
        <w:t xml:space="preserve"> </w:t>
      </w:r>
      <w:r w:rsidR="00927808">
        <w:rPr>
          <w:rFonts w:ascii="Arial" w:hAnsi="Arial" w:cs="Arial"/>
          <w:sz w:val="24"/>
          <w:szCs w:val="24"/>
        </w:rPr>
        <w:t xml:space="preserve">hospodárnosť </w:t>
      </w:r>
      <w:r w:rsidRPr="00842887">
        <w:rPr>
          <w:rFonts w:ascii="Arial" w:hAnsi="Arial" w:cs="Arial"/>
          <w:sz w:val="24"/>
          <w:szCs w:val="24"/>
        </w:rPr>
        <w:t>distribúcie tepla. Súčasťou výmeny rozvodov je aj hydraulické vyregulovanie ÚK v jednotlivých odberných miestach. Všetky investičné akcie  boli financované z vlastných zdrojov a.s.</w:t>
      </w:r>
      <w:r w:rsidR="00B54BF2">
        <w:rPr>
          <w:rFonts w:ascii="Arial" w:hAnsi="Arial" w:cs="Arial"/>
          <w:sz w:val="24"/>
          <w:szCs w:val="24"/>
        </w:rPr>
        <w:t>.</w:t>
      </w:r>
    </w:p>
    <w:p w:rsidR="00842887" w:rsidRPr="00842887" w:rsidRDefault="00842887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42887">
        <w:rPr>
          <w:rFonts w:ascii="Arial" w:hAnsi="Arial" w:cs="Arial"/>
          <w:sz w:val="24"/>
          <w:szCs w:val="24"/>
        </w:rPr>
        <w:t xml:space="preserve">V rámci tepelného hospodárstva boli realizované  a zaradené do majetku spoločnosti investičné akcie v sume  </w:t>
      </w:r>
      <w:r w:rsidRPr="00842887">
        <w:rPr>
          <w:rFonts w:ascii="Arial" w:hAnsi="Arial" w:cs="Arial"/>
          <w:b/>
          <w:i/>
          <w:sz w:val="24"/>
          <w:szCs w:val="24"/>
        </w:rPr>
        <w:t>806 971,88 €</w:t>
      </w:r>
      <w:r w:rsidRPr="00842887">
        <w:rPr>
          <w:rFonts w:ascii="Arial" w:hAnsi="Arial" w:cs="Arial"/>
          <w:sz w:val="24"/>
          <w:szCs w:val="24"/>
        </w:rPr>
        <w:t xml:space="preserve"> nasledovne:</w:t>
      </w:r>
    </w:p>
    <w:p w:rsidR="00842887" w:rsidRPr="00842887" w:rsidRDefault="00842887" w:rsidP="006C72AC">
      <w:pPr>
        <w:numPr>
          <w:ilvl w:val="0"/>
          <w:numId w:val="6"/>
        </w:numPr>
        <w:tabs>
          <w:tab w:val="clear" w:pos="720"/>
          <w:tab w:val="num" w:pos="0"/>
        </w:tabs>
        <w:spacing w:after="0" w:line="276" w:lineRule="auto"/>
        <w:ind w:left="180" w:hanging="180"/>
        <w:jc w:val="both"/>
        <w:rPr>
          <w:rFonts w:ascii="Arial" w:hAnsi="Arial" w:cs="Arial"/>
          <w:b/>
          <w:i/>
          <w:sz w:val="24"/>
          <w:szCs w:val="24"/>
        </w:rPr>
      </w:pPr>
      <w:r w:rsidRPr="00842887">
        <w:rPr>
          <w:rFonts w:ascii="Arial" w:hAnsi="Arial" w:cs="Arial"/>
          <w:sz w:val="24"/>
          <w:szCs w:val="24"/>
        </w:rPr>
        <w:t xml:space="preserve">modernizácia výmenníkovej stanice HS 041 Hliny, vysoká zástavba v sume </w:t>
      </w:r>
      <w:r w:rsidRPr="00842887">
        <w:rPr>
          <w:rFonts w:ascii="Arial" w:hAnsi="Arial" w:cs="Arial"/>
          <w:b/>
          <w:i/>
          <w:sz w:val="24"/>
          <w:szCs w:val="24"/>
        </w:rPr>
        <w:t>218 730,41 €,</w:t>
      </w:r>
    </w:p>
    <w:p w:rsidR="00842887" w:rsidRPr="00842887" w:rsidRDefault="00842887" w:rsidP="006C72AC">
      <w:pPr>
        <w:numPr>
          <w:ilvl w:val="0"/>
          <w:numId w:val="6"/>
        </w:numPr>
        <w:tabs>
          <w:tab w:val="clear" w:pos="720"/>
          <w:tab w:val="num" w:pos="180"/>
        </w:tabs>
        <w:spacing w:after="0" w:line="276" w:lineRule="auto"/>
        <w:ind w:left="180" w:hanging="180"/>
        <w:jc w:val="both"/>
        <w:rPr>
          <w:rFonts w:ascii="Arial" w:hAnsi="Arial" w:cs="Arial"/>
          <w:b/>
          <w:sz w:val="24"/>
          <w:szCs w:val="24"/>
        </w:rPr>
      </w:pPr>
      <w:r w:rsidRPr="00842887">
        <w:rPr>
          <w:rFonts w:ascii="Arial" w:hAnsi="Arial" w:cs="Arial"/>
          <w:sz w:val="24"/>
          <w:szCs w:val="24"/>
        </w:rPr>
        <w:t xml:space="preserve">modernizácia VS 262 Bajzova v sume </w:t>
      </w:r>
      <w:r w:rsidRPr="00842887">
        <w:rPr>
          <w:rFonts w:ascii="Arial" w:hAnsi="Arial" w:cs="Arial"/>
          <w:b/>
          <w:i/>
          <w:sz w:val="24"/>
          <w:szCs w:val="24"/>
        </w:rPr>
        <w:t>130 784,08 € ,</w:t>
      </w:r>
    </w:p>
    <w:p w:rsidR="00842887" w:rsidRPr="00842887" w:rsidRDefault="00842887" w:rsidP="006C72AC">
      <w:pPr>
        <w:numPr>
          <w:ilvl w:val="0"/>
          <w:numId w:val="6"/>
        </w:numPr>
        <w:tabs>
          <w:tab w:val="clear" w:pos="720"/>
          <w:tab w:val="num" w:pos="180"/>
        </w:tabs>
        <w:spacing w:after="0" w:line="276" w:lineRule="auto"/>
        <w:ind w:left="180" w:hanging="180"/>
        <w:jc w:val="both"/>
        <w:rPr>
          <w:rFonts w:ascii="Arial" w:hAnsi="Arial" w:cs="Arial"/>
          <w:i/>
          <w:sz w:val="24"/>
          <w:szCs w:val="24"/>
        </w:rPr>
      </w:pPr>
      <w:r w:rsidRPr="00842887">
        <w:rPr>
          <w:rFonts w:ascii="Arial" w:hAnsi="Arial" w:cs="Arial"/>
          <w:sz w:val="24"/>
          <w:szCs w:val="24"/>
        </w:rPr>
        <w:lastRenderedPageBreak/>
        <w:t xml:space="preserve">výmena rozvodov TÚV a ÚK VS 08 Vlčince I. vetva v sume </w:t>
      </w:r>
      <w:r w:rsidRPr="00842887">
        <w:rPr>
          <w:rFonts w:ascii="Arial" w:hAnsi="Arial" w:cs="Arial"/>
          <w:b/>
          <w:i/>
          <w:sz w:val="24"/>
          <w:szCs w:val="24"/>
        </w:rPr>
        <w:t>353 050,68 €,</w:t>
      </w:r>
    </w:p>
    <w:p w:rsidR="00842887" w:rsidRPr="00842887" w:rsidRDefault="00842887" w:rsidP="006C72AC">
      <w:pPr>
        <w:numPr>
          <w:ilvl w:val="0"/>
          <w:numId w:val="6"/>
        </w:numPr>
        <w:tabs>
          <w:tab w:val="clear" w:pos="720"/>
          <w:tab w:val="num" w:pos="180"/>
        </w:tabs>
        <w:spacing w:after="0" w:line="276" w:lineRule="auto"/>
        <w:ind w:left="180" w:hanging="180"/>
        <w:jc w:val="both"/>
        <w:rPr>
          <w:rFonts w:ascii="Arial" w:hAnsi="Arial" w:cs="Arial"/>
          <w:b/>
          <w:i/>
          <w:sz w:val="24"/>
          <w:szCs w:val="24"/>
        </w:rPr>
      </w:pPr>
      <w:r w:rsidRPr="00842887">
        <w:rPr>
          <w:rFonts w:ascii="Arial" w:hAnsi="Arial" w:cs="Arial"/>
          <w:sz w:val="24"/>
          <w:szCs w:val="24"/>
        </w:rPr>
        <w:t xml:space="preserve">výmena rozvodov TÚV a ÚK VS Oravská, vetva B v sume  </w:t>
      </w:r>
      <w:r w:rsidRPr="00842887">
        <w:rPr>
          <w:rFonts w:ascii="Arial" w:hAnsi="Arial" w:cs="Arial"/>
          <w:b/>
          <w:i/>
          <w:sz w:val="24"/>
          <w:szCs w:val="24"/>
        </w:rPr>
        <w:t>60 214,57 €,</w:t>
      </w:r>
    </w:p>
    <w:p w:rsidR="00842887" w:rsidRPr="00842887" w:rsidRDefault="00842887" w:rsidP="006C72AC">
      <w:pPr>
        <w:numPr>
          <w:ilvl w:val="0"/>
          <w:numId w:val="6"/>
        </w:numPr>
        <w:tabs>
          <w:tab w:val="clear" w:pos="720"/>
          <w:tab w:val="num" w:pos="180"/>
        </w:tabs>
        <w:spacing w:after="0" w:line="276" w:lineRule="auto"/>
        <w:ind w:left="180" w:hanging="180"/>
        <w:jc w:val="both"/>
        <w:rPr>
          <w:rFonts w:ascii="Arial" w:hAnsi="Arial" w:cs="Arial"/>
          <w:sz w:val="24"/>
          <w:szCs w:val="24"/>
        </w:rPr>
      </w:pPr>
      <w:r w:rsidRPr="00842887">
        <w:rPr>
          <w:rFonts w:ascii="Arial" w:hAnsi="Arial" w:cs="Arial"/>
          <w:sz w:val="24"/>
          <w:szCs w:val="24"/>
        </w:rPr>
        <w:t xml:space="preserve">prepoj TÚV a ÚK , okruh VS 06 Vlčince, BD Martinská v sume </w:t>
      </w:r>
      <w:r w:rsidRPr="00842887">
        <w:rPr>
          <w:rFonts w:ascii="Arial" w:hAnsi="Arial" w:cs="Arial"/>
          <w:b/>
          <w:i/>
          <w:sz w:val="24"/>
          <w:szCs w:val="24"/>
        </w:rPr>
        <w:t>44 192,14 € .</w:t>
      </w:r>
    </w:p>
    <w:p w:rsidR="00842887" w:rsidRDefault="00842887" w:rsidP="006C72AC">
      <w:pPr>
        <w:tabs>
          <w:tab w:val="left" w:pos="360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842887" w:rsidRPr="00842887" w:rsidRDefault="00842887" w:rsidP="006C72AC">
      <w:pPr>
        <w:tabs>
          <w:tab w:val="left" w:pos="360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42887">
        <w:rPr>
          <w:rFonts w:ascii="Arial" w:hAnsi="Arial" w:cs="Arial"/>
          <w:sz w:val="24"/>
          <w:szCs w:val="24"/>
        </w:rPr>
        <w:t xml:space="preserve">Pre zabezpečenie dodávky ÚK a TÚV bola modernizovaná výmenníková stanica </w:t>
      </w:r>
      <w:r w:rsidR="004278DA">
        <w:rPr>
          <w:rFonts w:ascii="Arial" w:hAnsi="Arial" w:cs="Arial"/>
          <w:sz w:val="24"/>
          <w:szCs w:val="24"/>
        </w:rPr>
        <w:t xml:space="preserve">      </w:t>
      </w:r>
      <w:r w:rsidRPr="00842887">
        <w:rPr>
          <w:rFonts w:ascii="Arial" w:hAnsi="Arial" w:cs="Arial"/>
          <w:sz w:val="24"/>
          <w:szCs w:val="24"/>
        </w:rPr>
        <w:t xml:space="preserve">HS 041 Hliny, časť vysoká zástavba. V priestore pôvodnej parnej výmenníkovej stanice bola inštalovaná  nová odovzdávacia stanica tepla typu horúca para – voda  DANFOSS o  tepelnom výkone na ohrev </w:t>
      </w:r>
      <w:r w:rsidRPr="00B54BF2">
        <w:rPr>
          <w:rFonts w:ascii="Arial" w:hAnsi="Arial" w:cs="Arial"/>
          <w:sz w:val="24"/>
          <w:szCs w:val="24"/>
        </w:rPr>
        <w:t>ÚK 760</w:t>
      </w:r>
      <w:r w:rsidRPr="00B54BF2">
        <w:rPr>
          <w:rFonts w:ascii="Arial" w:hAnsi="Arial" w:cs="Arial"/>
          <w:color w:val="FF0000"/>
          <w:sz w:val="24"/>
          <w:szCs w:val="24"/>
        </w:rPr>
        <w:t xml:space="preserve"> </w:t>
      </w:r>
      <w:r w:rsidRPr="00B54BF2">
        <w:rPr>
          <w:rFonts w:ascii="Arial" w:hAnsi="Arial" w:cs="Arial"/>
          <w:sz w:val="24"/>
          <w:szCs w:val="24"/>
        </w:rPr>
        <w:t>kW a TÚV 720 kW.</w:t>
      </w:r>
      <w:r w:rsidRPr="00842887">
        <w:rPr>
          <w:rFonts w:ascii="Arial" w:hAnsi="Arial" w:cs="Arial"/>
          <w:sz w:val="24"/>
          <w:szCs w:val="24"/>
        </w:rPr>
        <w:t xml:space="preserve"> V celej VS boli realizované nové prevádzkové rozvody silnoprúdu, rozvody MaR a nový riadiaci systém SIEMENS.</w:t>
      </w:r>
    </w:p>
    <w:p w:rsidR="00842887" w:rsidRPr="00842887" w:rsidRDefault="00842887" w:rsidP="006C72AC">
      <w:pPr>
        <w:tabs>
          <w:tab w:val="left" w:pos="360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Pr="00842887">
        <w:rPr>
          <w:rFonts w:ascii="Arial" w:hAnsi="Arial" w:cs="Arial"/>
          <w:sz w:val="24"/>
          <w:szCs w:val="24"/>
        </w:rPr>
        <w:t xml:space="preserve">o priestoru súčasnej parnej výmenníkovej stanice VS 262 Bajzova, bola inštalovaná nová odovzdávacia stanica tepla typu horúca para – voda  DANFOSS s tepelným výkonom na </w:t>
      </w:r>
      <w:r w:rsidRPr="00B54BF2">
        <w:rPr>
          <w:rFonts w:ascii="Arial" w:hAnsi="Arial" w:cs="Arial"/>
          <w:sz w:val="24"/>
          <w:szCs w:val="24"/>
        </w:rPr>
        <w:t>ohrev ÚK 540kW a TÚV 239 kW</w:t>
      </w:r>
      <w:r w:rsidRPr="00842887">
        <w:rPr>
          <w:rFonts w:ascii="Arial" w:hAnsi="Arial" w:cs="Arial"/>
          <w:sz w:val="24"/>
          <w:szCs w:val="24"/>
        </w:rPr>
        <w:t xml:space="preserve">. Súčasťou modernizácie boli aj nové prevádzkové rozvody silnoprúdu , rozvody MaR a nový riadiaci systém SIEMENS. </w:t>
      </w:r>
    </w:p>
    <w:p w:rsidR="00842887" w:rsidRPr="00842887" w:rsidRDefault="00842887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42887">
        <w:rPr>
          <w:rFonts w:ascii="Arial" w:hAnsi="Arial" w:cs="Arial"/>
          <w:sz w:val="24"/>
          <w:szCs w:val="24"/>
        </w:rPr>
        <w:t>V roku 2017 pokračovala výmena rozvodov TÚV a ÚK 1.vetva trasa ul.  Fatranská, Tatranská , Stredné odborné učilište.</w:t>
      </w:r>
    </w:p>
    <w:p w:rsidR="00842887" w:rsidRPr="00B54BF2" w:rsidRDefault="00842887" w:rsidP="006C72AC">
      <w:pPr>
        <w:tabs>
          <w:tab w:val="left" w:pos="0"/>
          <w:tab w:val="left" w:pos="360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42887">
        <w:rPr>
          <w:rFonts w:ascii="Arial" w:hAnsi="Arial" w:cs="Arial"/>
          <w:sz w:val="24"/>
          <w:szCs w:val="24"/>
        </w:rPr>
        <w:t xml:space="preserve">Trasa výmeny začínala v šachte pred BD Fatranská č.s. 3101 a pokračovala vonkajším rozvodom a odbočkami do jednotlivých obytných objektov v trase pôvodného teplovodu. Celková priama dĺžka výmeny vonkajšieho teplovodu (TÚV a ÚK) je </w:t>
      </w:r>
      <w:smartTag w:uri="urn:schemas-microsoft-com:office:smarttags" w:element="metricconverter">
        <w:smartTagPr>
          <w:attr w:name="ProductID" w:val="375 m"/>
        </w:smartTagPr>
        <w:r w:rsidRPr="00B54BF2">
          <w:rPr>
            <w:rFonts w:ascii="Arial" w:hAnsi="Arial" w:cs="Arial"/>
            <w:sz w:val="24"/>
            <w:szCs w:val="24"/>
          </w:rPr>
          <w:t>375 m</w:t>
        </w:r>
      </w:smartTag>
      <w:r w:rsidRPr="00B54BF2">
        <w:rPr>
          <w:rFonts w:ascii="Arial" w:hAnsi="Arial" w:cs="Arial"/>
          <w:sz w:val="24"/>
          <w:szCs w:val="24"/>
        </w:rPr>
        <w:t>.</w:t>
      </w:r>
    </w:p>
    <w:p w:rsidR="00842887" w:rsidRPr="00842887" w:rsidRDefault="00842887" w:rsidP="006C72AC">
      <w:pPr>
        <w:tabs>
          <w:tab w:val="left" w:pos="360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</w:t>
      </w:r>
      <w:r w:rsidRPr="00842887">
        <w:rPr>
          <w:rFonts w:ascii="Arial" w:hAnsi="Arial" w:cs="Arial"/>
          <w:sz w:val="24"/>
          <w:szCs w:val="24"/>
        </w:rPr>
        <w:t>outo etapou výmeny rozvodov bola dokončená komplexná výmena  okruhu výmenníkovej stanice VS 08 Vlčince. (2. vetva bola realizovaná v roku v 2015).</w:t>
      </w:r>
    </w:p>
    <w:p w:rsidR="006C72AC" w:rsidRDefault="00842887" w:rsidP="006C72AC">
      <w:pPr>
        <w:tabs>
          <w:tab w:val="left" w:pos="0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42887">
        <w:rPr>
          <w:rFonts w:ascii="Arial" w:hAnsi="Arial" w:cs="Arial"/>
          <w:sz w:val="24"/>
          <w:szCs w:val="24"/>
        </w:rPr>
        <w:t>V roku 2017 sa dokončila výmena vonkajších sekundárnych tepla a TÚV v okruhu VS 06 Vlčince</w:t>
      </w:r>
      <w:r w:rsidR="00CF5165">
        <w:rPr>
          <w:rFonts w:ascii="Arial" w:hAnsi="Arial" w:cs="Arial"/>
          <w:sz w:val="24"/>
          <w:szCs w:val="24"/>
        </w:rPr>
        <w:t>,</w:t>
      </w:r>
      <w:r w:rsidRPr="00842887">
        <w:rPr>
          <w:rFonts w:ascii="Arial" w:hAnsi="Arial" w:cs="Arial"/>
          <w:sz w:val="24"/>
          <w:szCs w:val="24"/>
        </w:rPr>
        <w:t xml:space="preserve"> a to prekládkou rozvodov vedúcich pod bytovým domom Martinská č.s.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42887">
        <w:rPr>
          <w:rFonts w:ascii="Arial" w:hAnsi="Arial" w:cs="Arial"/>
          <w:sz w:val="24"/>
          <w:szCs w:val="24"/>
        </w:rPr>
        <w:t>1619, novou trasou cez suterén bytového domu. Vetva Martinská – Levočská, bola realizovaná v roku 2016, avšak prekládka sa uskutočnila až po súhlase vlastníkov bytového domu na základe vydaného stavebného povolenia.</w:t>
      </w:r>
      <w:r w:rsidR="006C72AC">
        <w:rPr>
          <w:rFonts w:ascii="Arial" w:hAnsi="Arial" w:cs="Arial"/>
          <w:sz w:val="24"/>
          <w:szCs w:val="24"/>
        </w:rPr>
        <w:tab/>
      </w:r>
    </w:p>
    <w:p w:rsidR="00D764FC" w:rsidRDefault="00D764FC" w:rsidP="006C72AC">
      <w:pPr>
        <w:tabs>
          <w:tab w:val="left" w:pos="0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Default="00B54BF2" w:rsidP="006C72AC">
      <w:pPr>
        <w:spacing w:line="276" w:lineRule="auto"/>
        <w:ind w:left="1416"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sk-SK"/>
        </w:rPr>
        <w:drawing>
          <wp:inline distT="0" distB="0" distL="0" distR="0">
            <wp:extent cx="3409950" cy="1814830"/>
            <wp:effectExtent l="0" t="0" r="0" b="0"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9950" cy="1814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D7142" w:rsidRPr="00B54BF2" w:rsidRDefault="007D7142" w:rsidP="006C72AC">
      <w:pPr>
        <w:spacing w:line="276" w:lineRule="auto"/>
        <w:ind w:left="708" w:firstLine="708"/>
        <w:rPr>
          <w:i/>
          <w:sz w:val="20"/>
          <w:szCs w:val="20"/>
        </w:rPr>
      </w:pPr>
      <w:r w:rsidRPr="00B54BF2">
        <w:rPr>
          <w:i/>
          <w:sz w:val="20"/>
          <w:szCs w:val="20"/>
        </w:rPr>
        <w:t>Vonkajší prepoj ÚK a TÚV do bytového domu Martinská – vstup do suterénu BD</w:t>
      </w:r>
    </w:p>
    <w:p w:rsidR="007D7142" w:rsidRDefault="001244E5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sk-SK"/>
        </w:rPr>
        <w:lastRenderedPageBreak/>
        <w:pict>
          <v:group id="Kresliace plátno 24" o:spid="_x0000_s1026" editas="canvas" style="position:absolute;left:0;text-align:left;margin-left:-70.9pt;margin-top:-81.5pt;width:453.5pt;height:213.2pt;z-index:251663360" coordsize="57594,27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width:57594;height:27076;visibility:visible;mso-wrap-style:square">
              <v:fill o:detectmouseclick="t"/>
              <v:path o:connecttype="none"/>
            </v:shape>
          </v:group>
        </w:pict>
      </w:r>
    </w:p>
    <w:p w:rsidR="00B54BF2" w:rsidRDefault="007D7142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42887">
        <w:rPr>
          <w:rFonts w:ascii="Arial" w:hAnsi="Arial" w:cs="Arial"/>
          <w:sz w:val="24"/>
          <w:szCs w:val="24"/>
        </w:rPr>
        <w:t xml:space="preserve">Ďalšia výmena vonkajších sekundárnych rozvodov tepla a TÚV bola realizovaná v tepelnom okruhu VS Oravská - vetva B. Trasa výmeny začínala na výstupe z VS  podzemným vonkajším rozvodom, potom kolektorom nad potokom a podzemným rozvodom končila na vstupe do BD. V časti trasy od VS po kolektor, musela byť urobená prekládka teplovodu z dôvodu kolízie s parovodom a ostatnými inžinierskymi sieťami. Celková priama dĺžka výmeny vonkajšieho teplovodu (TÚV a ÚK) je </w:t>
      </w:r>
      <w:smartTag w:uri="urn:schemas-microsoft-com:office:smarttags" w:element="metricconverter">
        <w:smartTagPr>
          <w:attr w:name="ProductID" w:val="49 m"/>
        </w:smartTagPr>
        <w:r w:rsidRPr="00B54BF2">
          <w:rPr>
            <w:rFonts w:ascii="Arial" w:hAnsi="Arial" w:cs="Arial"/>
            <w:sz w:val="24"/>
            <w:szCs w:val="24"/>
          </w:rPr>
          <w:t>49 m</w:t>
        </w:r>
      </w:smartTag>
      <w:r w:rsidRPr="00B54BF2">
        <w:rPr>
          <w:rFonts w:ascii="Arial" w:hAnsi="Arial" w:cs="Arial"/>
          <w:sz w:val="24"/>
          <w:szCs w:val="24"/>
        </w:rPr>
        <w:t>.</w:t>
      </w:r>
    </w:p>
    <w:p w:rsidR="005568B1" w:rsidRPr="008F2DF7" w:rsidRDefault="005568B1" w:rsidP="006C72AC">
      <w:pPr>
        <w:spacing w:line="276" w:lineRule="auto"/>
        <w:jc w:val="both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 w:rsidRPr="008F2DF7">
        <w:rPr>
          <w:rFonts w:ascii="Arial" w:hAnsi="Arial" w:cs="Arial"/>
          <w:smallCaps/>
          <w:color w:val="538135" w:themeColor="accent6" w:themeShade="BF"/>
          <w:sz w:val="36"/>
          <w:szCs w:val="36"/>
        </w:rPr>
        <w:t>štandardy kvality</w:t>
      </w:r>
    </w:p>
    <w:p w:rsidR="005568B1" w:rsidRPr="002D13A0" w:rsidRDefault="005568B1" w:rsidP="003F183D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Štandardy kvality dodávaného tepla a služieb poskytovaných pri jeho dodávke boli v roku 201</w:t>
      </w:r>
      <w:r w:rsidR="00BB7DF7">
        <w:rPr>
          <w:rFonts w:ascii="Arial" w:hAnsi="Arial" w:cs="Arial"/>
          <w:sz w:val="24"/>
          <w:szCs w:val="24"/>
        </w:rPr>
        <w:t>7</w:t>
      </w:r>
      <w:r w:rsidRPr="002D13A0">
        <w:rPr>
          <w:rFonts w:ascii="Arial" w:hAnsi="Arial" w:cs="Arial"/>
          <w:sz w:val="24"/>
          <w:szCs w:val="24"/>
        </w:rPr>
        <w:t xml:space="preserve"> sledované, evidované a vyhodnotené v súlade s </w:t>
      </w:r>
      <w:r w:rsidR="00BB7DF7">
        <w:rPr>
          <w:rFonts w:ascii="Arial" w:hAnsi="Arial" w:cs="Arial"/>
          <w:sz w:val="24"/>
          <w:szCs w:val="24"/>
        </w:rPr>
        <w:t>v</w:t>
      </w:r>
      <w:r w:rsidRPr="002D13A0">
        <w:rPr>
          <w:rFonts w:ascii="Arial" w:hAnsi="Arial" w:cs="Arial"/>
          <w:sz w:val="24"/>
          <w:szCs w:val="24"/>
        </w:rPr>
        <w:t xml:space="preserve">yhláškou ÚRSO </w:t>
      </w:r>
      <w:r w:rsidR="003F183D">
        <w:rPr>
          <w:rFonts w:ascii="Arial" w:hAnsi="Arial" w:cs="Arial"/>
          <w:sz w:val="24"/>
          <w:szCs w:val="24"/>
        </w:rPr>
        <w:t xml:space="preserve">                  </w:t>
      </w:r>
      <w:r w:rsidRPr="002D13A0">
        <w:rPr>
          <w:rFonts w:ascii="Arial" w:hAnsi="Arial" w:cs="Arial"/>
          <w:sz w:val="24"/>
          <w:szCs w:val="24"/>
        </w:rPr>
        <w:t>č. 277/2012 Z.z.</w:t>
      </w:r>
      <w:r w:rsidR="00BB7DF7">
        <w:rPr>
          <w:rFonts w:ascii="Arial" w:hAnsi="Arial" w:cs="Arial"/>
          <w:sz w:val="24"/>
          <w:szCs w:val="24"/>
        </w:rPr>
        <w:t xml:space="preserve"> v znení vyhlášky č. 234/2016 Z.z.</w:t>
      </w:r>
      <w:r w:rsidRPr="002D13A0">
        <w:rPr>
          <w:rFonts w:ascii="Arial" w:hAnsi="Arial" w:cs="Arial"/>
          <w:sz w:val="24"/>
          <w:szCs w:val="24"/>
        </w:rPr>
        <w:t xml:space="preserve">. </w:t>
      </w:r>
    </w:p>
    <w:p w:rsidR="005568B1" w:rsidRPr="002D13A0" w:rsidRDefault="005568B1" w:rsidP="003F183D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Za rok 201</w:t>
      </w:r>
      <w:r w:rsidR="00F83780">
        <w:rPr>
          <w:rFonts w:ascii="Arial" w:hAnsi="Arial" w:cs="Arial"/>
          <w:sz w:val="24"/>
          <w:szCs w:val="24"/>
        </w:rPr>
        <w:t>7</w:t>
      </w:r>
      <w:r w:rsidRPr="002D13A0">
        <w:rPr>
          <w:rFonts w:ascii="Arial" w:hAnsi="Arial" w:cs="Arial"/>
          <w:sz w:val="24"/>
          <w:szCs w:val="24"/>
        </w:rPr>
        <w:t xml:space="preserve"> dosiahla spoločnosť BYTTERM, a.s. výslednú hodnotu dosiahnutej úrovne kvality 100 %, čo </w:t>
      </w:r>
      <w:r w:rsidR="00F83780">
        <w:rPr>
          <w:rFonts w:ascii="Arial" w:hAnsi="Arial" w:cs="Arial"/>
          <w:sz w:val="24"/>
          <w:szCs w:val="24"/>
        </w:rPr>
        <w:t>je rovnaká úroveň kvality ako bola dosiahnutá v roku 2016</w:t>
      </w:r>
      <w:r w:rsidRPr="002D13A0">
        <w:rPr>
          <w:rFonts w:ascii="Arial" w:hAnsi="Arial" w:cs="Arial"/>
          <w:sz w:val="24"/>
          <w:szCs w:val="24"/>
        </w:rPr>
        <w:t xml:space="preserve"> . </w:t>
      </w:r>
      <w:r w:rsidR="00F8642E">
        <w:rPr>
          <w:rFonts w:ascii="Arial" w:hAnsi="Arial" w:cs="Arial"/>
          <w:sz w:val="24"/>
          <w:szCs w:val="24"/>
        </w:rPr>
        <w:t xml:space="preserve">V roku 2017 preto nemuseli byť </w:t>
      </w:r>
      <w:r w:rsidR="00BB7DF7">
        <w:rPr>
          <w:rFonts w:ascii="Arial" w:hAnsi="Arial" w:cs="Arial"/>
          <w:sz w:val="24"/>
          <w:szCs w:val="24"/>
        </w:rPr>
        <w:t xml:space="preserve">odberateľom </w:t>
      </w:r>
      <w:r w:rsidR="00F8642E">
        <w:rPr>
          <w:rFonts w:ascii="Arial" w:hAnsi="Arial" w:cs="Arial"/>
          <w:sz w:val="24"/>
          <w:szCs w:val="24"/>
        </w:rPr>
        <w:t>vyplatené žiadne kompenzačné platby.</w:t>
      </w:r>
    </w:p>
    <w:p w:rsidR="005568B1" w:rsidRDefault="005568B1" w:rsidP="003F183D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Celkovo bolo počas roka 201</w:t>
      </w:r>
      <w:r w:rsidR="00F83780">
        <w:rPr>
          <w:rFonts w:ascii="Arial" w:hAnsi="Arial" w:cs="Arial"/>
          <w:sz w:val="24"/>
          <w:szCs w:val="24"/>
        </w:rPr>
        <w:t>7</w:t>
      </w:r>
      <w:r w:rsidRPr="002D13A0">
        <w:rPr>
          <w:rFonts w:ascii="Arial" w:hAnsi="Arial" w:cs="Arial"/>
          <w:sz w:val="24"/>
          <w:szCs w:val="24"/>
        </w:rPr>
        <w:t xml:space="preserve"> zaznamenaných </w:t>
      </w:r>
      <w:r w:rsidR="003C37D9">
        <w:rPr>
          <w:rFonts w:ascii="Arial" w:hAnsi="Arial" w:cs="Arial"/>
          <w:sz w:val="24"/>
          <w:szCs w:val="24"/>
        </w:rPr>
        <w:t xml:space="preserve">len </w:t>
      </w:r>
      <w:r w:rsidR="00F83780">
        <w:rPr>
          <w:rFonts w:ascii="Arial" w:hAnsi="Arial" w:cs="Arial"/>
          <w:sz w:val="24"/>
          <w:szCs w:val="24"/>
        </w:rPr>
        <w:t>46</w:t>
      </w:r>
      <w:r w:rsidRPr="002D13A0">
        <w:rPr>
          <w:rFonts w:ascii="Arial" w:hAnsi="Arial" w:cs="Arial"/>
          <w:sz w:val="24"/>
          <w:szCs w:val="24"/>
        </w:rPr>
        <w:t xml:space="preserve"> udalostí ovplyvňujúcich dodržiavanie štandardov kvality dodávaného tepla  a služieb poskytovaných pri jeho dodávke, čo je o </w:t>
      </w:r>
      <w:r w:rsidR="00F83780">
        <w:rPr>
          <w:rFonts w:ascii="Arial" w:hAnsi="Arial" w:cs="Arial"/>
          <w:sz w:val="24"/>
          <w:szCs w:val="24"/>
        </w:rPr>
        <w:t>127</w:t>
      </w:r>
      <w:r w:rsidRPr="002D13A0">
        <w:rPr>
          <w:rFonts w:ascii="Arial" w:hAnsi="Arial" w:cs="Arial"/>
          <w:sz w:val="24"/>
          <w:szCs w:val="24"/>
        </w:rPr>
        <w:t xml:space="preserve"> </w:t>
      </w:r>
      <w:r w:rsidR="00F83780">
        <w:rPr>
          <w:rFonts w:ascii="Arial" w:hAnsi="Arial" w:cs="Arial"/>
          <w:sz w:val="24"/>
          <w:szCs w:val="24"/>
        </w:rPr>
        <w:t>menej</w:t>
      </w:r>
      <w:r w:rsidRPr="002D13A0">
        <w:rPr>
          <w:rFonts w:ascii="Arial" w:hAnsi="Arial" w:cs="Arial"/>
          <w:sz w:val="24"/>
          <w:szCs w:val="24"/>
        </w:rPr>
        <w:t xml:space="preserve"> ako v roku 201</w:t>
      </w:r>
      <w:r w:rsidR="00F83780">
        <w:rPr>
          <w:rFonts w:ascii="Arial" w:hAnsi="Arial" w:cs="Arial"/>
          <w:sz w:val="24"/>
          <w:szCs w:val="24"/>
        </w:rPr>
        <w:t>6</w:t>
      </w:r>
      <w:r w:rsidRPr="002D13A0">
        <w:rPr>
          <w:rFonts w:ascii="Arial" w:hAnsi="Arial" w:cs="Arial"/>
          <w:sz w:val="24"/>
          <w:szCs w:val="24"/>
        </w:rPr>
        <w:t>.</w:t>
      </w:r>
    </w:p>
    <w:p w:rsidR="003F183D" w:rsidRPr="002D13A0" w:rsidRDefault="003F183D" w:rsidP="003F183D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</w:p>
    <w:p w:rsidR="005568B1" w:rsidRDefault="005568B1" w:rsidP="006C72AC">
      <w:pPr>
        <w:spacing w:line="276" w:lineRule="auto"/>
        <w:ind w:right="563"/>
        <w:jc w:val="both"/>
        <w:rPr>
          <w:rFonts w:ascii="Times New Roman" w:hAnsi="Times New Roman" w:cs="Times New Roman"/>
          <w:sz w:val="24"/>
          <w:szCs w:val="24"/>
        </w:rPr>
      </w:pPr>
    </w:p>
    <w:p w:rsidR="005568B1" w:rsidRDefault="00F83780" w:rsidP="006C72AC">
      <w:pPr>
        <w:spacing w:line="276" w:lineRule="auto"/>
        <w:jc w:val="both"/>
        <w:rPr>
          <w:rFonts w:ascii="Arial" w:hAnsi="Arial" w:cs="Arial"/>
          <w:b/>
          <w:smallCaps/>
          <w:color w:val="538135" w:themeColor="accent6" w:themeShade="BF"/>
          <w:sz w:val="32"/>
          <w:szCs w:val="32"/>
        </w:rPr>
      </w:pPr>
      <w:r w:rsidRPr="00F83780">
        <w:rPr>
          <w:rFonts w:ascii="Arial" w:hAnsi="Arial" w:cs="Arial"/>
          <w:b/>
          <w:smallCaps/>
          <w:noProof/>
          <w:color w:val="538135" w:themeColor="accent6" w:themeShade="BF"/>
          <w:sz w:val="32"/>
          <w:szCs w:val="32"/>
          <w:lang w:eastAsia="sk-SK"/>
        </w:rPr>
        <w:drawing>
          <wp:inline distT="0" distB="0" distL="0" distR="0">
            <wp:extent cx="5758172" cy="3095625"/>
            <wp:effectExtent l="0" t="0" r="0" b="0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lum bright="20000" contrast="-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04" cy="30969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b/>
          <w:smallCaps/>
          <w:color w:val="538135" w:themeColor="accent6" w:themeShade="BF"/>
          <w:sz w:val="32"/>
          <w:szCs w:val="32"/>
        </w:rPr>
      </w:pPr>
    </w:p>
    <w:p w:rsidR="005568B1" w:rsidRPr="008F2DF7" w:rsidRDefault="005568B1" w:rsidP="006C72AC">
      <w:pPr>
        <w:spacing w:line="276" w:lineRule="auto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 w:rsidRPr="008F2DF7">
        <w:rPr>
          <w:rFonts w:ascii="Arial" w:hAnsi="Arial" w:cs="Arial"/>
          <w:smallCaps/>
          <w:color w:val="538135" w:themeColor="accent6" w:themeShade="BF"/>
          <w:sz w:val="36"/>
          <w:szCs w:val="36"/>
        </w:rPr>
        <w:lastRenderedPageBreak/>
        <w:t>nákup a predaj tepla</w:t>
      </w:r>
    </w:p>
    <w:p w:rsidR="005568B1" w:rsidRPr="002D13A0" w:rsidRDefault="005568B1" w:rsidP="006C72AC">
      <w:pPr>
        <w:spacing w:line="276" w:lineRule="auto"/>
        <w:rPr>
          <w:rFonts w:ascii="Arial" w:hAnsi="Arial" w:cs="Arial"/>
          <w:b/>
          <w:color w:val="2F5496" w:themeColor="accent5" w:themeShade="BF"/>
          <w:sz w:val="28"/>
          <w:szCs w:val="28"/>
        </w:rPr>
      </w:pPr>
      <w:r w:rsidRPr="002D13A0">
        <w:rPr>
          <w:rFonts w:ascii="Arial" w:hAnsi="Arial" w:cs="Arial"/>
          <w:b/>
          <w:color w:val="2F5496" w:themeColor="accent5" w:themeShade="BF"/>
          <w:sz w:val="28"/>
          <w:szCs w:val="28"/>
        </w:rPr>
        <w:t>Nákup tepla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V roku 201</w:t>
      </w:r>
      <w:r w:rsidR="00F8642E">
        <w:rPr>
          <w:rFonts w:ascii="Arial" w:hAnsi="Arial" w:cs="Arial"/>
          <w:sz w:val="24"/>
          <w:szCs w:val="24"/>
        </w:rPr>
        <w:t>7</w:t>
      </w:r>
      <w:r w:rsidRPr="002D13A0">
        <w:rPr>
          <w:rFonts w:ascii="Arial" w:hAnsi="Arial" w:cs="Arial"/>
          <w:sz w:val="24"/>
          <w:szCs w:val="24"/>
        </w:rPr>
        <w:t xml:space="preserve"> bolo zo Žilinskej teplárenskej, a. s. nakúpené teplo v objeme  </w:t>
      </w:r>
      <w:r w:rsidR="00F8642E">
        <w:rPr>
          <w:rFonts w:ascii="Arial" w:hAnsi="Arial" w:cs="Arial"/>
          <w:sz w:val="24"/>
          <w:szCs w:val="24"/>
        </w:rPr>
        <w:t>153 640 697,26</w:t>
      </w:r>
      <w:r w:rsidRPr="002D13A0">
        <w:rPr>
          <w:rFonts w:ascii="Arial" w:hAnsi="Arial" w:cs="Arial"/>
          <w:sz w:val="24"/>
          <w:szCs w:val="24"/>
        </w:rPr>
        <w:t xml:space="preserve"> kWh. V porovnaní s plánovaným nákupom tepla vo výške  </w:t>
      </w:r>
      <w:r w:rsidR="00F8642E">
        <w:rPr>
          <w:rFonts w:ascii="Arial" w:hAnsi="Arial" w:cs="Arial"/>
          <w:sz w:val="24"/>
          <w:szCs w:val="24"/>
        </w:rPr>
        <w:t xml:space="preserve">         153 902 942</w:t>
      </w:r>
      <w:r w:rsidRPr="002D13A0">
        <w:rPr>
          <w:rFonts w:ascii="Arial" w:hAnsi="Arial" w:cs="Arial"/>
          <w:sz w:val="24"/>
          <w:szCs w:val="24"/>
        </w:rPr>
        <w:t xml:space="preserve"> kWh  je to nečerpanie o</w:t>
      </w:r>
      <w:r w:rsidR="00F8642E">
        <w:rPr>
          <w:rFonts w:ascii="Arial" w:hAnsi="Arial" w:cs="Arial"/>
          <w:sz w:val="24"/>
          <w:szCs w:val="24"/>
        </w:rPr>
        <w:t> 0,17</w:t>
      </w:r>
      <w:r w:rsidRPr="002D13A0">
        <w:rPr>
          <w:rFonts w:ascii="Arial" w:hAnsi="Arial" w:cs="Arial"/>
          <w:sz w:val="24"/>
          <w:szCs w:val="24"/>
        </w:rPr>
        <w:t xml:space="preserve"> %. Medziročne nákup tepla </w:t>
      </w:r>
      <w:r w:rsidR="00F8642E">
        <w:rPr>
          <w:rFonts w:ascii="Arial" w:hAnsi="Arial" w:cs="Arial"/>
          <w:sz w:val="24"/>
          <w:szCs w:val="24"/>
        </w:rPr>
        <w:t>poklesol</w:t>
      </w:r>
      <w:r w:rsidRPr="002D13A0">
        <w:rPr>
          <w:rFonts w:ascii="Arial" w:hAnsi="Arial" w:cs="Arial"/>
          <w:sz w:val="24"/>
          <w:szCs w:val="24"/>
        </w:rPr>
        <w:t xml:space="preserve"> o</w:t>
      </w:r>
      <w:r w:rsidR="00F8642E">
        <w:rPr>
          <w:rFonts w:ascii="Arial" w:hAnsi="Arial" w:cs="Arial"/>
          <w:sz w:val="24"/>
          <w:szCs w:val="24"/>
        </w:rPr>
        <w:t> 310 480,75</w:t>
      </w:r>
      <w:r w:rsidRPr="002D13A0">
        <w:rPr>
          <w:rFonts w:ascii="Arial" w:hAnsi="Arial" w:cs="Arial"/>
          <w:sz w:val="24"/>
          <w:szCs w:val="24"/>
        </w:rPr>
        <w:t xml:space="preserve"> kWh, t.j. o 0,</w:t>
      </w:r>
      <w:r w:rsidR="00F8642E">
        <w:rPr>
          <w:rFonts w:ascii="Arial" w:hAnsi="Arial" w:cs="Arial"/>
          <w:sz w:val="24"/>
          <w:szCs w:val="24"/>
        </w:rPr>
        <w:t xml:space="preserve">2 </w:t>
      </w:r>
      <w:r w:rsidRPr="002D13A0">
        <w:rPr>
          <w:rFonts w:ascii="Arial" w:hAnsi="Arial" w:cs="Arial"/>
          <w:sz w:val="24"/>
          <w:szCs w:val="24"/>
        </w:rPr>
        <w:t xml:space="preserve">%. </w:t>
      </w:r>
      <w:r w:rsidR="00C95997">
        <w:rPr>
          <w:rFonts w:ascii="Arial" w:hAnsi="Arial" w:cs="Arial"/>
          <w:sz w:val="24"/>
          <w:szCs w:val="24"/>
        </w:rPr>
        <w:t>Nákup plynu sa v roku 2017 realizoval v objeme 2 940 594 m3, čo je oproti predchádzajúcemu roku nárast objemu nakupovaného plynu o 42 850 m3, t.j. o 1,48 %.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Spotrebované teplo odberných staníc tepla k predanému teplu, t.j. celková strata je v roku 201</w:t>
      </w:r>
      <w:r w:rsidR="00F8642E">
        <w:rPr>
          <w:rFonts w:ascii="Arial" w:hAnsi="Arial" w:cs="Arial"/>
          <w:sz w:val="24"/>
          <w:szCs w:val="24"/>
        </w:rPr>
        <w:t>7</w:t>
      </w:r>
      <w:r w:rsidRPr="002D13A0">
        <w:rPr>
          <w:rFonts w:ascii="Arial" w:hAnsi="Arial" w:cs="Arial"/>
          <w:sz w:val="24"/>
          <w:szCs w:val="24"/>
        </w:rPr>
        <w:t xml:space="preserve"> na nízkej úrovni </w:t>
      </w:r>
      <w:r w:rsidR="00F8642E">
        <w:rPr>
          <w:rFonts w:ascii="Arial" w:hAnsi="Arial" w:cs="Arial"/>
          <w:sz w:val="24"/>
          <w:szCs w:val="24"/>
        </w:rPr>
        <w:t>2,82</w:t>
      </w:r>
      <w:r w:rsidRPr="002D13A0">
        <w:rPr>
          <w:rFonts w:ascii="Arial" w:hAnsi="Arial" w:cs="Arial"/>
          <w:sz w:val="24"/>
          <w:szCs w:val="24"/>
        </w:rPr>
        <w:t xml:space="preserve"> %. Oproti roku 201</w:t>
      </w:r>
      <w:r w:rsidR="00F8642E">
        <w:rPr>
          <w:rFonts w:ascii="Arial" w:hAnsi="Arial" w:cs="Arial"/>
          <w:sz w:val="24"/>
          <w:szCs w:val="24"/>
        </w:rPr>
        <w:t>6</w:t>
      </w:r>
      <w:r w:rsidRPr="002D13A0">
        <w:rPr>
          <w:rFonts w:ascii="Arial" w:hAnsi="Arial" w:cs="Arial"/>
          <w:sz w:val="24"/>
          <w:szCs w:val="24"/>
        </w:rPr>
        <w:t xml:space="preserve"> je to o 0,</w:t>
      </w:r>
      <w:r w:rsidR="00F8642E">
        <w:rPr>
          <w:rFonts w:ascii="Arial" w:hAnsi="Arial" w:cs="Arial"/>
          <w:sz w:val="24"/>
          <w:szCs w:val="24"/>
        </w:rPr>
        <w:t>26</w:t>
      </w:r>
      <w:r w:rsidRPr="002D13A0">
        <w:rPr>
          <w:rFonts w:ascii="Arial" w:hAnsi="Arial" w:cs="Arial"/>
          <w:sz w:val="24"/>
          <w:szCs w:val="24"/>
        </w:rPr>
        <w:t xml:space="preserve"> p. b. </w:t>
      </w:r>
      <w:r w:rsidR="00F8642E">
        <w:rPr>
          <w:rFonts w:ascii="Arial" w:hAnsi="Arial" w:cs="Arial"/>
          <w:sz w:val="24"/>
          <w:szCs w:val="24"/>
        </w:rPr>
        <w:t>nižšia</w:t>
      </w:r>
      <w:r w:rsidRPr="002D13A0">
        <w:rPr>
          <w:rFonts w:ascii="Arial" w:hAnsi="Arial" w:cs="Arial"/>
          <w:sz w:val="24"/>
          <w:szCs w:val="24"/>
        </w:rPr>
        <w:t xml:space="preserve"> strata. </w:t>
      </w:r>
    </w:p>
    <w:p w:rsidR="0016723A" w:rsidRPr="00606585" w:rsidRDefault="00C95997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sk-SK"/>
        </w:rPr>
        <w:drawing>
          <wp:inline distT="0" distB="0" distL="0" distR="0">
            <wp:extent cx="5803900" cy="2103120"/>
            <wp:effectExtent l="0" t="0" r="6350" b="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21031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568B1" w:rsidRDefault="005568B1" w:rsidP="006C72A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</w:rPr>
      </w:pPr>
    </w:p>
    <w:p w:rsidR="006C72AC" w:rsidRDefault="005568B1" w:rsidP="006C72A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2D13A0">
        <w:rPr>
          <w:rFonts w:ascii="Arial" w:hAnsi="Arial" w:cs="Arial"/>
          <w:sz w:val="24"/>
          <w:szCs w:val="24"/>
        </w:rPr>
        <w:t>Spotreba tepla je oproti roku 201</w:t>
      </w:r>
      <w:r w:rsidR="00F8642E">
        <w:rPr>
          <w:rFonts w:ascii="Arial" w:hAnsi="Arial" w:cs="Arial"/>
          <w:sz w:val="24"/>
          <w:szCs w:val="24"/>
        </w:rPr>
        <w:t>6</w:t>
      </w:r>
      <w:r w:rsidRPr="002D13A0">
        <w:rPr>
          <w:rFonts w:ascii="Arial" w:hAnsi="Arial" w:cs="Arial"/>
          <w:sz w:val="24"/>
          <w:szCs w:val="24"/>
        </w:rPr>
        <w:t xml:space="preserve"> vyššia najmä pre </w:t>
      </w:r>
      <w:r w:rsidR="00106E7D">
        <w:rPr>
          <w:rFonts w:ascii="Arial" w:hAnsi="Arial" w:cs="Arial"/>
          <w:sz w:val="24"/>
          <w:szCs w:val="24"/>
        </w:rPr>
        <w:t xml:space="preserve">výrazne </w:t>
      </w:r>
      <w:r w:rsidR="00C221A9">
        <w:rPr>
          <w:rFonts w:ascii="Arial" w:hAnsi="Arial" w:cs="Arial"/>
          <w:sz w:val="24"/>
          <w:szCs w:val="24"/>
        </w:rPr>
        <w:t>horšie</w:t>
      </w:r>
      <w:r w:rsidRPr="002D13A0">
        <w:rPr>
          <w:rFonts w:ascii="Arial" w:hAnsi="Arial" w:cs="Arial"/>
          <w:sz w:val="24"/>
          <w:szCs w:val="24"/>
        </w:rPr>
        <w:t xml:space="preserve"> klimatické podmienky. V </w:t>
      </w:r>
      <w:r w:rsidR="00CF5165" w:rsidRPr="002D13A0">
        <w:rPr>
          <w:rFonts w:ascii="Arial" w:hAnsi="Arial" w:cs="Arial"/>
          <w:sz w:val="24"/>
          <w:szCs w:val="24"/>
          <w:lang w:val="cs-CZ"/>
        </w:rPr>
        <w:t>roku 201</w:t>
      </w:r>
      <w:r w:rsidR="00CF5165">
        <w:rPr>
          <w:rFonts w:ascii="Arial" w:hAnsi="Arial" w:cs="Arial"/>
          <w:sz w:val="24"/>
          <w:szCs w:val="24"/>
          <w:lang w:val="cs-CZ"/>
        </w:rPr>
        <w:t>6</w:t>
      </w:r>
      <w:r w:rsidR="00CF5165" w:rsidRPr="00CF5165">
        <w:rPr>
          <w:rFonts w:ascii="Arial" w:hAnsi="Arial" w:cs="Arial"/>
          <w:sz w:val="24"/>
          <w:szCs w:val="24"/>
        </w:rPr>
        <w:t xml:space="preserve"> </w:t>
      </w:r>
      <w:r w:rsidR="00CF5165" w:rsidRPr="002D13A0">
        <w:rPr>
          <w:rFonts w:ascii="Arial" w:hAnsi="Arial" w:cs="Arial"/>
          <w:sz w:val="24"/>
          <w:szCs w:val="24"/>
        </w:rPr>
        <w:t>bolo nameraných</w:t>
      </w:r>
      <w:r w:rsidR="00CF5165" w:rsidRPr="002D13A0">
        <w:rPr>
          <w:rFonts w:ascii="Arial" w:hAnsi="Arial" w:cs="Arial"/>
          <w:sz w:val="24"/>
          <w:szCs w:val="24"/>
          <w:lang w:val="cs-CZ"/>
        </w:rPr>
        <w:t xml:space="preserve"> 3 </w:t>
      </w:r>
      <w:r w:rsidR="00CF5165">
        <w:rPr>
          <w:rFonts w:ascii="Arial" w:hAnsi="Arial" w:cs="Arial"/>
          <w:sz w:val="24"/>
          <w:szCs w:val="24"/>
          <w:lang w:val="cs-CZ"/>
        </w:rPr>
        <w:t>326</w:t>
      </w:r>
      <w:r w:rsidR="00CF5165" w:rsidRPr="002D13A0">
        <w:rPr>
          <w:rFonts w:ascii="Arial" w:hAnsi="Arial" w:cs="Arial"/>
          <w:sz w:val="24"/>
          <w:szCs w:val="24"/>
          <w:lang w:val="cs-CZ"/>
        </w:rPr>
        <w:t xml:space="preserve"> D°</w:t>
      </w:r>
      <w:r w:rsidR="00C221A9">
        <w:rPr>
          <w:rFonts w:ascii="Arial" w:hAnsi="Arial" w:cs="Arial"/>
          <w:sz w:val="24"/>
          <w:szCs w:val="24"/>
          <w:lang w:val="cs-CZ"/>
        </w:rPr>
        <w:t xml:space="preserve"> (dennostupňov)</w:t>
      </w:r>
      <w:r w:rsidR="00CF5165">
        <w:rPr>
          <w:rFonts w:ascii="Arial" w:hAnsi="Arial" w:cs="Arial"/>
          <w:sz w:val="24"/>
          <w:szCs w:val="24"/>
          <w:lang w:val="cs-CZ"/>
        </w:rPr>
        <w:t xml:space="preserve">, v </w:t>
      </w:r>
      <w:r w:rsidRPr="002D13A0">
        <w:rPr>
          <w:rFonts w:ascii="Arial" w:hAnsi="Arial" w:cs="Arial"/>
          <w:sz w:val="24"/>
          <w:szCs w:val="24"/>
        </w:rPr>
        <w:t>roku 201</w:t>
      </w:r>
      <w:r w:rsidR="00F8642E">
        <w:rPr>
          <w:rFonts w:ascii="Arial" w:hAnsi="Arial" w:cs="Arial"/>
          <w:sz w:val="24"/>
          <w:szCs w:val="24"/>
        </w:rPr>
        <w:t>7</w:t>
      </w:r>
      <w:r w:rsidR="00CF5165" w:rsidRPr="00CF5165">
        <w:rPr>
          <w:rFonts w:ascii="Arial" w:hAnsi="Arial" w:cs="Arial"/>
          <w:sz w:val="24"/>
          <w:szCs w:val="24"/>
          <w:lang w:val="cs-CZ"/>
        </w:rPr>
        <w:t xml:space="preserve"> </w:t>
      </w:r>
      <w:r w:rsidR="00CF5165" w:rsidRPr="002D13A0">
        <w:rPr>
          <w:rFonts w:ascii="Arial" w:hAnsi="Arial" w:cs="Arial"/>
          <w:sz w:val="24"/>
          <w:szCs w:val="24"/>
          <w:lang w:val="cs-CZ"/>
        </w:rPr>
        <w:t>to bolo</w:t>
      </w:r>
      <w:r w:rsidRPr="002D13A0">
        <w:rPr>
          <w:rFonts w:ascii="Arial" w:hAnsi="Arial" w:cs="Arial"/>
          <w:sz w:val="24"/>
          <w:szCs w:val="24"/>
        </w:rPr>
        <w:t xml:space="preserve"> 3 </w:t>
      </w:r>
      <w:r w:rsidR="00F8642E">
        <w:rPr>
          <w:rFonts w:ascii="Arial" w:hAnsi="Arial" w:cs="Arial"/>
          <w:sz w:val="24"/>
          <w:szCs w:val="24"/>
        </w:rPr>
        <w:t>628</w:t>
      </w:r>
      <w:r w:rsidRPr="002D13A0">
        <w:rPr>
          <w:rFonts w:ascii="Arial" w:hAnsi="Arial" w:cs="Arial"/>
          <w:sz w:val="24"/>
          <w:szCs w:val="24"/>
        </w:rPr>
        <w:t xml:space="preserve"> D</w:t>
      </w:r>
      <w:r w:rsidRPr="002D13A0">
        <w:rPr>
          <w:rFonts w:ascii="Arial" w:hAnsi="Arial" w:cs="Arial"/>
          <w:sz w:val="24"/>
          <w:szCs w:val="24"/>
          <w:lang w:val="cs-CZ"/>
        </w:rPr>
        <w:t xml:space="preserve">°, </w:t>
      </w:r>
      <w:r w:rsidR="00CF5165">
        <w:rPr>
          <w:rFonts w:ascii="Arial" w:hAnsi="Arial" w:cs="Arial"/>
          <w:sz w:val="24"/>
          <w:szCs w:val="24"/>
          <w:lang w:val="cs-CZ"/>
        </w:rPr>
        <w:t xml:space="preserve">t.j. o 302 </w:t>
      </w:r>
      <w:r w:rsidR="00CF5165" w:rsidRPr="002D13A0">
        <w:rPr>
          <w:rFonts w:ascii="Arial" w:hAnsi="Arial" w:cs="Arial"/>
          <w:sz w:val="24"/>
          <w:szCs w:val="24"/>
          <w:lang w:val="cs-CZ"/>
        </w:rPr>
        <w:t>D°</w:t>
      </w:r>
      <w:r w:rsidR="00CF5165">
        <w:rPr>
          <w:rFonts w:ascii="Arial" w:hAnsi="Arial" w:cs="Arial"/>
          <w:sz w:val="24"/>
          <w:szCs w:val="24"/>
          <w:lang w:val="cs-CZ"/>
        </w:rPr>
        <w:t xml:space="preserve"> viac.</w:t>
      </w:r>
    </w:p>
    <w:p w:rsidR="005568B1" w:rsidRPr="002D13A0" w:rsidRDefault="005568B1" w:rsidP="006C72A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2D13A0">
        <w:rPr>
          <w:rFonts w:ascii="Arial" w:hAnsi="Arial" w:cs="Arial"/>
          <w:sz w:val="24"/>
          <w:szCs w:val="24"/>
          <w:lang w:val="cs-CZ"/>
        </w:rPr>
        <w:t xml:space="preserve"> </w:t>
      </w:r>
    </w:p>
    <w:p w:rsidR="005568B1" w:rsidRPr="0053492C" w:rsidRDefault="00F8642E" w:rsidP="006C72A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lang w:val="cs-CZ"/>
        </w:rPr>
      </w:pPr>
      <w:r>
        <w:rPr>
          <w:rFonts w:ascii="Arial" w:hAnsi="Arial" w:cs="Arial"/>
          <w:noProof/>
          <w:lang w:eastAsia="sk-SK"/>
        </w:rPr>
        <w:drawing>
          <wp:inline distT="0" distB="0" distL="0" distR="0">
            <wp:extent cx="5553710" cy="2560320"/>
            <wp:effectExtent l="0" t="0" r="889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3710" cy="25603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568B1" w:rsidRPr="002D13A0" w:rsidRDefault="005568B1" w:rsidP="006C72AC">
      <w:pPr>
        <w:spacing w:line="276" w:lineRule="auto"/>
        <w:rPr>
          <w:rFonts w:ascii="Arial" w:hAnsi="Arial" w:cs="Arial"/>
          <w:b/>
          <w:color w:val="2F5496" w:themeColor="accent5" w:themeShade="BF"/>
          <w:sz w:val="28"/>
          <w:szCs w:val="28"/>
        </w:rPr>
      </w:pPr>
      <w:r w:rsidRPr="002D13A0">
        <w:rPr>
          <w:rFonts w:ascii="Arial" w:hAnsi="Arial" w:cs="Arial"/>
          <w:b/>
          <w:color w:val="2F5496" w:themeColor="accent5" w:themeShade="BF"/>
          <w:sz w:val="28"/>
          <w:szCs w:val="28"/>
        </w:rPr>
        <w:lastRenderedPageBreak/>
        <w:t>Predaj tepla</w:t>
      </w:r>
    </w:p>
    <w:p w:rsidR="005568B1" w:rsidRPr="002D13A0" w:rsidRDefault="005568B1" w:rsidP="006C72A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Cena tepla je v zmysle zákona č. 250/2012 Z. z. o regulácii v sieťových odvetviach a príslušnej legislatívy ÚRSO regulovaná. Pri fakturácii tržieb za teplo sa používa dvojzložková cena zložená z variabilnej a fixnej zložky. Variabilná zložka maximálnej ceny tepla sa fakturuje za namerané množstvo tepla na odbernom mieste a fixná zložka maximálnej ceny tepla sa fakturuje za objednané množstvo tepla (regulačný príkon).</w:t>
      </w:r>
    </w:p>
    <w:tbl>
      <w:tblPr>
        <w:tblW w:w="0" w:type="auto"/>
        <w:tblInd w:w="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0"/>
        <w:gridCol w:w="1686"/>
        <w:gridCol w:w="1451"/>
        <w:gridCol w:w="1450"/>
      </w:tblGrid>
      <w:tr w:rsidR="005568B1" w:rsidRPr="0080400E" w:rsidTr="00FD436F">
        <w:trPr>
          <w:trHeight w:val="308"/>
        </w:trPr>
        <w:tc>
          <w:tcPr>
            <w:tcW w:w="43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BFBFBF" w:themeFill="background1" w:themeFillShade="BF"/>
            <w:noWrap/>
            <w:vAlign w:val="bottom"/>
          </w:tcPr>
          <w:p w:rsidR="005568B1" w:rsidRPr="0080400E" w:rsidRDefault="005568B1" w:rsidP="006C72AC">
            <w:pPr>
              <w:spacing w:after="0" w:line="276" w:lineRule="auto"/>
              <w:rPr>
                <w:rFonts w:ascii="Times New Roman" w:hAnsi="Times New Roman" w:cs="Arial"/>
                <w:bCs/>
                <w:sz w:val="24"/>
                <w:lang w:eastAsia="sk-SK"/>
              </w:rPr>
            </w:pPr>
            <w:r w:rsidRPr="0080400E">
              <w:rPr>
                <w:rFonts w:ascii="Times New Roman" w:hAnsi="Times New Roman" w:cs="Arial"/>
                <w:b/>
                <w:bCs/>
                <w:sz w:val="24"/>
                <w:lang w:eastAsia="sk-SK"/>
              </w:rPr>
              <w:t>variabilná zložka ceny</w:t>
            </w:r>
            <w:r w:rsidRPr="0080400E">
              <w:rPr>
                <w:rFonts w:ascii="Times New Roman" w:hAnsi="Times New Roman" w:cs="Arial"/>
                <w:sz w:val="24"/>
                <w:lang w:eastAsia="sk-SK"/>
              </w:rPr>
              <w:t xml:space="preserve"> (EUR/kWh)</w:t>
            </w:r>
          </w:p>
        </w:tc>
        <w:tc>
          <w:tcPr>
            <w:tcW w:w="1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538135" w:themeFill="accent6" w:themeFillShade="BF"/>
            <w:noWrap/>
            <w:vAlign w:val="bottom"/>
          </w:tcPr>
          <w:p w:rsidR="005568B1" w:rsidRPr="0080400E" w:rsidRDefault="00C2747E" w:rsidP="006C72AC">
            <w:pPr>
              <w:spacing w:after="0" w:line="276" w:lineRule="auto"/>
              <w:jc w:val="right"/>
              <w:rPr>
                <w:rFonts w:ascii="Times New Roman" w:hAnsi="Times New Roman" w:cs="Arial"/>
                <w:bCs/>
                <w:color w:val="FFFFFF" w:themeColor="background1"/>
                <w:sz w:val="24"/>
                <w:lang w:eastAsia="sk-SK"/>
              </w:rPr>
            </w:pPr>
            <w:r>
              <w:rPr>
                <w:rFonts w:ascii="Times New Roman" w:hAnsi="Times New Roman" w:cs="Arial"/>
                <w:bCs/>
                <w:color w:val="FFFFFF" w:themeColor="background1"/>
                <w:sz w:val="24"/>
                <w:lang w:eastAsia="sk-SK"/>
              </w:rPr>
              <w:t>2015</w:t>
            </w:r>
          </w:p>
        </w:tc>
        <w:tc>
          <w:tcPr>
            <w:tcW w:w="14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538135" w:themeFill="accent6" w:themeFillShade="BF"/>
            <w:noWrap/>
            <w:vAlign w:val="bottom"/>
          </w:tcPr>
          <w:p w:rsidR="005568B1" w:rsidRPr="0080400E" w:rsidRDefault="00C2747E" w:rsidP="006C72AC">
            <w:pPr>
              <w:spacing w:after="0" w:line="276" w:lineRule="auto"/>
              <w:jc w:val="right"/>
              <w:rPr>
                <w:rFonts w:ascii="Times New Roman" w:hAnsi="Times New Roman" w:cs="Arial"/>
                <w:bCs/>
                <w:color w:val="FFFFFF" w:themeColor="background1"/>
                <w:sz w:val="24"/>
                <w:lang w:eastAsia="sk-SK"/>
              </w:rPr>
            </w:pPr>
            <w:r>
              <w:rPr>
                <w:rFonts w:ascii="Times New Roman" w:hAnsi="Times New Roman" w:cs="Arial"/>
                <w:bCs/>
                <w:color w:val="FFFFFF" w:themeColor="background1"/>
                <w:sz w:val="24"/>
                <w:lang w:eastAsia="sk-SK"/>
              </w:rPr>
              <w:t>2016</w:t>
            </w:r>
          </w:p>
        </w:tc>
        <w:tc>
          <w:tcPr>
            <w:tcW w:w="14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538135" w:themeFill="accent6" w:themeFillShade="BF"/>
            <w:noWrap/>
            <w:vAlign w:val="bottom"/>
          </w:tcPr>
          <w:p w:rsidR="005568B1" w:rsidRPr="0080400E" w:rsidRDefault="00C2747E" w:rsidP="006C72AC">
            <w:pPr>
              <w:spacing w:after="0" w:line="276" w:lineRule="auto"/>
              <w:jc w:val="right"/>
              <w:rPr>
                <w:rFonts w:ascii="Times New Roman" w:hAnsi="Times New Roman" w:cs="Arial"/>
                <w:bCs/>
                <w:color w:val="FFFFFF" w:themeColor="background1"/>
                <w:sz w:val="24"/>
                <w:lang w:eastAsia="sk-SK"/>
              </w:rPr>
            </w:pPr>
            <w:r>
              <w:rPr>
                <w:rFonts w:ascii="Times New Roman" w:hAnsi="Times New Roman" w:cs="Arial"/>
                <w:bCs/>
                <w:color w:val="FFFFFF" w:themeColor="background1"/>
                <w:sz w:val="24"/>
                <w:lang w:eastAsia="sk-SK"/>
              </w:rPr>
              <w:t>2017</w:t>
            </w:r>
          </w:p>
        </w:tc>
      </w:tr>
      <w:tr w:rsidR="005568B1" w:rsidRPr="0080400E" w:rsidTr="00FD436F">
        <w:trPr>
          <w:trHeight w:val="291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80400E" w:rsidRDefault="005568B1" w:rsidP="006C72AC">
            <w:pPr>
              <w:spacing w:after="0" w:line="276" w:lineRule="auto"/>
              <w:rPr>
                <w:rFonts w:ascii="Times New Roman" w:hAnsi="Times New Roman" w:cs="Arial"/>
                <w:sz w:val="24"/>
                <w:lang w:eastAsia="sk-SK"/>
              </w:rPr>
            </w:pPr>
            <w:r w:rsidRPr="0080400E">
              <w:rPr>
                <w:rFonts w:ascii="Times New Roman" w:hAnsi="Times New Roman" w:cs="Arial"/>
                <w:sz w:val="24"/>
                <w:lang w:eastAsia="sk-SK"/>
              </w:rPr>
              <w:t>cena s DPH pre domácnosti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80400E" w:rsidRDefault="00C2747E" w:rsidP="006C72AC">
            <w:pPr>
              <w:spacing w:after="0" w:line="276" w:lineRule="auto"/>
              <w:jc w:val="right"/>
              <w:rPr>
                <w:rFonts w:ascii="Times New Roman" w:hAnsi="Times New Roman" w:cs="Arial"/>
                <w:sz w:val="24"/>
                <w:lang w:eastAsia="sk-SK"/>
              </w:rPr>
            </w:pPr>
            <w:r>
              <w:rPr>
                <w:rFonts w:ascii="Times New Roman" w:hAnsi="Times New Roman" w:cs="Arial"/>
                <w:sz w:val="24"/>
                <w:lang w:eastAsia="sk-SK"/>
              </w:rPr>
              <w:t>0,039360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80400E" w:rsidRDefault="00C2747E" w:rsidP="006C72AC">
            <w:pPr>
              <w:spacing w:after="0" w:line="276" w:lineRule="auto"/>
              <w:jc w:val="right"/>
              <w:rPr>
                <w:rFonts w:ascii="Times New Roman" w:hAnsi="Times New Roman" w:cs="Arial"/>
                <w:sz w:val="24"/>
                <w:lang w:eastAsia="sk-SK"/>
              </w:rPr>
            </w:pPr>
            <w:r>
              <w:rPr>
                <w:rFonts w:ascii="Times New Roman" w:hAnsi="Times New Roman" w:cs="Arial"/>
                <w:sz w:val="24"/>
                <w:lang w:eastAsia="sk-SK"/>
              </w:rPr>
              <w:t>0,039960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80400E" w:rsidRDefault="00C2747E" w:rsidP="006C72AC">
            <w:pPr>
              <w:spacing w:after="0" w:line="276" w:lineRule="auto"/>
              <w:jc w:val="right"/>
              <w:rPr>
                <w:rFonts w:ascii="Times New Roman" w:hAnsi="Times New Roman" w:cs="Arial"/>
                <w:sz w:val="24"/>
                <w:lang w:eastAsia="sk-SK"/>
              </w:rPr>
            </w:pPr>
            <w:r>
              <w:rPr>
                <w:rFonts w:ascii="Times New Roman" w:hAnsi="Times New Roman" w:cs="Arial"/>
                <w:sz w:val="24"/>
                <w:lang w:eastAsia="sk-SK"/>
              </w:rPr>
              <w:t>0,039720</w:t>
            </w:r>
          </w:p>
        </w:tc>
      </w:tr>
      <w:tr w:rsidR="005568B1" w:rsidRPr="0080400E" w:rsidTr="00FD436F">
        <w:trPr>
          <w:trHeight w:val="308"/>
        </w:trPr>
        <w:tc>
          <w:tcPr>
            <w:tcW w:w="43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80400E" w:rsidRDefault="005568B1" w:rsidP="006C72AC">
            <w:pPr>
              <w:spacing w:after="0" w:line="276" w:lineRule="auto"/>
              <w:rPr>
                <w:rFonts w:ascii="Times New Roman" w:hAnsi="Times New Roman" w:cs="Arial"/>
                <w:sz w:val="24"/>
                <w:lang w:eastAsia="sk-SK"/>
              </w:rPr>
            </w:pPr>
            <w:r w:rsidRPr="0080400E">
              <w:rPr>
                <w:rFonts w:ascii="Times New Roman" w:hAnsi="Times New Roman" w:cs="Arial"/>
                <w:sz w:val="24"/>
                <w:lang w:eastAsia="sk-SK"/>
              </w:rPr>
              <w:t>cena s DPH pre ostatných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80400E" w:rsidRDefault="00C2747E" w:rsidP="006C72AC">
            <w:pPr>
              <w:spacing w:after="0" w:line="276" w:lineRule="auto"/>
              <w:jc w:val="right"/>
              <w:rPr>
                <w:rFonts w:ascii="Times New Roman" w:hAnsi="Times New Roman" w:cs="Arial"/>
                <w:sz w:val="24"/>
                <w:lang w:eastAsia="sk-SK"/>
              </w:rPr>
            </w:pPr>
            <w:r>
              <w:rPr>
                <w:rFonts w:ascii="Times New Roman" w:hAnsi="Times New Roman" w:cs="Arial"/>
                <w:sz w:val="24"/>
                <w:lang w:eastAsia="sk-SK"/>
              </w:rPr>
              <w:t>0,039360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80400E" w:rsidRDefault="00C2747E" w:rsidP="006C72AC">
            <w:pPr>
              <w:spacing w:after="0" w:line="276" w:lineRule="auto"/>
              <w:jc w:val="right"/>
              <w:rPr>
                <w:rFonts w:ascii="Times New Roman" w:hAnsi="Times New Roman" w:cs="Arial"/>
                <w:sz w:val="24"/>
                <w:lang w:eastAsia="sk-SK"/>
              </w:rPr>
            </w:pPr>
            <w:r>
              <w:rPr>
                <w:rFonts w:ascii="Times New Roman" w:hAnsi="Times New Roman" w:cs="Arial"/>
                <w:sz w:val="24"/>
                <w:lang w:eastAsia="sk-SK"/>
              </w:rPr>
              <w:t>0,039960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80400E" w:rsidRDefault="00C2747E" w:rsidP="006C72AC">
            <w:pPr>
              <w:spacing w:after="0" w:line="276" w:lineRule="auto"/>
              <w:jc w:val="right"/>
              <w:rPr>
                <w:rFonts w:ascii="Times New Roman" w:hAnsi="Times New Roman" w:cs="Arial"/>
                <w:sz w:val="24"/>
                <w:lang w:eastAsia="sk-SK"/>
              </w:rPr>
            </w:pPr>
            <w:r>
              <w:rPr>
                <w:rFonts w:ascii="Times New Roman" w:hAnsi="Times New Roman" w:cs="Arial"/>
                <w:sz w:val="24"/>
                <w:lang w:eastAsia="sk-SK"/>
              </w:rPr>
              <w:t>0,039720</w:t>
            </w:r>
          </w:p>
        </w:tc>
      </w:tr>
      <w:tr w:rsidR="005568B1" w:rsidRPr="0080400E" w:rsidTr="00FD436F">
        <w:trPr>
          <w:trHeight w:val="308"/>
        </w:trPr>
        <w:tc>
          <w:tcPr>
            <w:tcW w:w="43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noWrap/>
            <w:vAlign w:val="bottom"/>
          </w:tcPr>
          <w:p w:rsidR="005568B1" w:rsidRPr="0080400E" w:rsidRDefault="005568B1" w:rsidP="006C72AC">
            <w:pPr>
              <w:spacing w:after="0" w:line="276" w:lineRule="auto"/>
              <w:rPr>
                <w:rFonts w:ascii="Times New Roman" w:hAnsi="Times New Roman" w:cs="Arial"/>
                <w:bCs/>
                <w:sz w:val="24"/>
                <w:lang w:eastAsia="sk-SK"/>
              </w:rPr>
            </w:pPr>
            <w:r w:rsidRPr="0080400E">
              <w:rPr>
                <w:rFonts w:ascii="Times New Roman" w:hAnsi="Times New Roman" w:cs="Arial"/>
                <w:b/>
                <w:bCs/>
                <w:sz w:val="24"/>
                <w:lang w:eastAsia="sk-SK"/>
              </w:rPr>
              <w:t>fixná zložka ceny</w:t>
            </w:r>
            <w:r w:rsidRPr="0080400E">
              <w:rPr>
                <w:rFonts w:ascii="Times New Roman" w:hAnsi="Times New Roman" w:cs="Arial"/>
                <w:sz w:val="24"/>
                <w:lang w:eastAsia="sk-SK"/>
              </w:rPr>
              <w:t xml:space="preserve"> </w:t>
            </w:r>
            <w:r>
              <w:rPr>
                <w:rFonts w:ascii="Times New Roman" w:hAnsi="Times New Roman" w:cs="Arial"/>
                <w:sz w:val="24"/>
                <w:lang w:eastAsia="sk-SK"/>
              </w:rPr>
              <w:t xml:space="preserve">s DPH </w:t>
            </w:r>
            <w:r w:rsidRPr="0080400E">
              <w:rPr>
                <w:rFonts w:ascii="Times New Roman" w:hAnsi="Times New Roman" w:cs="Arial"/>
                <w:sz w:val="24"/>
                <w:lang w:eastAsia="sk-SK"/>
              </w:rPr>
              <w:t>(EUR/kW)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5568B1" w:rsidRPr="0080400E" w:rsidRDefault="00C2747E" w:rsidP="006C72AC">
            <w:pPr>
              <w:spacing w:after="0" w:line="276" w:lineRule="auto"/>
              <w:jc w:val="right"/>
              <w:rPr>
                <w:rFonts w:ascii="Times New Roman" w:hAnsi="Times New Roman" w:cs="Arial"/>
                <w:sz w:val="24"/>
                <w:lang w:eastAsia="sk-SK"/>
              </w:rPr>
            </w:pPr>
            <w:r>
              <w:rPr>
                <w:rFonts w:ascii="Times New Roman" w:hAnsi="Times New Roman" w:cs="Arial"/>
                <w:sz w:val="24"/>
                <w:lang w:eastAsia="sk-SK"/>
              </w:rPr>
              <w:t>263,2800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80400E" w:rsidRDefault="00C2747E" w:rsidP="006C72AC">
            <w:pPr>
              <w:spacing w:after="0" w:line="276" w:lineRule="auto"/>
              <w:jc w:val="right"/>
              <w:rPr>
                <w:rFonts w:ascii="Times New Roman" w:hAnsi="Times New Roman" w:cs="Arial"/>
                <w:sz w:val="24"/>
                <w:lang w:eastAsia="sk-SK"/>
              </w:rPr>
            </w:pPr>
            <w:r>
              <w:rPr>
                <w:rFonts w:ascii="Times New Roman" w:hAnsi="Times New Roman" w:cs="Arial"/>
                <w:sz w:val="24"/>
                <w:lang w:eastAsia="sk-SK"/>
              </w:rPr>
              <w:t>265,6800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80400E" w:rsidRDefault="00C2747E" w:rsidP="006C72AC">
            <w:pPr>
              <w:spacing w:after="0" w:line="276" w:lineRule="auto"/>
              <w:jc w:val="right"/>
              <w:rPr>
                <w:rFonts w:ascii="Times New Roman" w:hAnsi="Times New Roman" w:cs="Arial"/>
                <w:sz w:val="24"/>
                <w:lang w:eastAsia="sk-SK"/>
              </w:rPr>
            </w:pPr>
            <w:r>
              <w:rPr>
                <w:rFonts w:ascii="Times New Roman" w:hAnsi="Times New Roman" w:cs="Arial"/>
                <w:sz w:val="24"/>
                <w:lang w:eastAsia="sk-SK"/>
              </w:rPr>
              <w:t>262,8600</w:t>
            </w:r>
          </w:p>
        </w:tc>
      </w:tr>
      <w:tr w:rsidR="005568B1" w:rsidRPr="0080400E" w:rsidTr="00FD436F">
        <w:trPr>
          <w:trHeight w:val="308"/>
        </w:trPr>
        <w:tc>
          <w:tcPr>
            <w:tcW w:w="43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noWrap/>
            <w:vAlign w:val="bottom"/>
          </w:tcPr>
          <w:p w:rsidR="005568B1" w:rsidRPr="0080400E" w:rsidRDefault="005568B1" w:rsidP="006C72AC">
            <w:pPr>
              <w:spacing w:after="0" w:line="276" w:lineRule="auto"/>
              <w:rPr>
                <w:rFonts w:ascii="Times New Roman" w:hAnsi="Times New Roman" w:cs="Arial"/>
                <w:b/>
                <w:bCs/>
                <w:sz w:val="24"/>
                <w:lang w:eastAsia="sk-SK"/>
              </w:rPr>
            </w:pPr>
            <w:r>
              <w:rPr>
                <w:rFonts w:ascii="Times New Roman" w:hAnsi="Times New Roman" w:cs="Arial"/>
                <w:b/>
                <w:bCs/>
                <w:sz w:val="24"/>
                <w:lang w:eastAsia="sk-SK"/>
              </w:rPr>
              <w:t xml:space="preserve">jednotková cena </w:t>
            </w:r>
            <w:r w:rsidRPr="00D555F7">
              <w:rPr>
                <w:rFonts w:ascii="Times New Roman" w:hAnsi="Times New Roman" w:cs="Arial"/>
                <w:bCs/>
                <w:sz w:val="24"/>
                <w:lang w:eastAsia="sk-SK"/>
              </w:rPr>
              <w:t>s DPH (EUR/MWh</w:t>
            </w:r>
            <w:r>
              <w:rPr>
                <w:rFonts w:ascii="Times New Roman" w:hAnsi="Times New Roman" w:cs="Arial"/>
                <w:bCs/>
                <w:sz w:val="24"/>
                <w:lang w:eastAsia="sk-SK"/>
              </w:rPr>
              <w:t>)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5568B1" w:rsidRDefault="00C2747E" w:rsidP="006C72AC">
            <w:pPr>
              <w:spacing w:after="0" w:line="276" w:lineRule="auto"/>
              <w:jc w:val="right"/>
              <w:rPr>
                <w:rFonts w:ascii="Times New Roman" w:hAnsi="Times New Roman" w:cs="Arial"/>
                <w:sz w:val="24"/>
                <w:lang w:eastAsia="sk-SK"/>
              </w:rPr>
            </w:pPr>
            <w:r>
              <w:rPr>
                <w:rFonts w:ascii="Times New Roman" w:hAnsi="Times New Roman" w:cs="Arial"/>
                <w:sz w:val="24"/>
                <w:lang w:eastAsia="sk-SK"/>
              </w:rPr>
              <w:t>89,2755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Default="00C2747E" w:rsidP="006C72AC">
            <w:pPr>
              <w:spacing w:after="0" w:line="276" w:lineRule="auto"/>
              <w:jc w:val="right"/>
              <w:rPr>
                <w:rFonts w:ascii="Times New Roman" w:hAnsi="Times New Roman" w:cs="Arial"/>
                <w:sz w:val="24"/>
                <w:lang w:eastAsia="sk-SK"/>
              </w:rPr>
            </w:pPr>
            <w:r>
              <w:rPr>
                <w:rFonts w:ascii="Times New Roman" w:hAnsi="Times New Roman" w:cs="Arial"/>
                <w:sz w:val="24"/>
                <w:lang w:eastAsia="sk-SK"/>
              </w:rPr>
              <w:t>90,0883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Default="00C2747E" w:rsidP="006C72AC">
            <w:pPr>
              <w:spacing w:after="0" w:line="276" w:lineRule="auto"/>
              <w:jc w:val="right"/>
              <w:rPr>
                <w:rFonts w:ascii="Times New Roman" w:hAnsi="Times New Roman" w:cs="Arial"/>
                <w:sz w:val="24"/>
                <w:lang w:eastAsia="sk-SK"/>
              </w:rPr>
            </w:pPr>
            <w:r>
              <w:rPr>
                <w:rFonts w:ascii="Times New Roman" w:hAnsi="Times New Roman" w:cs="Arial"/>
                <w:sz w:val="24"/>
                <w:lang w:eastAsia="sk-SK"/>
              </w:rPr>
              <w:t>89,316</w:t>
            </w:r>
          </w:p>
        </w:tc>
      </w:tr>
    </w:tbl>
    <w:p w:rsidR="00FD436F" w:rsidRDefault="00FD436F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Default="00FD436F" w:rsidP="006C72AC">
      <w:p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</w:t>
      </w:r>
      <w:r w:rsidR="005568B1" w:rsidRPr="00736BEA">
        <w:rPr>
          <w:rFonts w:ascii="Arial" w:hAnsi="Arial" w:cs="Arial"/>
          <w:sz w:val="24"/>
          <w:szCs w:val="24"/>
        </w:rPr>
        <w:t xml:space="preserve"> porovnaní s minulým rokom variabilná zložka ceny tepla </w:t>
      </w:r>
      <w:r w:rsidR="00C2747E" w:rsidRPr="00736BEA">
        <w:rPr>
          <w:rFonts w:ascii="Arial" w:hAnsi="Arial" w:cs="Arial"/>
          <w:sz w:val="24"/>
          <w:szCs w:val="24"/>
        </w:rPr>
        <w:t>poklesla</w:t>
      </w:r>
      <w:r w:rsidR="005568B1" w:rsidRPr="00736BEA">
        <w:rPr>
          <w:rFonts w:ascii="Arial" w:hAnsi="Arial" w:cs="Arial"/>
          <w:sz w:val="24"/>
          <w:szCs w:val="24"/>
        </w:rPr>
        <w:t xml:space="preserve"> o</w:t>
      </w:r>
      <w:r w:rsidR="00C2747E" w:rsidRPr="00736BEA">
        <w:rPr>
          <w:rFonts w:ascii="Arial" w:hAnsi="Arial" w:cs="Arial"/>
          <w:sz w:val="24"/>
          <w:szCs w:val="24"/>
        </w:rPr>
        <w:t> 0,6</w:t>
      </w:r>
      <w:r w:rsidR="005568B1" w:rsidRPr="00736BEA">
        <w:rPr>
          <w:rFonts w:ascii="Arial" w:hAnsi="Arial" w:cs="Arial"/>
          <w:sz w:val="24"/>
          <w:szCs w:val="24"/>
        </w:rPr>
        <w:t xml:space="preserve"> %</w:t>
      </w:r>
      <w:r w:rsidR="00736BEA">
        <w:rPr>
          <w:rFonts w:ascii="Arial" w:hAnsi="Arial" w:cs="Arial"/>
          <w:sz w:val="24"/>
          <w:szCs w:val="24"/>
        </w:rPr>
        <w:t xml:space="preserve"> kvôli nižším cenám nakupovaného plynu</w:t>
      </w:r>
      <w:r w:rsidR="005568B1" w:rsidRPr="00736BEA">
        <w:rPr>
          <w:rFonts w:ascii="Arial" w:hAnsi="Arial" w:cs="Arial"/>
          <w:sz w:val="24"/>
          <w:szCs w:val="24"/>
        </w:rPr>
        <w:t xml:space="preserve">. Fixná zložka ceny tepla sa </w:t>
      </w:r>
      <w:r w:rsidR="00736BEA">
        <w:rPr>
          <w:rFonts w:ascii="Arial" w:hAnsi="Arial" w:cs="Arial"/>
          <w:sz w:val="24"/>
          <w:szCs w:val="24"/>
        </w:rPr>
        <w:t xml:space="preserve">najmä vplyvom poklesu regulačného príkonu </w:t>
      </w:r>
      <w:r w:rsidR="005568B1" w:rsidRPr="00736BEA">
        <w:rPr>
          <w:rFonts w:ascii="Arial" w:hAnsi="Arial" w:cs="Arial"/>
          <w:sz w:val="24"/>
          <w:szCs w:val="24"/>
        </w:rPr>
        <w:t xml:space="preserve">medziročne </w:t>
      </w:r>
      <w:r w:rsidR="00C2747E" w:rsidRPr="00736BEA">
        <w:rPr>
          <w:rFonts w:ascii="Arial" w:hAnsi="Arial" w:cs="Arial"/>
          <w:sz w:val="24"/>
          <w:szCs w:val="24"/>
        </w:rPr>
        <w:t>znížila</w:t>
      </w:r>
      <w:r w:rsidR="005568B1" w:rsidRPr="00736BEA">
        <w:rPr>
          <w:rFonts w:ascii="Arial" w:hAnsi="Arial" w:cs="Arial"/>
          <w:sz w:val="24"/>
          <w:szCs w:val="24"/>
        </w:rPr>
        <w:t xml:space="preserve"> o</w:t>
      </w:r>
      <w:r w:rsidR="00C2747E" w:rsidRPr="00736BEA">
        <w:rPr>
          <w:rFonts w:ascii="Arial" w:hAnsi="Arial" w:cs="Arial"/>
          <w:sz w:val="24"/>
          <w:szCs w:val="24"/>
        </w:rPr>
        <w:t> 1,06</w:t>
      </w:r>
      <w:r w:rsidR="005568B1" w:rsidRPr="00736BEA">
        <w:rPr>
          <w:rFonts w:ascii="Arial" w:hAnsi="Arial" w:cs="Arial"/>
          <w:sz w:val="24"/>
          <w:szCs w:val="24"/>
        </w:rPr>
        <w:t xml:space="preserve"> %. Predaj tepla</w:t>
      </w:r>
      <w:r>
        <w:rPr>
          <w:rFonts w:ascii="Arial" w:hAnsi="Arial" w:cs="Arial"/>
          <w:sz w:val="24"/>
          <w:szCs w:val="24"/>
        </w:rPr>
        <w:t xml:space="preserve"> v kWh</w:t>
      </w:r>
      <w:r w:rsidR="005568B1" w:rsidRPr="00736BEA">
        <w:rPr>
          <w:rFonts w:ascii="Arial" w:hAnsi="Arial" w:cs="Arial"/>
          <w:sz w:val="24"/>
          <w:szCs w:val="24"/>
        </w:rPr>
        <w:t xml:space="preserve"> </w:t>
      </w:r>
      <w:r w:rsidR="00C2747E" w:rsidRPr="00736BEA">
        <w:rPr>
          <w:rFonts w:ascii="Arial" w:hAnsi="Arial" w:cs="Arial"/>
          <w:sz w:val="24"/>
          <w:szCs w:val="24"/>
        </w:rPr>
        <w:t xml:space="preserve">napriek </w:t>
      </w:r>
      <w:r w:rsidR="00C221A9">
        <w:rPr>
          <w:rFonts w:ascii="Arial" w:hAnsi="Arial" w:cs="Arial"/>
          <w:sz w:val="24"/>
          <w:szCs w:val="24"/>
        </w:rPr>
        <w:t>horším</w:t>
      </w:r>
      <w:r w:rsidR="00C2747E" w:rsidRPr="00736BEA">
        <w:rPr>
          <w:rFonts w:ascii="Arial" w:hAnsi="Arial" w:cs="Arial"/>
          <w:sz w:val="24"/>
          <w:szCs w:val="24"/>
        </w:rPr>
        <w:t xml:space="preserve"> klimatickým podmienkam vzrástol iba mierne - </w:t>
      </w:r>
      <w:r w:rsidR="005568B1" w:rsidRPr="00736BEA">
        <w:rPr>
          <w:rFonts w:ascii="Arial" w:hAnsi="Arial" w:cs="Arial"/>
          <w:sz w:val="24"/>
          <w:szCs w:val="24"/>
        </w:rPr>
        <w:t>o</w:t>
      </w:r>
      <w:r w:rsidR="004304D3">
        <w:rPr>
          <w:rFonts w:ascii="Arial" w:hAnsi="Arial" w:cs="Arial"/>
          <w:sz w:val="24"/>
          <w:szCs w:val="24"/>
        </w:rPr>
        <w:t> 0,11</w:t>
      </w:r>
      <w:r w:rsidR="00C2747E" w:rsidRPr="00736BEA">
        <w:rPr>
          <w:rFonts w:ascii="Arial" w:hAnsi="Arial" w:cs="Arial"/>
          <w:sz w:val="24"/>
          <w:szCs w:val="24"/>
        </w:rPr>
        <w:t xml:space="preserve"> </w:t>
      </w:r>
      <w:r w:rsidR="005568B1" w:rsidRPr="00736BEA">
        <w:rPr>
          <w:rFonts w:ascii="Arial" w:hAnsi="Arial" w:cs="Arial"/>
          <w:sz w:val="24"/>
          <w:szCs w:val="24"/>
        </w:rPr>
        <w:t xml:space="preserve">%, regulačný príkon zaznamenal </w:t>
      </w:r>
      <w:r w:rsidR="00C2747E" w:rsidRPr="00736BEA">
        <w:rPr>
          <w:rFonts w:ascii="Arial" w:hAnsi="Arial" w:cs="Arial"/>
          <w:sz w:val="24"/>
          <w:szCs w:val="24"/>
        </w:rPr>
        <w:t>pokles</w:t>
      </w:r>
      <w:r w:rsidR="005568B1" w:rsidRPr="00736BEA">
        <w:rPr>
          <w:rFonts w:ascii="Arial" w:hAnsi="Arial" w:cs="Arial"/>
          <w:sz w:val="24"/>
          <w:szCs w:val="24"/>
        </w:rPr>
        <w:t xml:space="preserve"> o</w:t>
      </w:r>
      <w:r w:rsidR="00C2747E" w:rsidRPr="00736BEA">
        <w:rPr>
          <w:rFonts w:ascii="Arial" w:hAnsi="Arial" w:cs="Arial"/>
          <w:sz w:val="24"/>
          <w:szCs w:val="24"/>
        </w:rPr>
        <w:t> 1 539,26</w:t>
      </w:r>
      <w:r w:rsidR="005568B1" w:rsidRPr="00736BEA">
        <w:rPr>
          <w:rFonts w:ascii="Arial" w:hAnsi="Arial" w:cs="Arial"/>
          <w:sz w:val="24"/>
          <w:szCs w:val="24"/>
        </w:rPr>
        <w:t xml:space="preserve"> kW, t.j. o</w:t>
      </w:r>
      <w:r w:rsidR="00C2747E" w:rsidRPr="00736BEA">
        <w:rPr>
          <w:rFonts w:ascii="Arial" w:hAnsi="Arial" w:cs="Arial"/>
          <w:sz w:val="24"/>
          <w:szCs w:val="24"/>
        </w:rPr>
        <w:t xml:space="preserve"> 4,3 </w:t>
      </w:r>
      <w:r w:rsidR="005568B1" w:rsidRPr="00736BEA">
        <w:rPr>
          <w:rFonts w:ascii="Arial" w:hAnsi="Arial" w:cs="Arial"/>
          <w:sz w:val="24"/>
          <w:szCs w:val="24"/>
        </w:rPr>
        <w:t xml:space="preserve">%. </w:t>
      </w:r>
      <w:r w:rsidR="00736BEA" w:rsidRPr="00736BEA">
        <w:rPr>
          <w:rFonts w:ascii="Arial" w:hAnsi="Arial" w:cs="Arial"/>
          <w:color w:val="000000" w:themeColor="text1"/>
          <w:sz w:val="24"/>
          <w:szCs w:val="24"/>
        </w:rPr>
        <w:t xml:space="preserve">Na klesajúcom </w:t>
      </w:r>
      <w:r w:rsidR="004304D3">
        <w:rPr>
          <w:rFonts w:ascii="Arial" w:hAnsi="Arial" w:cs="Arial"/>
          <w:color w:val="000000" w:themeColor="text1"/>
          <w:sz w:val="24"/>
          <w:szCs w:val="24"/>
        </w:rPr>
        <w:t>regulačnom príkone</w:t>
      </w:r>
      <w:r w:rsidR="00736BEA" w:rsidRPr="00736BEA">
        <w:rPr>
          <w:rFonts w:ascii="Arial" w:hAnsi="Arial" w:cs="Arial"/>
          <w:color w:val="000000" w:themeColor="text1"/>
          <w:sz w:val="24"/>
          <w:szCs w:val="24"/>
        </w:rPr>
        <w:t xml:space="preserve"> sa nepriaznivo podpisuje najmä zatepľovanie objektov a plnenie ďalších zákonných povinností vlastníkov nehnuteľností, ako je hydraulické vyregulovanie ústredného kúrenia a teplej úžitkovej vody, či osadenie pomerových rozdeľovačov vykurovacích nákladov.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4304D3">
        <w:rPr>
          <w:rFonts w:ascii="Arial" w:hAnsi="Arial" w:cs="Arial"/>
          <w:color w:val="000000" w:themeColor="text1"/>
          <w:sz w:val="24"/>
          <w:szCs w:val="24"/>
        </w:rPr>
        <w:t>Vplyvom poklesu regulačného príkonu sa zároveň medziročne</w:t>
      </w:r>
      <w:r w:rsidR="004304D3" w:rsidRPr="004304D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4304D3">
        <w:rPr>
          <w:rFonts w:ascii="Arial" w:hAnsi="Arial" w:cs="Arial"/>
          <w:color w:val="000000" w:themeColor="text1"/>
          <w:sz w:val="24"/>
          <w:szCs w:val="24"/>
        </w:rPr>
        <w:t>znížili t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ržby z tepla </w:t>
      </w:r>
      <w:r w:rsidR="004304D3">
        <w:rPr>
          <w:rFonts w:ascii="Arial" w:hAnsi="Arial" w:cs="Arial"/>
          <w:color w:val="000000" w:themeColor="text1"/>
          <w:sz w:val="24"/>
          <w:szCs w:val="24"/>
        </w:rPr>
        <w:t>o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470,1 tis. EUR, t.j. o 3,4%.</w:t>
      </w:r>
    </w:p>
    <w:p w:rsidR="00B81D07" w:rsidRDefault="00B81D07" w:rsidP="006C72AC">
      <w:p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D436F" w:rsidRDefault="00B81D07" w:rsidP="006C72AC">
      <w:p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noProof/>
          <w:color w:val="000000" w:themeColor="text1"/>
          <w:sz w:val="24"/>
          <w:szCs w:val="24"/>
          <w:lang w:eastAsia="sk-SK"/>
        </w:rPr>
        <w:drawing>
          <wp:inline distT="0" distB="0" distL="0" distR="0" wp14:anchorId="075BAC78">
            <wp:extent cx="6132830" cy="3091180"/>
            <wp:effectExtent l="0" t="0" r="0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2830" cy="3091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568B1" w:rsidRDefault="005568B1" w:rsidP="006C72AC">
      <w:pPr>
        <w:pStyle w:val="nadpisybytterm"/>
        <w:spacing w:line="276" w:lineRule="auto"/>
      </w:pPr>
      <w:r>
        <w:lastRenderedPageBreak/>
        <w:t>SPRÁVCOVSKÁ ČINNOSŤ</w:t>
      </w:r>
    </w:p>
    <w:p w:rsidR="005568B1" w:rsidRPr="002D13A0" w:rsidRDefault="005568B1" w:rsidP="006C72AC">
      <w:pPr>
        <w:spacing w:line="276" w:lineRule="auto"/>
      </w:pPr>
    </w:p>
    <w:p w:rsidR="009B5319" w:rsidRPr="009B5319" w:rsidRDefault="009B5319" w:rsidP="009B531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B5319">
        <w:rPr>
          <w:rFonts w:ascii="Arial" w:hAnsi="Arial" w:cs="Arial"/>
          <w:sz w:val="24"/>
          <w:szCs w:val="24"/>
        </w:rPr>
        <w:t>Spoločnosť BYTTERM, a.s. zabezpečovala k 31.12.2017 správu v 359  bytových domoch, v ktorých sa nachádzalo 11 075 bytov, 224 nebytových priestorov a 246 garáží.</w:t>
      </w:r>
    </w:p>
    <w:p w:rsidR="009B5319" w:rsidRPr="009B5319" w:rsidRDefault="009B5319" w:rsidP="009B531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B5319">
        <w:rPr>
          <w:rFonts w:ascii="Arial" w:hAnsi="Arial" w:cs="Arial"/>
          <w:sz w:val="24"/>
          <w:szCs w:val="24"/>
        </w:rPr>
        <w:t>Výkon správy bol zameraný na ekonomickú, technickú, právnu a marketingovú oblasť. V oblasti ekonomickej správy domu správca viedol evidenciu vlastníkov bytov a nebytových priestorov, samostatné účty domov, zabezpečoval kontrolu a úhrady výdavkov spojených s užívaním bytov a nebytových priestorov a výdavkov z fondov prevádzky, údržby a opráv domov. Ďalej stanovoval mesačný rozpis úhrad za služby spojené s užívaním nehnuteľností, vyhotovil ročné vyúčtovanie, uhradil poistenie domov a riešil poistné udalosti.</w:t>
      </w:r>
    </w:p>
    <w:p w:rsidR="009B5319" w:rsidRPr="009B5319" w:rsidRDefault="009B5319" w:rsidP="009B531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B5319">
        <w:rPr>
          <w:rFonts w:ascii="Arial" w:hAnsi="Arial" w:cs="Arial"/>
          <w:sz w:val="24"/>
          <w:szCs w:val="24"/>
        </w:rPr>
        <w:t>Technická správa domu zahŕňala hlavne organizovanie, kontrolu a preberanie údržbárskych a stavebných prác realizovaných vlastnými zamestnancami spoločnosti alebo dodávateľským spôsobom. Správca ďalej riešil odstraňovanie havarijných stavov na spoločných častiach a zariadeniach domov, zabezpečoval revízie na vyhradených technických zariadeniach.</w:t>
      </w:r>
    </w:p>
    <w:p w:rsidR="009B5319" w:rsidRPr="009B5319" w:rsidRDefault="009B5319" w:rsidP="009B531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B5319">
        <w:rPr>
          <w:rFonts w:ascii="Arial" w:hAnsi="Arial" w:cs="Arial"/>
          <w:sz w:val="24"/>
          <w:szCs w:val="24"/>
        </w:rPr>
        <w:t>Právna oblasť správy zahŕňala vymáhanie nedoplatkov vrátane korešpondencie s neplatičmi v domoch ako aj komunikáciu sporných prípadov s externým advokátom.</w:t>
      </w:r>
    </w:p>
    <w:p w:rsidR="009B5319" w:rsidRPr="009B5319" w:rsidRDefault="009B5319" w:rsidP="009B531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B5319">
        <w:rPr>
          <w:rFonts w:ascii="Arial" w:hAnsi="Arial" w:cs="Arial"/>
          <w:sz w:val="24"/>
          <w:szCs w:val="24"/>
        </w:rPr>
        <w:t>V marketingovej oblasti správca vydal dve čísla občasníku BYTTERM, v ktorých bol venovaný priestor aktuálnym témam zameraným na výmenu spoločných rozvodov zdravotechniky v domoch, ročnému vyúčtovaniu, predstaveniu klientsk</w:t>
      </w:r>
      <w:r w:rsidR="00AE5CC4">
        <w:rPr>
          <w:rFonts w:ascii="Arial" w:hAnsi="Arial" w:cs="Arial"/>
          <w:sz w:val="24"/>
          <w:szCs w:val="24"/>
        </w:rPr>
        <w:t>e</w:t>
      </w:r>
      <w:r w:rsidRPr="009B5319">
        <w:rPr>
          <w:rFonts w:ascii="Arial" w:hAnsi="Arial" w:cs="Arial"/>
          <w:sz w:val="24"/>
          <w:szCs w:val="24"/>
        </w:rPr>
        <w:t xml:space="preserve">ho centra v našej administratívnej budove, novým výťahom v domoch na sídlisku Solinky, ochrane pred požiarmi. Občasník vychádza s nákladom 11 400 výtlačkov, pričom financovanie je zabezpečované zo zdrojov inzercie. </w:t>
      </w:r>
    </w:p>
    <w:p w:rsidR="009B5319" w:rsidRPr="009B5319" w:rsidRDefault="009B5319" w:rsidP="009B531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B5319">
        <w:rPr>
          <w:rFonts w:ascii="Arial" w:hAnsi="Arial" w:cs="Arial"/>
          <w:sz w:val="24"/>
          <w:szCs w:val="24"/>
        </w:rPr>
        <w:t xml:space="preserve">Rok 2017 bol stabilizovaný z pohľadu počtu spravovaných domov. Do správy sme získali v porovnaní s rokom 2016 jeden bytový dom.  </w:t>
      </w:r>
    </w:p>
    <w:p w:rsidR="009B5319" w:rsidRPr="009B5319" w:rsidRDefault="009B5319" w:rsidP="009B531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B531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V</w:t>
      </w:r>
      <w:r w:rsidRPr="009B5319">
        <w:rPr>
          <w:rFonts w:ascii="Arial" w:hAnsi="Arial" w:cs="Arial"/>
          <w:sz w:val="24"/>
          <w:szCs w:val="24"/>
        </w:rPr>
        <w:t xml:space="preserve">stúpili sme do procesu uzatvárania Dodatkov k existujúcim Zmluvám o výkone správy ako pokračujúceho zmluvného vzťahu medzi správcom a vlastníkmi bytov a nebytových priestorov. Dodatky sú obsahovo jednotné pre všetky spravované domy a týkajú sa hlavne započítavania preplatkov s pohľadávkami vlastníkov, platieb vopred, položiek mesačného predpisu a držania havarijnej služby za poplatok.  </w:t>
      </w:r>
    </w:p>
    <w:p w:rsidR="009B5319" w:rsidRPr="009B5319" w:rsidRDefault="009B5319" w:rsidP="009B531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B5319">
        <w:rPr>
          <w:rFonts w:ascii="Arial" w:hAnsi="Arial" w:cs="Arial"/>
          <w:sz w:val="24"/>
          <w:szCs w:val="24"/>
        </w:rPr>
        <w:t xml:space="preserve">V roku 2017 boli na opravy a údržbu bytových domov použité finančné prostriedky z fondov prevádzky, údržby a opráv vo výške 6 980 721,54 €, čo  je v porovnaní  s  rokom  2016 nárast o 286 320,54 €. </w:t>
      </w:r>
    </w:p>
    <w:p w:rsidR="009B5319" w:rsidRPr="009B5319" w:rsidRDefault="009B5319" w:rsidP="009B5319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9B5319" w:rsidRPr="009B5319" w:rsidRDefault="009B5319" w:rsidP="009B531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B5319">
        <w:rPr>
          <w:rFonts w:ascii="Arial" w:hAnsi="Arial" w:cs="Arial"/>
          <w:sz w:val="24"/>
          <w:szCs w:val="24"/>
        </w:rPr>
        <w:lastRenderedPageBreak/>
        <w:t>V priebehu roku 2017 sme zaznamenali celkovo 120 poistných udalostí na spravovaných nehnuteľnostiach, čo je oproti roku 2016 pokles o 10 udalostí.</w:t>
      </w:r>
    </w:p>
    <w:p w:rsidR="009B5319" w:rsidRPr="009B5319" w:rsidRDefault="009B5319" w:rsidP="009B531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B5319">
        <w:rPr>
          <w:rFonts w:ascii="Arial" w:hAnsi="Arial" w:cs="Arial"/>
          <w:sz w:val="24"/>
          <w:szCs w:val="24"/>
        </w:rPr>
        <w:t xml:space="preserve"> V priebehu roku 2017 nás vlastníci z 12 spravovaných bytových domov požiadali o vybavenie podpory zo Štátneho fondu rozvoja bývania /ŠFRB/ hlavne na účely výmeny spoločných rozvodov vody, kanalizácie, </w:t>
      </w:r>
      <w:r w:rsidRPr="009B5319">
        <w:rPr>
          <w:rFonts w:ascii="Arial" w:hAnsi="Arial" w:cs="Arial"/>
          <w:bCs/>
          <w:sz w:val="24"/>
          <w:szCs w:val="24"/>
        </w:rPr>
        <w:t xml:space="preserve">plynu a elektriny a výťahov. </w:t>
      </w:r>
      <w:r w:rsidRPr="009B5319">
        <w:rPr>
          <w:rFonts w:ascii="Arial" w:hAnsi="Arial" w:cs="Arial"/>
          <w:sz w:val="24"/>
          <w:szCs w:val="24"/>
        </w:rPr>
        <w:t xml:space="preserve">  </w:t>
      </w:r>
    </w:p>
    <w:tbl>
      <w:tblPr>
        <w:tblW w:w="858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96"/>
        <w:gridCol w:w="696"/>
        <w:gridCol w:w="1880"/>
        <w:gridCol w:w="5480"/>
      </w:tblGrid>
      <w:tr w:rsidR="00AE5CC4" w:rsidRPr="00C25B3E" w:rsidTr="00C56C9C">
        <w:trPr>
          <w:trHeight w:val="510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25B3E">
              <w:rPr>
                <w:rFonts w:ascii="Arial" w:hAnsi="Arial" w:cs="Arial"/>
                <w:b/>
                <w:bCs/>
                <w:sz w:val="20"/>
                <w:szCs w:val="20"/>
              </w:rPr>
              <w:t>Por. číslo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25B3E">
              <w:rPr>
                <w:rFonts w:ascii="Arial" w:hAnsi="Arial" w:cs="Arial"/>
                <w:b/>
                <w:bCs/>
                <w:sz w:val="20"/>
                <w:szCs w:val="20"/>
              </w:rPr>
              <w:t>% úroku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25B3E">
              <w:rPr>
                <w:rFonts w:ascii="Arial" w:hAnsi="Arial" w:cs="Arial"/>
                <w:b/>
                <w:bCs/>
                <w:sz w:val="20"/>
                <w:szCs w:val="20"/>
              </w:rPr>
              <w:t>Bytový dom</w:t>
            </w:r>
          </w:p>
        </w:tc>
        <w:tc>
          <w:tcPr>
            <w:tcW w:w="5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25B3E">
              <w:rPr>
                <w:rFonts w:ascii="Arial" w:hAnsi="Arial" w:cs="Arial"/>
                <w:b/>
                <w:bCs/>
                <w:sz w:val="20"/>
                <w:szCs w:val="20"/>
              </w:rPr>
              <w:t>Rozsah investície</w:t>
            </w:r>
          </w:p>
        </w:tc>
      </w:tr>
      <w:tr w:rsidR="00AE5CC4" w:rsidRPr="00C25B3E" w:rsidTr="00C56C9C">
        <w:trPr>
          <w:trHeight w:val="345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0,5%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Tatranská 3109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výmena spoločných rozvodov</w:t>
            </w:r>
          </w:p>
        </w:tc>
      </w:tr>
      <w:tr w:rsidR="00AE5CC4" w:rsidRPr="00C25B3E" w:rsidTr="00C56C9C">
        <w:trPr>
          <w:trHeight w:val="36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0,5%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Dobšinského 1598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výmena výťahov</w:t>
            </w:r>
          </w:p>
        </w:tc>
      </w:tr>
      <w:tr w:rsidR="00AE5CC4" w:rsidRPr="00C25B3E" w:rsidTr="00C56C9C">
        <w:trPr>
          <w:trHeight w:val="51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0,0%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Pittsburgská 2970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výmena spoločných rozvodov, výmena výťahov, maľovanie a</w:t>
            </w:r>
            <w:r w:rsidRPr="000E7E9D">
              <w:rPr>
                <w:rFonts w:ascii="Arial" w:hAnsi="Arial" w:cs="Arial"/>
                <w:sz w:val="20"/>
                <w:szCs w:val="20"/>
              </w:rPr>
              <w:t> </w:t>
            </w:r>
            <w:r w:rsidRPr="00C25B3E">
              <w:rPr>
                <w:rFonts w:ascii="Arial" w:hAnsi="Arial" w:cs="Arial"/>
                <w:sz w:val="20"/>
                <w:szCs w:val="20"/>
              </w:rPr>
              <w:t>podl</w:t>
            </w:r>
            <w:r w:rsidRPr="000E7E9D">
              <w:rPr>
                <w:rFonts w:ascii="Arial" w:hAnsi="Arial" w:cs="Arial"/>
                <w:sz w:val="20"/>
                <w:szCs w:val="20"/>
              </w:rPr>
              <w:t xml:space="preserve">ahová </w:t>
            </w:r>
            <w:r w:rsidRPr="00C25B3E">
              <w:rPr>
                <w:rFonts w:ascii="Arial" w:hAnsi="Arial" w:cs="Arial"/>
                <w:sz w:val="20"/>
                <w:szCs w:val="20"/>
              </w:rPr>
              <w:t>krytina v  spoločných priestoroch</w:t>
            </w:r>
          </w:p>
        </w:tc>
      </w:tr>
      <w:tr w:rsidR="00AE5CC4" w:rsidRPr="00C25B3E" w:rsidTr="00C56C9C">
        <w:trPr>
          <w:trHeight w:val="57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0,0%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Dobšinského 1605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výmena spoločných rozvodov, výmena výťahov, maľovanie a d</w:t>
            </w:r>
            <w:r w:rsidRPr="000E7E9D">
              <w:rPr>
                <w:rFonts w:ascii="Arial" w:hAnsi="Arial" w:cs="Arial"/>
                <w:sz w:val="20"/>
                <w:szCs w:val="20"/>
              </w:rPr>
              <w:t>l</w:t>
            </w:r>
            <w:r w:rsidRPr="00C25B3E">
              <w:rPr>
                <w:rFonts w:ascii="Arial" w:hAnsi="Arial" w:cs="Arial"/>
                <w:sz w:val="20"/>
                <w:szCs w:val="20"/>
              </w:rPr>
              <w:t>ažby v spoločných priestoroch</w:t>
            </w:r>
          </w:p>
        </w:tc>
      </w:tr>
      <w:tr w:rsidR="00AE5CC4" w:rsidRPr="00C25B3E" w:rsidTr="00C56C9C">
        <w:trPr>
          <w:trHeight w:val="375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0,5%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ul. 1. mája 833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výmena spoločných rozvodov, strecha, obnova BD</w:t>
            </w:r>
          </w:p>
        </w:tc>
      </w:tr>
      <w:tr w:rsidR="00AE5CC4" w:rsidRPr="00C25B3E" w:rsidTr="00C56C9C">
        <w:trPr>
          <w:trHeight w:val="57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0,0%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Hlinská 1636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výmena spoločných rozvodov, výmena výťahov, okapový chodník, pivničné okná</w:t>
            </w:r>
          </w:p>
        </w:tc>
      </w:tr>
      <w:tr w:rsidR="00AE5CC4" w:rsidRPr="00C25B3E" w:rsidTr="00C56C9C">
        <w:trPr>
          <w:trHeight w:val="6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0,0%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Rajecká 2798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výmena spoločných rozvodov, výmena výťahov, maľovanie a</w:t>
            </w:r>
            <w:r w:rsidRPr="000E7E9D">
              <w:rPr>
                <w:rFonts w:ascii="Arial" w:hAnsi="Arial" w:cs="Arial"/>
                <w:sz w:val="20"/>
                <w:szCs w:val="20"/>
              </w:rPr>
              <w:t> </w:t>
            </w:r>
            <w:r w:rsidRPr="00C25B3E">
              <w:rPr>
                <w:rFonts w:ascii="Arial" w:hAnsi="Arial" w:cs="Arial"/>
                <w:sz w:val="20"/>
                <w:szCs w:val="20"/>
              </w:rPr>
              <w:t>podl</w:t>
            </w:r>
            <w:r w:rsidRPr="000E7E9D">
              <w:rPr>
                <w:rFonts w:ascii="Arial" w:hAnsi="Arial" w:cs="Arial"/>
                <w:sz w:val="20"/>
                <w:szCs w:val="20"/>
              </w:rPr>
              <w:t xml:space="preserve">ahová </w:t>
            </w:r>
            <w:r w:rsidRPr="00C25B3E">
              <w:rPr>
                <w:rFonts w:ascii="Arial" w:hAnsi="Arial" w:cs="Arial"/>
                <w:sz w:val="20"/>
                <w:szCs w:val="20"/>
              </w:rPr>
              <w:t>krytina v  spoločných priestoroch, okapový chodník</w:t>
            </w:r>
          </w:p>
        </w:tc>
      </w:tr>
      <w:tr w:rsidR="00AE5CC4" w:rsidRPr="00C25B3E" w:rsidTr="00C56C9C">
        <w:trPr>
          <w:trHeight w:val="345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0,5%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Levočská 2957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výmena spoločných rozvodov, výmena výťahov</w:t>
            </w:r>
          </w:p>
        </w:tc>
      </w:tr>
      <w:tr w:rsidR="00AE5CC4" w:rsidRPr="00C25B3E" w:rsidTr="00C56C9C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0,5%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Fándlyho 2193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výmena spoločných rozvodov</w:t>
            </w:r>
          </w:p>
        </w:tc>
      </w:tr>
      <w:tr w:rsidR="00AE5CC4" w:rsidRPr="00C25B3E" w:rsidTr="00C56C9C">
        <w:trPr>
          <w:trHeight w:val="555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0,0%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Nitrianska 1593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výmena spoločných rozvodov, výmena výťahov, maľovanie a dlažby v spoločných priestoroch</w:t>
            </w:r>
          </w:p>
        </w:tc>
      </w:tr>
      <w:tr w:rsidR="00AE5CC4" w:rsidRPr="00C25B3E" w:rsidTr="00C56C9C">
        <w:trPr>
          <w:trHeight w:val="315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0,0%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Bytča Thurzova 968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zateplenie, výmena spoločných rozvodov</w:t>
            </w:r>
          </w:p>
        </w:tc>
      </w:tr>
      <w:tr w:rsidR="00AE5CC4" w:rsidRPr="00C25B3E" w:rsidTr="00C56C9C">
        <w:trPr>
          <w:trHeight w:val="285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AE5CC4" w:rsidRPr="00C25B3E" w:rsidRDefault="00AE5CC4" w:rsidP="00C56C9C">
            <w:pPr>
              <w:tabs>
                <w:tab w:val="left" w:pos="708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0,5%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Borová 3175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AE5CC4" w:rsidRPr="00C25B3E" w:rsidRDefault="00AE5CC4" w:rsidP="00C56C9C">
            <w:pPr>
              <w:tabs>
                <w:tab w:val="left" w:pos="7080"/>
              </w:tabs>
              <w:rPr>
                <w:rFonts w:ascii="Arial" w:hAnsi="Arial" w:cs="Arial"/>
                <w:sz w:val="20"/>
                <w:szCs w:val="20"/>
              </w:rPr>
            </w:pPr>
            <w:r w:rsidRPr="00C25B3E">
              <w:rPr>
                <w:rFonts w:ascii="Arial" w:hAnsi="Arial" w:cs="Arial"/>
                <w:sz w:val="20"/>
                <w:szCs w:val="20"/>
              </w:rPr>
              <w:t>výmena výťahov</w:t>
            </w:r>
          </w:p>
        </w:tc>
      </w:tr>
    </w:tbl>
    <w:p w:rsidR="009B5319" w:rsidRDefault="009B5319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890B79" w:rsidRPr="00890B79" w:rsidRDefault="00890B79" w:rsidP="00890B7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90B79">
        <w:rPr>
          <w:rFonts w:ascii="Arial" w:hAnsi="Arial" w:cs="Arial"/>
          <w:sz w:val="24"/>
          <w:szCs w:val="24"/>
        </w:rPr>
        <w:t>Za rok 2017 boli zo ŠFRB získané príspevky vo forme úveru v celkovej výške 2 596 590 €. Na  dofinancovanie  investícií sa využili úvery z komerčných bánk vo výške 238 000 € s tým, že zostávajúcu časť investícií si prefinancovali vlastníci z vlastných zdrojov fondu prevádzky, údržby a opráv vo výške 650 763,51 €. Celkom bytové domy prefinancovali 3 485 353,51 €.</w:t>
      </w:r>
    </w:p>
    <w:p w:rsidR="00890B79" w:rsidRPr="00890B79" w:rsidRDefault="00890B79" w:rsidP="00890B7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90B79">
        <w:rPr>
          <w:rFonts w:ascii="Arial" w:hAnsi="Arial" w:cs="Arial"/>
          <w:sz w:val="24"/>
          <w:szCs w:val="24"/>
        </w:rPr>
        <w:t>V priebehu roku 2017 oddelenie pre zabezpečovanie zdrojov zo ŠFRB súčasne pripravovalo podklady pre žiadosti o úver aj na rok 2018 pre bytové domy: Závodská súp.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č.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2962, Komenského súp.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č.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2231, Ružová súp.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č.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1638, Gabajov</w:t>
      </w:r>
      <w:r w:rsidR="001622B2">
        <w:rPr>
          <w:rFonts w:ascii="Arial" w:hAnsi="Arial" w:cs="Arial"/>
          <w:sz w:val="24"/>
          <w:szCs w:val="24"/>
        </w:rPr>
        <w:t>a</w:t>
      </w:r>
      <w:r w:rsidRPr="00890B79">
        <w:rPr>
          <w:rFonts w:ascii="Arial" w:hAnsi="Arial" w:cs="Arial"/>
          <w:sz w:val="24"/>
          <w:szCs w:val="24"/>
        </w:rPr>
        <w:t xml:space="preserve"> súp.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č.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2612, Tichá súp.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č.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1180, Černovská súp.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č.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1667, Čajakova súp.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č.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2174, A. Bernoláka súp.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č.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2201, Trnavská súp.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č.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1356, Trenčianska súp.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č.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1589, Zvolenská súp.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>č.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Pr="00890B79">
        <w:rPr>
          <w:rFonts w:ascii="Arial" w:hAnsi="Arial" w:cs="Arial"/>
          <w:sz w:val="24"/>
          <w:szCs w:val="24"/>
        </w:rPr>
        <w:t xml:space="preserve">1778.  </w:t>
      </w:r>
    </w:p>
    <w:p w:rsidR="005568B1" w:rsidRPr="00FE449F" w:rsidRDefault="00890B79" w:rsidP="006C72AC">
      <w:pPr>
        <w:pStyle w:val="nadpisybytterm"/>
        <w:spacing w:line="276" w:lineRule="auto"/>
      </w:pPr>
      <w:r>
        <w:lastRenderedPageBreak/>
        <w:t>P</w:t>
      </w:r>
      <w:r w:rsidR="005568B1">
        <w:t>ERSONÁLNA POLITIKA</w:t>
      </w:r>
    </w:p>
    <w:p w:rsidR="005568B1" w:rsidRPr="00133E30" w:rsidRDefault="005568B1" w:rsidP="006C72AC">
      <w:pPr>
        <w:spacing w:line="276" w:lineRule="auto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 w:rsidRPr="00133E30">
        <w:rPr>
          <w:rFonts w:ascii="Arial" w:hAnsi="Arial" w:cs="Arial"/>
          <w:smallCaps/>
          <w:color w:val="538135" w:themeColor="accent6" w:themeShade="BF"/>
          <w:sz w:val="36"/>
          <w:szCs w:val="36"/>
        </w:rPr>
        <w:t>riadenie ľudských zdrojov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V roku 201</w:t>
      </w:r>
      <w:r w:rsidR="00415071">
        <w:rPr>
          <w:rFonts w:ascii="Arial" w:hAnsi="Arial" w:cs="Arial"/>
          <w:sz w:val="24"/>
          <w:szCs w:val="24"/>
        </w:rPr>
        <w:t>7</w:t>
      </w:r>
      <w:r w:rsidRPr="002D13A0">
        <w:rPr>
          <w:rFonts w:ascii="Arial" w:hAnsi="Arial" w:cs="Arial"/>
          <w:sz w:val="24"/>
          <w:szCs w:val="24"/>
        </w:rPr>
        <w:t xml:space="preserve"> zamestnával  BYTTERM, a.s v priemere </w:t>
      </w:r>
      <w:r w:rsidR="00415071">
        <w:rPr>
          <w:rFonts w:ascii="Arial" w:hAnsi="Arial" w:cs="Arial"/>
          <w:sz w:val="24"/>
          <w:szCs w:val="24"/>
        </w:rPr>
        <w:t>170</w:t>
      </w:r>
      <w:r w:rsidRPr="002D13A0">
        <w:rPr>
          <w:rFonts w:ascii="Arial" w:hAnsi="Arial" w:cs="Arial"/>
          <w:sz w:val="24"/>
          <w:szCs w:val="24"/>
        </w:rPr>
        <w:t xml:space="preserve"> zamestnancov. Z tohto počtu bolo v kategórii údržbár </w:t>
      </w:r>
      <w:r w:rsidR="00415071">
        <w:rPr>
          <w:rFonts w:ascii="Arial" w:hAnsi="Arial" w:cs="Arial"/>
          <w:sz w:val="24"/>
          <w:szCs w:val="24"/>
        </w:rPr>
        <w:t>43</w:t>
      </w:r>
      <w:r w:rsidRPr="002D13A0">
        <w:rPr>
          <w:rFonts w:ascii="Arial" w:hAnsi="Arial" w:cs="Arial"/>
          <w:sz w:val="24"/>
          <w:szCs w:val="24"/>
        </w:rPr>
        <w:t xml:space="preserve"> zamestnancov, v kategórii kurič </w:t>
      </w:r>
      <w:r w:rsidR="00415071">
        <w:rPr>
          <w:rFonts w:ascii="Arial" w:hAnsi="Arial" w:cs="Arial"/>
          <w:sz w:val="24"/>
          <w:szCs w:val="24"/>
        </w:rPr>
        <w:t xml:space="preserve">17 </w:t>
      </w:r>
      <w:r w:rsidRPr="002D13A0">
        <w:rPr>
          <w:rFonts w:ascii="Arial" w:hAnsi="Arial" w:cs="Arial"/>
          <w:sz w:val="24"/>
          <w:szCs w:val="24"/>
        </w:rPr>
        <w:t xml:space="preserve">zamestnancov, v kategórii ostatní </w:t>
      </w:r>
      <w:r w:rsidR="00415071">
        <w:rPr>
          <w:rFonts w:ascii="Arial" w:hAnsi="Arial" w:cs="Arial"/>
          <w:sz w:val="24"/>
          <w:szCs w:val="24"/>
        </w:rPr>
        <w:t>24</w:t>
      </w:r>
      <w:r w:rsidRPr="002D13A0">
        <w:rPr>
          <w:rFonts w:ascii="Arial" w:hAnsi="Arial" w:cs="Arial"/>
          <w:sz w:val="24"/>
          <w:szCs w:val="24"/>
        </w:rPr>
        <w:t xml:space="preserve"> zamestnancov a v kategórii technicko-hospodárskych pracovníkov to bolo </w:t>
      </w:r>
      <w:r w:rsidR="00415071">
        <w:rPr>
          <w:rFonts w:ascii="Arial" w:hAnsi="Arial" w:cs="Arial"/>
          <w:sz w:val="24"/>
          <w:szCs w:val="24"/>
        </w:rPr>
        <w:t>86</w:t>
      </w:r>
      <w:r w:rsidRPr="002D13A0">
        <w:rPr>
          <w:rFonts w:ascii="Arial" w:hAnsi="Arial" w:cs="Arial"/>
          <w:sz w:val="24"/>
          <w:szCs w:val="24"/>
        </w:rPr>
        <w:t xml:space="preserve"> zamestnancov. Medziročne sa </w:t>
      </w:r>
      <w:r w:rsidR="00CE1C82">
        <w:rPr>
          <w:rFonts w:ascii="Arial" w:hAnsi="Arial" w:cs="Arial"/>
          <w:sz w:val="24"/>
          <w:szCs w:val="24"/>
        </w:rPr>
        <w:t xml:space="preserve">vplyvom poklesu počtu kuričov a z dôvodu zrušenia prevádzky </w:t>
      </w:r>
      <w:r w:rsidR="008F6EA3">
        <w:rPr>
          <w:rFonts w:ascii="Arial" w:hAnsi="Arial" w:cs="Arial"/>
          <w:sz w:val="24"/>
          <w:szCs w:val="24"/>
        </w:rPr>
        <w:t>Chemická práčovňa a čistiareň</w:t>
      </w:r>
      <w:r w:rsidR="00CE1C82">
        <w:rPr>
          <w:rFonts w:ascii="Arial" w:hAnsi="Arial" w:cs="Arial"/>
          <w:sz w:val="24"/>
          <w:szCs w:val="24"/>
        </w:rPr>
        <w:t xml:space="preserve"> znížil </w:t>
      </w:r>
      <w:r w:rsidRPr="002D13A0">
        <w:rPr>
          <w:rFonts w:ascii="Arial" w:hAnsi="Arial" w:cs="Arial"/>
          <w:sz w:val="24"/>
          <w:szCs w:val="24"/>
        </w:rPr>
        <w:t>priemerný počet zamestnancov o </w:t>
      </w:r>
      <w:r w:rsidR="00415071">
        <w:rPr>
          <w:rFonts w:ascii="Arial" w:hAnsi="Arial" w:cs="Arial"/>
          <w:sz w:val="24"/>
          <w:szCs w:val="24"/>
        </w:rPr>
        <w:t>13</w:t>
      </w:r>
      <w:r w:rsidRPr="002D13A0">
        <w:rPr>
          <w:rFonts w:ascii="Arial" w:hAnsi="Arial" w:cs="Arial"/>
          <w:sz w:val="24"/>
          <w:szCs w:val="24"/>
        </w:rPr>
        <w:t xml:space="preserve">, štruktúra sa výrazne nezmenila, mierne vzrástol podiel </w:t>
      </w:r>
      <w:r w:rsidR="00415071">
        <w:rPr>
          <w:rFonts w:ascii="Arial" w:hAnsi="Arial" w:cs="Arial"/>
          <w:sz w:val="24"/>
          <w:szCs w:val="24"/>
        </w:rPr>
        <w:t>THP</w:t>
      </w:r>
      <w:r w:rsidRPr="002D13A0">
        <w:rPr>
          <w:rFonts w:ascii="Arial" w:hAnsi="Arial" w:cs="Arial"/>
          <w:sz w:val="24"/>
          <w:szCs w:val="24"/>
        </w:rPr>
        <w:t xml:space="preserve"> na úkor </w:t>
      </w:r>
      <w:r w:rsidR="00CE1C82">
        <w:rPr>
          <w:rFonts w:ascii="Arial" w:hAnsi="Arial" w:cs="Arial"/>
          <w:sz w:val="24"/>
          <w:szCs w:val="24"/>
        </w:rPr>
        <w:t xml:space="preserve">kuričov a </w:t>
      </w:r>
      <w:r w:rsidRPr="002D13A0">
        <w:rPr>
          <w:rFonts w:ascii="Arial" w:hAnsi="Arial" w:cs="Arial"/>
          <w:sz w:val="24"/>
          <w:szCs w:val="24"/>
        </w:rPr>
        <w:t>ostatných.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Spoločnosť BYTTERM, a.s. zamestnávala v roku 201</w:t>
      </w:r>
      <w:r w:rsidR="00CE1C82">
        <w:rPr>
          <w:rFonts w:ascii="Arial" w:hAnsi="Arial" w:cs="Arial"/>
          <w:sz w:val="24"/>
          <w:szCs w:val="24"/>
        </w:rPr>
        <w:t>7</w:t>
      </w:r>
      <w:r w:rsidRPr="002D13A0">
        <w:rPr>
          <w:rFonts w:ascii="Arial" w:hAnsi="Arial" w:cs="Arial"/>
          <w:sz w:val="24"/>
          <w:szCs w:val="24"/>
        </w:rPr>
        <w:t xml:space="preserve"> v priemere 1</w:t>
      </w:r>
      <w:r w:rsidR="00CE1C82">
        <w:rPr>
          <w:rFonts w:ascii="Arial" w:hAnsi="Arial" w:cs="Arial"/>
          <w:sz w:val="24"/>
          <w:szCs w:val="24"/>
        </w:rPr>
        <w:t>5</w:t>
      </w:r>
      <w:r w:rsidRPr="002D13A0">
        <w:rPr>
          <w:rFonts w:ascii="Arial" w:hAnsi="Arial" w:cs="Arial"/>
          <w:sz w:val="24"/>
          <w:szCs w:val="24"/>
        </w:rPr>
        <w:t xml:space="preserve"> osôb so zdravotným postihnutím, čím si splnila povinný zákonný podiel zamestnávania zdravotne postihnutých občanov.</w:t>
      </w:r>
    </w:p>
    <w:p w:rsidR="005568B1" w:rsidRDefault="005568B1" w:rsidP="006C72AC">
      <w:pPr>
        <w:spacing w:line="276" w:lineRule="auto"/>
        <w:jc w:val="both"/>
        <w:rPr>
          <w:rFonts w:ascii="Times New Roman" w:hAnsi="Times New Roman" w:cs="Arial"/>
          <w:sz w:val="24"/>
        </w:rPr>
      </w:pPr>
    </w:p>
    <w:tbl>
      <w:tblPr>
        <w:tblW w:w="43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31"/>
        <w:gridCol w:w="1825"/>
        <w:gridCol w:w="1467"/>
        <w:gridCol w:w="1053"/>
        <w:gridCol w:w="1945"/>
      </w:tblGrid>
      <w:tr w:rsidR="00415071" w:rsidRPr="009756E1" w:rsidTr="00CE1C82">
        <w:trPr>
          <w:trHeight w:val="255"/>
        </w:trPr>
        <w:tc>
          <w:tcPr>
            <w:tcW w:w="102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538135" w:themeFill="accent6" w:themeFillShade="BF"/>
            <w:noWrap/>
            <w:vAlign w:val="bottom"/>
            <w:hideMark/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sk-SK"/>
              </w:rPr>
            </w:pPr>
            <w:r w:rsidRPr="009756E1"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sk-SK"/>
              </w:rPr>
              <w:t xml:space="preserve">Štruktúra </w:t>
            </w:r>
          </w:p>
        </w:tc>
        <w:tc>
          <w:tcPr>
            <w:tcW w:w="274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  <w:noWrap/>
            <w:vAlign w:val="bottom"/>
            <w:hideMark/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shd w:val="clear" w:color="auto" w:fill="538135" w:themeFill="accent6" w:themeFillShade="BF"/>
                <w:lang w:eastAsia="sk-SK"/>
              </w:rPr>
            </w:pPr>
            <w:r w:rsidRPr="009756E1"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sk-SK"/>
              </w:rPr>
              <w:t>Počet</w:t>
            </w:r>
            <w:r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sk-SK"/>
              </w:rPr>
              <w:t xml:space="preserve"> zamestnancov</w:t>
            </w:r>
          </w:p>
        </w:tc>
        <w:tc>
          <w:tcPr>
            <w:tcW w:w="122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  <w:noWrap/>
            <w:vAlign w:val="bottom"/>
            <w:hideMark/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756E1"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shd w:val="clear" w:color="auto" w:fill="538135" w:themeFill="accent6" w:themeFillShade="BF"/>
                <w:lang w:eastAsia="sk-SK"/>
              </w:rPr>
              <w:t>podiel</w:t>
            </w:r>
            <w:r w:rsidRPr="009756E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CE1C82"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sk-SK"/>
              </w:rPr>
              <w:t>v 2017</w:t>
            </w:r>
          </w:p>
        </w:tc>
      </w:tr>
      <w:tr w:rsidR="00415071" w:rsidRPr="009756E1" w:rsidTr="00CE1C82">
        <w:trPr>
          <w:trHeight w:val="255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  <w:noWrap/>
            <w:vAlign w:val="bottom"/>
            <w:hideMark/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sk-SK"/>
              </w:rPr>
            </w:pPr>
            <w:r w:rsidRPr="009756E1"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sk-SK"/>
              </w:rPr>
              <w:t>zamestnancov</w:t>
            </w:r>
          </w:p>
        </w:tc>
        <w:tc>
          <w:tcPr>
            <w:tcW w:w="1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  <w:noWrap/>
            <w:vAlign w:val="bottom"/>
            <w:hideMark/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sk-SK"/>
              </w:rPr>
              <w:t>2015</w:t>
            </w:r>
          </w:p>
        </w:tc>
        <w:tc>
          <w:tcPr>
            <w:tcW w:w="9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15071"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sk-SK"/>
              </w:rPr>
              <w:t>2016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</w:tcPr>
          <w:p w:rsidR="00415071" w:rsidRPr="0041507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sk-SK"/>
              </w:rPr>
            </w:pPr>
            <w:r w:rsidRPr="00415071">
              <w:rPr>
                <w:rFonts w:ascii="Times New Roman" w:eastAsia="Times New Roman" w:hAnsi="Times New Roman" w:cs="Times New Roman"/>
                <w:b/>
                <w:bCs/>
                <w:color w:val="FFFFFF" w:themeColor="background1"/>
                <w:sz w:val="24"/>
                <w:szCs w:val="24"/>
                <w:lang w:eastAsia="sk-SK"/>
              </w:rPr>
              <w:t>2017</w:t>
            </w:r>
          </w:p>
        </w:tc>
        <w:tc>
          <w:tcPr>
            <w:tcW w:w="122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38135" w:themeFill="accent6" w:themeFillShade="BF"/>
            <w:vAlign w:val="center"/>
            <w:hideMark/>
          </w:tcPr>
          <w:p w:rsidR="00415071" w:rsidRPr="009756E1" w:rsidRDefault="00415071" w:rsidP="006C72AC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415071" w:rsidRPr="009756E1" w:rsidTr="00CE1C82">
        <w:trPr>
          <w:trHeight w:val="285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 w:rsidRPr="009756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 xml:space="preserve"> údržbári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5071" w:rsidRPr="009756E1" w:rsidRDefault="00CE1C82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43</w:t>
            </w:r>
          </w:p>
        </w:tc>
        <w:tc>
          <w:tcPr>
            <w:tcW w:w="9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45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43</w:t>
            </w:r>
          </w:p>
        </w:tc>
        <w:tc>
          <w:tcPr>
            <w:tcW w:w="12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 w:rsidRPr="009756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5</w:t>
            </w:r>
            <w:r w:rsidRPr="009756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%</w:t>
            </w:r>
          </w:p>
        </w:tc>
      </w:tr>
      <w:tr w:rsidR="00415071" w:rsidRPr="009756E1" w:rsidTr="00CE1C82">
        <w:trPr>
          <w:trHeight w:val="285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 w:rsidRPr="009756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kuriči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 w:rsidRPr="009756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21</w:t>
            </w:r>
          </w:p>
        </w:tc>
        <w:tc>
          <w:tcPr>
            <w:tcW w:w="9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21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17</w:t>
            </w:r>
          </w:p>
        </w:tc>
        <w:tc>
          <w:tcPr>
            <w:tcW w:w="12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10</w:t>
            </w:r>
            <w:r w:rsidRPr="009756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%</w:t>
            </w:r>
          </w:p>
        </w:tc>
      </w:tr>
      <w:tr w:rsidR="00415071" w:rsidRPr="009756E1" w:rsidTr="00CE1C82">
        <w:trPr>
          <w:trHeight w:val="285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 w:rsidRPr="009756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ostatní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5071" w:rsidRPr="009756E1" w:rsidRDefault="00CE1C82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30</w:t>
            </w:r>
          </w:p>
        </w:tc>
        <w:tc>
          <w:tcPr>
            <w:tcW w:w="9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29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24</w:t>
            </w:r>
          </w:p>
        </w:tc>
        <w:tc>
          <w:tcPr>
            <w:tcW w:w="12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14</w:t>
            </w:r>
            <w:r w:rsidRPr="009756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%</w:t>
            </w:r>
          </w:p>
        </w:tc>
      </w:tr>
      <w:tr w:rsidR="00415071" w:rsidRPr="009756E1" w:rsidTr="00CE1C82">
        <w:trPr>
          <w:trHeight w:val="285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 w:rsidRPr="009756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THP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5071" w:rsidRPr="009756E1" w:rsidRDefault="00C221A9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90</w:t>
            </w:r>
          </w:p>
        </w:tc>
        <w:tc>
          <w:tcPr>
            <w:tcW w:w="9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88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86</w:t>
            </w:r>
          </w:p>
        </w:tc>
        <w:tc>
          <w:tcPr>
            <w:tcW w:w="12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51</w:t>
            </w:r>
            <w:r w:rsidRPr="009756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sk-SK"/>
              </w:rPr>
              <w:t>%</w:t>
            </w:r>
          </w:p>
        </w:tc>
      </w:tr>
      <w:tr w:rsidR="00415071" w:rsidRPr="009756E1" w:rsidTr="00CE1C82">
        <w:trPr>
          <w:trHeight w:val="300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385623" w:themeColor="accent6" w:themeShade="80"/>
                <w:sz w:val="24"/>
                <w:szCs w:val="24"/>
                <w:lang w:eastAsia="sk-SK"/>
              </w:rPr>
            </w:pPr>
            <w:r w:rsidRPr="009756E1">
              <w:rPr>
                <w:rFonts w:ascii="Times New Roman" w:eastAsia="Times New Roman" w:hAnsi="Times New Roman" w:cs="Times New Roman"/>
                <w:b/>
                <w:bCs/>
                <w:color w:val="385623" w:themeColor="accent6" w:themeShade="8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5071" w:rsidRPr="009756E1" w:rsidRDefault="00CE1C82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385623" w:themeColor="accent6" w:themeShade="8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385623" w:themeColor="accent6" w:themeShade="80"/>
                <w:sz w:val="24"/>
                <w:szCs w:val="24"/>
                <w:lang w:eastAsia="sk-SK"/>
              </w:rPr>
              <w:t>184</w:t>
            </w:r>
          </w:p>
        </w:tc>
        <w:tc>
          <w:tcPr>
            <w:tcW w:w="9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385623" w:themeColor="accent6" w:themeShade="8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385623" w:themeColor="accent6" w:themeShade="80"/>
                <w:sz w:val="24"/>
                <w:szCs w:val="24"/>
                <w:lang w:eastAsia="sk-SK"/>
              </w:rPr>
              <w:t>183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385623" w:themeColor="accent6" w:themeShade="8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385623" w:themeColor="accent6" w:themeShade="80"/>
                <w:sz w:val="24"/>
                <w:szCs w:val="24"/>
                <w:lang w:eastAsia="sk-SK"/>
              </w:rPr>
              <w:t>170</w:t>
            </w:r>
          </w:p>
        </w:tc>
        <w:tc>
          <w:tcPr>
            <w:tcW w:w="12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5071" w:rsidRPr="009756E1" w:rsidRDefault="00415071" w:rsidP="006C72A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385623" w:themeColor="accent6" w:themeShade="80"/>
                <w:sz w:val="24"/>
                <w:szCs w:val="24"/>
                <w:lang w:eastAsia="sk-SK"/>
              </w:rPr>
            </w:pPr>
            <w:r w:rsidRPr="009756E1">
              <w:rPr>
                <w:rFonts w:ascii="Times New Roman" w:eastAsia="Times New Roman" w:hAnsi="Times New Roman" w:cs="Times New Roman"/>
                <w:b/>
                <w:bCs/>
                <w:color w:val="385623" w:themeColor="accent6" w:themeShade="80"/>
                <w:sz w:val="24"/>
                <w:szCs w:val="24"/>
                <w:lang w:eastAsia="sk-SK"/>
              </w:rPr>
              <w:t>100</w:t>
            </w:r>
          </w:p>
        </w:tc>
      </w:tr>
    </w:tbl>
    <w:p w:rsidR="005568B1" w:rsidRDefault="005568B1" w:rsidP="006C72AC">
      <w:pPr>
        <w:spacing w:line="276" w:lineRule="auto"/>
        <w:jc w:val="both"/>
        <w:rPr>
          <w:rFonts w:ascii="Times New Roman" w:hAnsi="Times New Roman" w:cs="Arial"/>
          <w:sz w:val="24"/>
        </w:rPr>
      </w:pPr>
    </w:p>
    <w:p w:rsidR="005568B1" w:rsidRDefault="00ED0DE2" w:rsidP="006C72AC">
      <w:pPr>
        <w:spacing w:line="276" w:lineRule="auto"/>
        <w:rPr>
          <w:rFonts w:ascii="Times New Roman" w:hAnsi="Times New Roman" w:cs="Arial"/>
          <w:sz w:val="24"/>
          <w:szCs w:val="36"/>
        </w:rPr>
      </w:pPr>
      <w:r>
        <w:rPr>
          <w:rFonts w:ascii="Times New Roman" w:hAnsi="Times New Roman" w:cs="Arial"/>
          <w:noProof/>
          <w:sz w:val="24"/>
          <w:szCs w:val="36"/>
          <w:lang w:eastAsia="sk-SK"/>
        </w:rPr>
        <w:drawing>
          <wp:inline distT="0" distB="0" distL="0" distR="0">
            <wp:extent cx="4972050" cy="2951597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662" cy="29519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Hlavným cieľom  personálnej politiky našej akciovej spoločnosti je starostlivosť o zamestnancov – od získavania, výberu, vzdelávania internými a externými školeniami, až po bezpečnosť pri práci alebo poskytovanie rôznych benefitov. 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>
        <w:rPr>
          <w:rFonts w:ascii="Arial" w:hAnsi="Arial" w:cs="Arial"/>
          <w:smallCaps/>
          <w:color w:val="538135" w:themeColor="accent6" w:themeShade="BF"/>
          <w:sz w:val="36"/>
          <w:szCs w:val="36"/>
        </w:rPr>
        <w:lastRenderedPageBreak/>
        <w:t>mzdová a sociálna politika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b/>
          <w:i/>
          <w:color w:val="000000" w:themeColor="text1"/>
          <w:sz w:val="24"/>
          <w:szCs w:val="24"/>
        </w:rPr>
      </w:pP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Mzdový systém  v akciovej spoločnosti BYTTERM je súčasťou platnej Kolektívnej zmluvy s  využívaním takých foriem miezd a odmien, ktoré sú použiteľné pre každú oblasť činnosti v našej spoločnosti. 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2D13A0">
        <w:rPr>
          <w:rFonts w:ascii="Arial" w:hAnsi="Arial" w:cs="Arial"/>
          <w:color w:val="000000" w:themeColor="text1"/>
          <w:sz w:val="24"/>
          <w:szCs w:val="24"/>
        </w:rPr>
        <w:t>Mzdové náklady sa za rok 201</w:t>
      </w:r>
      <w:r w:rsidR="00CE1C82">
        <w:rPr>
          <w:rFonts w:ascii="Arial" w:hAnsi="Arial" w:cs="Arial"/>
          <w:color w:val="000000" w:themeColor="text1"/>
          <w:sz w:val="24"/>
          <w:szCs w:val="24"/>
        </w:rPr>
        <w:t>7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čerpali vo výške </w:t>
      </w:r>
      <w:r w:rsidRPr="002D13A0">
        <w:rPr>
          <w:rFonts w:ascii="Arial" w:hAnsi="Arial" w:cs="Arial"/>
          <w:bCs/>
          <w:color w:val="000000" w:themeColor="text1"/>
          <w:sz w:val="24"/>
          <w:szCs w:val="24"/>
        </w:rPr>
        <w:t>2 0</w:t>
      </w:r>
      <w:r w:rsidR="00CE1C82">
        <w:rPr>
          <w:rFonts w:ascii="Arial" w:hAnsi="Arial" w:cs="Arial"/>
          <w:bCs/>
          <w:color w:val="000000" w:themeColor="text1"/>
          <w:sz w:val="24"/>
          <w:szCs w:val="24"/>
        </w:rPr>
        <w:t>26</w:t>
      </w:r>
      <w:r w:rsidRPr="002D13A0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="00CE1C82">
        <w:rPr>
          <w:rFonts w:ascii="Arial" w:hAnsi="Arial" w:cs="Arial"/>
          <w:bCs/>
          <w:color w:val="000000" w:themeColor="text1"/>
          <w:sz w:val="24"/>
          <w:szCs w:val="24"/>
        </w:rPr>
        <w:t>474</w:t>
      </w:r>
      <w:r w:rsidRPr="002D13A0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€, čo predstavuje v porovnaní s plánom šetrenie vo výške </w:t>
      </w:r>
      <w:r w:rsidR="00CE1C82">
        <w:rPr>
          <w:rFonts w:ascii="Arial" w:hAnsi="Arial" w:cs="Arial"/>
          <w:color w:val="000000" w:themeColor="text1"/>
          <w:sz w:val="24"/>
          <w:szCs w:val="24"/>
        </w:rPr>
        <w:t>100 187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€, t.j. </w:t>
      </w:r>
      <w:r w:rsidR="00CE1C82">
        <w:rPr>
          <w:rFonts w:ascii="Arial" w:hAnsi="Arial" w:cs="Arial"/>
          <w:color w:val="000000" w:themeColor="text1"/>
          <w:sz w:val="24"/>
          <w:szCs w:val="24"/>
        </w:rPr>
        <w:t>4,7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%. </w:t>
      </w:r>
    </w:p>
    <w:p w:rsidR="005568B1" w:rsidRPr="00606585" w:rsidRDefault="005568B1" w:rsidP="006C72AC">
      <w:pPr>
        <w:spacing w:line="276" w:lineRule="auto"/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2D13A0">
        <w:rPr>
          <w:rFonts w:ascii="Arial" w:hAnsi="Arial" w:cs="Arial"/>
          <w:color w:val="000000" w:themeColor="text1"/>
          <w:sz w:val="24"/>
          <w:szCs w:val="24"/>
        </w:rPr>
        <w:t>Priemerná mzda za obdobie 1.-12. mesiac r. 201</w:t>
      </w:r>
      <w:r w:rsidR="00CE1C82">
        <w:rPr>
          <w:rFonts w:ascii="Arial" w:hAnsi="Arial" w:cs="Arial"/>
          <w:color w:val="000000" w:themeColor="text1"/>
          <w:sz w:val="24"/>
          <w:szCs w:val="24"/>
        </w:rPr>
        <w:t>7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dosiahla </w:t>
      </w:r>
      <w:r w:rsidR="00CE1C82">
        <w:rPr>
          <w:rFonts w:ascii="Arial" w:hAnsi="Arial" w:cs="Arial"/>
          <w:color w:val="000000" w:themeColor="text1"/>
          <w:sz w:val="24"/>
          <w:szCs w:val="24"/>
        </w:rPr>
        <w:t>993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€. V porovnaní s porovnateľným obdobím minulého roka vzrástla o</w:t>
      </w:r>
      <w:r w:rsidR="00CE1C82">
        <w:rPr>
          <w:rFonts w:ascii="Arial" w:hAnsi="Arial" w:cs="Arial"/>
          <w:color w:val="000000" w:themeColor="text1"/>
          <w:sz w:val="24"/>
          <w:szCs w:val="24"/>
        </w:rPr>
        <w:t> 5,3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%, čo vo finančnom vyjadrení predstavuje hodnotu </w:t>
      </w:r>
      <w:r w:rsidR="00CE1C82">
        <w:rPr>
          <w:rFonts w:ascii="Arial" w:hAnsi="Arial" w:cs="Arial"/>
          <w:color w:val="000000" w:themeColor="text1"/>
          <w:sz w:val="24"/>
          <w:szCs w:val="24"/>
        </w:rPr>
        <w:t>50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€.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6"/>
        <w:gridCol w:w="1200"/>
        <w:gridCol w:w="1411"/>
        <w:gridCol w:w="1411"/>
        <w:gridCol w:w="1411"/>
        <w:gridCol w:w="1411"/>
      </w:tblGrid>
      <w:tr w:rsidR="005568B1" w:rsidTr="005568B1">
        <w:trPr>
          <w:trHeight w:val="328"/>
        </w:trPr>
        <w:tc>
          <w:tcPr>
            <w:tcW w:w="1284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68B1" w:rsidRPr="000D0EA4" w:rsidRDefault="005568B1" w:rsidP="006C72A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D0EA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5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538135" w:themeFill="accent6" w:themeFillShade="BF"/>
            <w:noWrap/>
            <w:vAlign w:val="bottom"/>
          </w:tcPr>
          <w:p w:rsidR="005568B1" w:rsidRPr="000D0EA4" w:rsidRDefault="0065727F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2013</w:t>
            </w:r>
          </w:p>
        </w:tc>
        <w:tc>
          <w:tcPr>
            <w:tcW w:w="7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538135" w:themeFill="accent6" w:themeFillShade="BF"/>
            <w:noWrap/>
            <w:vAlign w:val="bottom"/>
          </w:tcPr>
          <w:p w:rsidR="005568B1" w:rsidRPr="000D0EA4" w:rsidRDefault="0065727F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2014</w:t>
            </w:r>
          </w:p>
        </w:tc>
        <w:tc>
          <w:tcPr>
            <w:tcW w:w="7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538135" w:themeFill="accent6" w:themeFillShade="BF"/>
            <w:noWrap/>
            <w:vAlign w:val="bottom"/>
          </w:tcPr>
          <w:p w:rsidR="005568B1" w:rsidRPr="000D0EA4" w:rsidRDefault="00093D19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2015</w:t>
            </w:r>
          </w:p>
        </w:tc>
        <w:tc>
          <w:tcPr>
            <w:tcW w:w="7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538135" w:themeFill="accent6" w:themeFillShade="BF"/>
            <w:noWrap/>
            <w:vAlign w:val="bottom"/>
          </w:tcPr>
          <w:p w:rsidR="005568B1" w:rsidRPr="000D0EA4" w:rsidRDefault="0065727F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2016</w:t>
            </w:r>
          </w:p>
        </w:tc>
        <w:tc>
          <w:tcPr>
            <w:tcW w:w="7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538135" w:themeFill="accent6" w:themeFillShade="BF"/>
            <w:noWrap/>
            <w:vAlign w:val="bottom"/>
          </w:tcPr>
          <w:p w:rsidR="005568B1" w:rsidRPr="000D0EA4" w:rsidRDefault="0065727F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2017</w:t>
            </w:r>
          </w:p>
        </w:tc>
      </w:tr>
      <w:tr w:rsidR="005568B1" w:rsidTr="005568B1">
        <w:trPr>
          <w:trHeight w:val="406"/>
        </w:trPr>
        <w:tc>
          <w:tcPr>
            <w:tcW w:w="1284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bottom"/>
          </w:tcPr>
          <w:p w:rsidR="005568B1" w:rsidRPr="000D0EA4" w:rsidRDefault="005568B1" w:rsidP="006C72AC">
            <w:pPr>
              <w:spacing w:line="276" w:lineRule="auto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</w:rPr>
              <w:t>p</w:t>
            </w:r>
            <w:r w:rsidRPr="000D0EA4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</w:rPr>
              <w:t>riem</w:t>
            </w:r>
            <w:r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</w:rPr>
              <w:t xml:space="preserve">erná </w:t>
            </w:r>
            <w:r w:rsidRPr="000D0EA4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</w:rPr>
              <w:t>mzda</w:t>
            </w:r>
            <w:r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</w:rPr>
              <w:t xml:space="preserve"> v </w:t>
            </w:r>
            <w:r w:rsidRPr="00B5031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0D0EA4" w:rsidRDefault="0065727F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838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0D0EA4" w:rsidRDefault="0065727F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891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0D0EA4" w:rsidRDefault="00E83195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910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0D0EA4" w:rsidRDefault="0065727F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943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0D0EA4" w:rsidRDefault="0065727F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993</w:t>
            </w:r>
          </w:p>
        </w:tc>
      </w:tr>
      <w:tr w:rsidR="005568B1" w:rsidTr="005568B1">
        <w:trPr>
          <w:trHeight w:val="214"/>
        </w:trPr>
        <w:tc>
          <w:tcPr>
            <w:tcW w:w="12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noWrap/>
            <w:vAlign w:val="bottom"/>
          </w:tcPr>
          <w:p w:rsidR="005568B1" w:rsidRPr="000D0EA4" w:rsidRDefault="005568B1" w:rsidP="006C72AC">
            <w:pPr>
              <w:spacing w:line="276" w:lineRule="auto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</w:rPr>
            </w:pPr>
            <w:r w:rsidRPr="000D0EA4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</w:rPr>
              <w:t>% zmena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0D0EA4" w:rsidRDefault="0065727F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103,6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0D0EA4" w:rsidRDefault="0065727F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106,3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0D0EA4" w:rsidRDefault="00E83195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102,1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0D0EA4" w:rsidRDefault="0065727F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103,6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0D0EA4" w:rsidRDefault="0065727F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105,3</w:t>
            </w:r>
          </w:p>
        </w:tc>
      </w:tr>
      <w:tr w:rsidR="005568B1" w:rsidTr="005568B1">
        <w:trPr>
          <w:trHeight w:val="315"/>
        </w:trPr>
        <w:tc>
          <w:tcPr>
            <w:tcW w:w="12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noWrap/>
            <w:vAlign w:val="bottom"/>
          </w:tcPr>
          <w:p w:rsidR="005568B1" w:rsidRPr="000D0EA4" w:rsidRDefault="005568B1" w:rsidP="006C72AC">
            <w:pPr>
              <w:spacing w:line="276" w:lineRule="auto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</w:rPr>
              <w:t xml:space="preserve">zmena v </w:t>
            </w:r>
            <w:r w:rsidRPr="00B5031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€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0D0EA4" w:rsidRDefault="0065727F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0D0EA4" w:rsidRDefault="0065727F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E8319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0D0EA4" w:rsidRDefault="00E83195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0D0EA4" w:rsidRDefault="0065727F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0D0EA4" w:rsidRDefault="0065727F" w:rsidP="006C72AC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</w:tr>
    </w:tbl>
    <w:p w:rsidR="00B2491E" w:rsidRDefault="00B2491E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 xml:space="preserve">V oblasti starostlivosti o zamestnancov  realizovala spoločnosť BYTTERM, a.s. sociálnu politiku v duchu sociálneho programu </w:t>
      </w:r>
      <w:r w:rsidR="00E83195">
        <w:rPr>
          <w:rFonts w:ascii="Arial" w:hAnsi="Arial" w:cs="Arial"/>
          <w:sz w:val="24"/>
          <w:szCs w:val="24"/>
        </w:rPr>
        <w:t>zakotveného v Kolektívnej zmluve.</w:t>
      </w:r>
      <w:r w:rsidRPr="002D13A0">
        <w:rPr>
          <w:rFonts w:ascii="Arial" w:hAnsi="Arial" w:cs="Arial"/>
          <w:sz w:val="24"/>
          <w:szCs w:val="24"/>
        </w:rPr>
        <w:t xml:space="preserve"> </w:t>
      </w:r>
      <w:r w:rsidR="00E83195">
        <w:rPr>
          <w:rFonts w:ascii="Arial" w:hAnsi="Arial" w:cs="Arial"/>
          <w:sz w:val="24"/>
          <w:szCs w:val="24"/>
        </w:rPr>
        <w:t xml:space="preserve">       </w:t>
      </w:r>
      <w:r w:rsidRPr="002D13A0">
        <w:rPr>
          <w:rFonts w:ascii="Arial" w:hAnsi="Arial" w:cs="Arial"/>
          <w:sz w:val="24"/>
          <w:szCs w:val="24"/>
        </w:rPr>
        <w:t xml:space="preserve">K najvýznamnejším zamestnaneckým </w:t>
      </w:r>
      <w:r w:rsidR="00B2491E">
        <w:rPr>
          <w:rFonts w:ascii="Arial" w:hAnsi="Arial" w:cs="Arial"/>
          <w:sz w:val="24"/>
          <w:szCs w:val="24"/>
        </w:rPr>
        <w:t>benefitom</w:t>
      </w:r>
      <w:r w:rsidRPr="002D13A0">
        <w:rPr>
          <w:rFonts w:ascii="Arial" w:hAnsi="Arial" w:cs="Arial"/>
          <w:sz w:val="24"/>
          <w:szCs w:val="24"/>
        </w:rPr>
        <w:t xml:space="preserve"> patrí príspevok na stravovanie</w:t>
      </w:r>
      <w:r w:rsidR="00E83195">
        <w:rPr>
          <w:rFonts w:ascii="Arial" w:hAnsi="Arial" w:cs="Arial"/>
          <w:sz w:val="24"/>
          <w:szCs w:val="24"/>
        </w:rPr>
        <w:t>,</w:t>
      </w:r>
      <w:r w:rsidRPr="002D13A0">
        <w:rPr>
          <w:rFonts w:ascii="Arial" w:hAnsi="Arial" w:cs="Arial"/>
          <w:sz w:val="24"/>
          <w:szCs w:val="24"/>
        </w:rPr>
        <w:t xml:space="preserve"> príspevok na rekreáciu</w:t>
      </w:r>
      <w:r w:rsidR="00E83195">
        <w:rPr>
          <w:rFonts w:ascii="Arial" w:hAnsi="Arial" w:cs="Arial"/>
          <w:sz w:val="24"/>
          <w:szCs w:val="24"/>
        </w:rPr>
        <w:t xml:space="preserve"> a poukážky na regeneráciu fyzických síl</w:t>
      </w:r>
      <w:r w:rsidRPr="002D13A0">
        <w:rPr>
          <w:rFonts w:ascii="Arial" w:hAnsi="Arial" w:cs="Arial"/>
          <w:sz w:val="24"/>
          <w:szCs w:val="24"/>
        </w:rPr>
        <w:t>.</w:t>
      </w:r>
      <w:r w:rsidR="00E83195">
        <w:rPr>
          <w:rFonts w:ascii="Arial" w:hAnsi="Arial" w:cs="Arial"/>
          <w:sz w:val="24"/>
          <w:szCs w:val="24"/>
        </w:rPr>
        <w:t xml:space="preserve"> Okrem toho </w:t>
      </w:r>
      <w:r w:rsidR="00B2491E">
        <w:rPr>
          <w:rFonts w:ascii="Arial" w:hAnsi="Arial" w:cs="Arial"/>
          <w:sz w:val="24"/>
          <w:szCs w:val="24"/>
        </w:rPr>
        <w:t>v rámci tohto programu spoločnosť poskytuje zamestnankyniam  matkám 1 deň dovolenky nad rámec zákonnej výmery.</w:t>
      </w:r>
      <w:r w:rsidRPr="002D13A0">
        <w:rPr>
          <w:rFonts w:ascii="Arial" w:hAnsi="Arial" w:cs="Arial"/>
          <w:sz w:val="24"/>
          <w:szCs w:val="24"/>
        </w:rPr>
        <w:t xml:space="preserve"> Oblasť odmeňovania definuje Mzdový poriadok</w:t>
      </w:r>
      <w:r w:rsidR="00B2491E">
        <w:rPr>
          <w:rFonts w:ascii="Arial" w:hAnsi="Arial" w:cs="Arial"/>
          <w:sz w:val="24"/>
          <w:szCs w:val="24"/>
        </w:rPr>
        <w:t>, ktorý</w:t>
      </w:r>
      <w:r w:rsidRPr="002D13A0">
        <w:rPr>
          <w:rFonts w:ascii="Arial" w:hAnsi="Arial" w:cs="Arial"/>
          <w:sz w:val="24"/>
          <w:szCs w:val="24"/>
        </w:rPr>
        <w:t xml:space="preserve"> </w:t>
      </w:r>
      <w:r w:rsidR="00B2491E">
        <w:rPr>
          <w:rFonts w:ascii="Arial" w:hAnsi="Arial" w:cs="Arial"/>
          <w:sz w:val="24"/>
          <w:szCs w:val="24"/>
        </w:rPr>
        <w:t>určuje</w:t>
      </w:r>
      <w:r w:rsidRPr="002D13A0">
        <w:rPr>
          <w:rFonts w:ascii="Arial" w:hAnsi="Arial" w:cs="Arial"/>
          <w:sz w:val="24"/>
          <w:szCs w:val="24"/>
        </w:rPr>
        <w:t xml:space="preserve"> pracovné zaradenie zamestnancov, stanovuj</w:t>
      </w:r>
      <w:r w:rsidR="00B2491E">
        <w:rPr>
          <w:rFonts w:ascii="Arial" w:hAnsi="Arial" w:cs="Arial"/>
          <w:sz w:val="24"/>
          <w:szCs w:val="24"/>
        </w:rPr>
        <w:t>e</w:t>
      </w:r>
      <w:r w:rsidRPr="002D13A0">
        <w:rPr>
          <w:rFonts w:ascii="Arial" w:hAnsi="Arial" w:cs="Arial"/>
          <w:sz w:val="24"/>
          <w:szCs w:val="24"/>
        </w:rPr>
        <w:t xml:space="preserve"> parametre miez</w:t>
      </w:r>
      <w:r w:rsidR="00606585">
        <w:rPr>
          <w:rFonts w:ascii="Arial" w:hAnsi="Arial" w:cs="Arial"/>
          <w:sz w:val="24"/>
          <w:szCs w:val="24"/>
        </w:rPr>
        <w:t>d, a tiež druhy a formy odmien.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64"/>
        <w:gridCol w:w="2746"/>
      </w:tblGrid>
      <w:tr w:rsidR="005568B1" w:rsidTr="005568B1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538135" w:themeFill="accent6" w:themeFillShade="BF"/>
            <w:noWrap/>
            <w:vAlign w:val="bottom"/>
          </w:tcPr>
          <w:p w:rsidR="005568B1" w:rsidRPr="00134552" w:rsidRDefault="005568B1" w:rsidP="006C7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34552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Čerpanie sociálneho fondu v r. 201</w:t>
            </w:r>
            <w:r w:rsidR="00ED0DE2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7</w:t>
            </w:r>
          </w:p>
        </w:tc>
      </w:tr>
      <w:tr w:rsidR="005568B1" w:rsidTr="00E83195">
        <w:trPr>
          <w:trHeight w:val="335"/>
        </w:trPr>
        <w:tc>
          <w:tcPr>
            <w:tcW w:w="350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538135" w:themeFill="accent6" w:themeFillShade="BF"/>
            <w:noWrap/>
            <w:vAlign w:val="bottom"/>
          </w:tcPr>
          <w:p w:rsidR="005568B1" w:rsidRPr="00134552" w:rsidRDefault="005568B1" w:rsidP="006C7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34552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Druh príspevku</w:t>
            </w:r>
          </w:p>
        </w:tc>
        <w:tc>
          <w:tcPr>
            <w:tcW w:w="149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538135" w:themeFill="accent6" w:themeFillShade="BF"/>
            <w:noWrap/>
            <w:vAlign w:val="bottom"/>
          </w:tcPr>
          <w:p w:rsidR="005568B1" w:rsidRPr="00134552" w:rsidRDefault="005568B1" w:rsidP="006C7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34552">
              <w:rPr>
                <w:rFonts w:ascii="Times New Roman" w:hAnsi="Times New Roman" w:cs="Times New Roman"/>
                <w:b/>
                <w:bCs/>
                <w:color w:val="FFFFFF" w:themeColor="background1"/>
                <w:sz w:val="24"/>
                <w:szCs w:val="24"/>
              </w:rPr>
              <w:t>Suma v €</w:t>
            </w:r>
          </w:p>
        </w:tc>
      </w:tr>
      <w:tr w:rsidR="005568B1" w:rsidTr="005568B1">
        <w:trPr>
          <w:trHeight w:val="255"/>
        </w:trPr>
        <w:tc>
          <w:tcPr>
            <w:tcW w:w="350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34552" w:rsidRDefault="005568B1" w:rsidP="006C72A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34552">
              <w:rPr>
                <w:rFonts w:ascii="Times New Roman" w:hAnsi="Times New Roman" w:cs="Times New Roman"/>
                <w:sz w:val="24"/>
                <w:szCs w:val="24"/>
              </w:rPr>
              <w:t>Príspevok na stravu</w:t>
            </w:r>
          </w:p>
        </w:tc>
        <w:tc>
          <w:tcPr>
            <w:tcW w:w="1491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34552" w:rsidRDefault="00ED0DE2" w:rsidP="006C7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21 196,24</w:t>
            </w:r>
          </w:p>
        </w:tc>
      </w:tr>
      <w:tr w:rsidR="005568B1" w:rsidTr="005568B1">
        <w:trPr>
          <w:trHeight w:val="255"/>
        </w:trPr>
        <w:tc>
          <w:tcPr>
            <w:tcW w:w="350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34552" w:rsidRDefault="005568B1" w:rsidP="006C72A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34552">
              <w:rPr>
                <w:rFonts w:ascii="Times New Roman" w:hAnsi="Times New Roman" w:cs="Times New Roman"/>
                <w:sz w:val="24"/>
                <w:szCs w:val="24"/>
              </w:rPr>
              <w:t>Príspevok na cestovné</w:t>
            </w:r>
          </w:p>
        </w:tc>
        <w:tc>
          <w:tcPr>
            <w:tcW w:w="1491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34552" w:rsidRDefault="00ED0DE2" w:rsidP="006C7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8 089,18</w:t>
            </w:r>
          </w:p>
        </w:tc>
      </w:tr>
      <w:tr w:rsidR="005568B1" w:rsidTr="005568B1">
        <w:trPr>
          <w:trHeight w:val="255"/>
        </w:trPr>
        <w:tc>
          <w:tcPr>
            <w:tcW w:w="350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34552" w:rsidRDefault="005568B1" w:rsidP="006C72A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34552">
              <w:rPr>
                <w:rFonts w:ascii="Times New Roman" w:hAnsi="Times New Roman" w:cs="Times New Roman"/>
                <w:sz w:val="24"/>
                <w:szCs w:val="24"/>
              </w:rPr>
              <w:t>Príspevok na rekreáciu</w:t>
            </w:r>
          </w:p>
        </w:tc>
        <w:tc>
          <w:tcPr>
            <w:tcW w:w="1491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34552" w:rsidRDefault="00ED0DE2" w:rsidP="006C7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33 576,00</w:t>
            </w:r>
          </w:p>
        </w:tc>
      </w:tr>
      <w:tr w:rsidR="005568B1" w:rsidTr="005568B1">
        <w:trPr>
          <w:trHeight w:val="270"/>
        </w:trPr>
        <w:tc>
          <w:tcPr>
            <w:tcW w:w="3509" w:type="pc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34552" w:rsidRDefault="005568B1" w:rsidP="006C72A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34552">
              <w:rPr>
                <w:rFonts w:ascii="Times New Roman" w:hAnsi="Times New Roman" w:cs="Times New Roman"/>
                <w:sz w:val="24"/>
                <w:szCs w:val="24"/>
              </w:rPr>
              <w:t>Regenerácia pracovnej sily</w:t>
            </w:r>
          </w:p>
        </w:tc>
        <w:tc>
          <w:tcPr>
            <w:tcW w:w="1491" w:type="pc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34552" w:rsidRDefault="00ED0DE2" w:rsidP="006C72AC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8 200,00</w:t>
            </w:r>
          </w:p>
        </w:tc>
      </w:tr>
      <w:tr w:rsidR="005568B1" w:rsidTr="00E83195">
        <w:trPr>
          <w:trHeight w:val="326"/>
        </w:trPr>
        <w:tc>
          <w:tcPr>
            <w:tcW w:w="350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5568B1" w:rsidRPr="00134552" w:rsidRDefault="005568B1" w:rsidP="006C72AC">
            <w:pPr>
              <w:spacing w:line="276" w:lineRule="auto"/>
              <w:rPr>
                <w:rFonts w:ascii="Times New Roman" w:hAnsi="Times New Roman" w:cs="Times New Roman"/>
                <w:b/>
                <w:bCs/>
                <w:color w:val="538135" w:themeColor="accent6" w:themeShade="BF"/>
                <w:sz w:val="24"/>
                <w:szCs w:val="24"/>
              </w:rPr>
            </w:pPr>
            <w:r w:rsidRPr="00134552">
              <w:rPr>
                <w:rFonts w:ascii="Times New Roman" w:hAnsi="Times New Roman" w:cs="Times New Roman"/>
                <w:b/>
                <w:bCs/>
                <w:color w:val="538135" w:themeColor="accent6" w:themeShade="BF"/>
                <w:sz w:val="24"/>
                <w:szCs w:val="24"/>
              </w:rPr>
              <w:t>Spolu</w:t>
            </w:r>
          </w:p>
        </w:tc>
        <w:tc>
          <w:tcPr>
            <w:tcW w:w="149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5568B1" w:rsidRPr="00134552" w:rsidRDefault="00ED0DE2" w:rsidP="006C72AC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538135" w:themeColor="accent6" w:themeShade="BF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538135" w:themeColor="accent6" w:themeShade="BF"/>
                <w:sz w:val="24"/>
                <w:szCs w:val="24"/>
              </w:rPr>
              <w:t>71 061,42</w:t>
            </w:r>
          </w:p>
        </w:tc>
      </w:tr>
    </w:tbl>
    <w:p w:rsidR="005568B1" w:rsidRDefault="005568B1" w:rsidP="006C72A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D0DE2" w:rsidRPr="00ED0DE2" w:rsidRDefault="00ED0DE2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roku</w:t>
      </w:r>
      <w:r w:rsidRPr="00ED0DE2">
        <w:rPr>
          <w:rFonts w:ascii="Arial" w:hAnsi="Arial" w:cs="Arial"/>
          <w:sz w:val="24"/>
          <w:szCs w:val="24"/>
        </w:rPr>
        <w:t xml:space="preserve"> 2017 sa v sociálnom fonde vytvorili zdroje vo výške 75 020,82 eur, z toho 50 000 zo zisku za rok 2016 a 25 020,82 eur z povinného </w:t>
      </w:r>
      <w:r w:rsidR="000834E9">
        <w:rPr>
          <w:rFonts w:ascii="Arial" w:hAnsi="Arial" w:cs="Arial"/>
          <w:sz w:val="24"/>
          <w:szCs w:val="24"/>
        </w:rPr>
        <w:t>prídelu z</w:t>
      </w:r>
      <w:r w:rsidRPr="00ED0DE2">
        <w:rPr>
          <w:rFonts w:ascii="Arial" w:hAnsi="Arial" w:cs="Arial"/>
          <w:sz w:val="24"/>
          <w:szCs w:val="24"/>
        </w:rPr>
        <w:t xml:space="preserve"> hrubých miezd.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>
        <w:rPr>
          <w:rFonts w:ascii="Arial" w:hAnsi="Arial" w:cs="Arial"/>
          <w:smallCaps/>
          <w:color w:val="538135" w:themeColor="accent6" w:themeShade="BF"/>
          <w:sz w:val="36"/>
          <w:szCs w:val="36"/>
        </w:rPr>
        <w:lastRenderedPageBreak/>
        <w:t>bezpečnosť a ochrana zdravia pri práci</w:t>
      </w:r>
    </w:p>
    <w:p w:rsidR="005568B1" w:rsidRPr="002D13A0" w:rsidRDefault="005568B1" w:rsidP="006C72AC">
      <w:pPr>
        <w:spacing w:before="120" w:after="120" w:line="276" w:lineRule="auto"/>
        <w:jc w:val="both"/>
        <w:rPr>
          <w:rFonts w:ascii="Arial" w:hAnsi="Arial" w:cs="Arial"/>
          <w:bCs/>
          <w:color w:val="2F5496" w:themeColor="accent5" w:themeShade="BF"/>
          <w:sz w:val="32"/>
          <w:szCs w:val="32"/>
        </w:rPr>
      </w:pPr>
      <w:r w:rsidRPr="002D13A0">
        <w:rPr>
          <w:rFonts w:ascii="Arial" w:hAnsi="Arial" w:cs="Arial"/>
          <w:bCs/>
          <w:color w:val="2F5496" w:themeColor="accent5" w:themeShade="BF"/>
          <w:sz w:val="32"/>
          <w:szCs w:val="32"/>
        </w:rPr>
        <w:t xml:space="preserve">Organizácia bezpečnosti a ochrany zdravia pri práci </w:t>
      </w:r>
    </w:p>
    <w:p w:rsidR="005568B1" w:rsidRPr="002D13A0" w:rsidRDefault="005568B1" w:rsidP="006C72AC">
      <w:pPr>
        <w:pStyle w:val="Zarkazkladnhotextu2"/>
        <w:spacing w:before="120" w:after="120" w:line="276" w:lineRule="auto"/>
        <w:ind w:left="0"/>
        <w:rPr>
          <w:rFonts w:ascii="Arial" w:hAnsi="Arial" w:cs="Arial"/>
        </w:rPr>
      </w:pPr>
      <w:r w:rsidRPr="002D13A0">
        <w:rPr>
          <w:rFonts w:ascii="Arial" w:hAnsi="Arial" w:cs="Arial"/>
        </w:rPr>
        <w:t>Zamestnávateľ BYTTERM, a.s. si v</w:t>
      </w:r>
      <w:r w:rsidR="000C6D7B">
        <w:rPr>
          <w:rFonts w:ascii="Arial" w:hAnsi="Arial" w:cs="Arial"/>
        </w:rPr>
        <w:t> súlade s platnými právnymi predpismi</w:t>
      </w:r>
      <w:r w:rsidRPr="002D13A0">
        <w:rPr>
          <w:rFonts w:ascii="Arial" w:hAnsi="Arial" w:cs="Arial"/>
        </w:rPr>
        <w:t xml:space="preserve"> na úseku bezpečnosti práce plní svoje povinnosti odborne spôsobilou osobou. V uplynulom  roku boli zamestnancom poskytované zdravé a bezpečné pracovné podmienky. Zamestnanci boli zaraďovaní na prácu so zreteľom na ich zdravotný stav, schopnosti a oprávnenia podľa osobitných predpisov v záujme vylúčenia alebo obmedzenia rizika a faktorov podmieňujúcich vznik pracovných úrazov a chorôb z povolania. </w:t>
      </w:r>
    </w:p>
    <w:p w:rsidR="005568B1" w:rsidRPr="002D13A0" w:rsidRDefault="005568B1" w:rsidP="006C72AC">
      <w:pPr>
        <w:spacing w:before="120" w:after="120" w:line="276" w:lineRule="auto"/>
        <w:jc w:val="both"/>
        <w:rPr>
          <w:rFonts w:ascii="Arial" w:hAnsi="Arial" w:cs="Arial"/>
          <w:bCs/>
          <w:color w:val="2F5496" w:themeColor="accent5" w:themeShade="BF"/>
          <w:sz w:val="32"/>
          <w:szCs w:val="32"/>
        </w:rPr>
      </w:pPr>
      <w:r w:rsidRPr="002D13A0">
        <w:rPr>
          <w:rFonts w:ascii="Arial" w:hAnsi="Arial" w:cs="Arial"/>
          <w:bCs/>
          <w:color w:val="2F5496" w:themeColor="accent5" w:themeShade="BF"/>
          <w:sz w:val="32"/>
          <w:szCs w:val="32"/>
        </w:rPr>
        <w:t>Kontrolná činnosť</w:t>
      </w:r>
    </w:p>
    <w:p w:rsidR="005568B1" w:rsidRPr="002D13A0" w:rsidRDefault="005568B1" w:rsidP="006C72AC">
      <w:pPr>
        <w:spacing w:before="120" w:after="120"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V priebehu   roka</w:t>
      </w:r>
      <w:r w:rsidR="000C6D7B">
        <w:rPr>
          <w:rFonts w:ascii="Arial" w:hAnsi="Arial" w:cs="Arial"/>
          <w:sz w:val="24"/>
          <w:szCs w:val="24"/>
        </w:rPr>
        <w:t xml:space="preserve"> 2017</w:t>
      </w:r>
      <w:r w:rsidRPr="002D13A0">
        <w:rPr>
          <w:rFonts w:ascii="Arial" w:hAnsi="Arial" w:cs="Arial"/>
          <w:sz w:val="24"/>
          <w:szCs w:val="24"/>
        </w:rPr>
        <w:t xml:space="preserve">   boli   vykonávané   </w:t>
      </w:r>
      <w:r w:rsidR="000C6D7B">
        <w:rPr>
          <w:rFonts w:ascii="Arial" w:hAnsi="Arial" w:cs="Arial"/>
          <w:sz w:val="24"/>
          <w:szCs w:val="24"/>
        </w:rPr>
        <w:t xml:space="preserve">pravidelné aj náhodné </w:t>
      </w:r>
      <w:r w:rsidRPr="002D13A0">
        <w:rPr>
          <w:rFonts w:ascii="Arial" w:hAnsi="Arial" w:cs="Arial"/>
          <w:sz w:val="24"/>
          <w:szCs w:val="24"/>
        </w:rPr>
        <w:t xml:space="preserve">kontroly   stavu bezpečnosti práce na všetkých našich pracoviskách. Kontrolná činnosť  bola zameraná na  overenie znalosti ohrozenia, nebezpečenstva a rizika pri práci zamestnancov, používanie ochranných osobných pracovných prostriedkov (OOPP), kontrolu pracovísk po stránke bezpečnosti a ochrany pred požiarmi, používanie vhodných a bezpečných pracovných postupov a pracovných prostriedkov, dodržiavanie zákazu požitia alkoholických nápojov, omamných látok a psychotropných látok, dodržiavanie zákazu fajčenia na pracoviskách, na hygienické a sociálne podmienky pri práci, na umiestnenie a kompletnosť prostriedkov na poskytnutie predlekárskej prvej pomoci na našich pracoviskách. </w:t>
      </w:r>
    </w:p>
    <w:p w:rsidR="000516C5" w:rsidRDefault="00B240E0" w:rsidP="006C72AC">
      <w:pPr>
        <w:spacing w:before="120" w:after="12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Okrem interných kontrol prebehli v roku 2017 viaceré kontroly zo strany </w:t>
      </w:r>
      <w:r w:rsidR="0075283C">
        <w:rPr>
          <w:rFonts w:ascii="Arial" w:hAnsi="Arial" w:cs="Arial"/>
          <w:sz w:val="24"/>
          <w:szCs w:val="24"/>
        </w:rPr>
        <w:t>štátnych orgánov</w:t>
      </w:r>
      <w:r>
        <w:rPr>
          <w:rFonts w:ascii="Arial" w:hAnsi="Arial" w:cs="Arial"/>
          <w:sz w:val="24"/>
          <w:szCs w:val="24"/>
        </w:rPr>
        <w:t>. Inšpektorát práce kontroloval</w:t>
      </w:r>
      <w:r w:rsidR="0075283C">
        <w:rPr>
          <w:rFonts w:ascii="Arial" w:hAnsi="Arial" w:cs="Arial"/>
          <w:sz w:val="24"/>
          <w:szCs w:val="24"/>
        </w:rPr>
        <w:t xml:space="preserve"> bezpečnosť elektrických technických zariadení v bytovom dome v našej správe</w:t>
      </w:r>
      <w:r>
        <w:rPr>
          <w:rFonts w:ascii="Arial" w:hAnsi="Arial" w:cs="Arial"/>
          <w:sz w:val="24"/>
          <w:szCs w:val="24"/>
        </w:rPr>
        <w:t xml:space="preserve"> </w:t>
      </w:r>
      <w:r w:rsidR="0075283C">
        <w:rPr>
          <w:rFonts w:ascii="Arial" w:hAnsi="Arial" w:cs="Arial"/>
          <w:sz w:val="24"/>
          <w:szCs w:val="24"/>
        </w:rPr>
        <w:t xml:space="preserve"> a tiež dodržiavanie </w:t>
      </w:r>
      <w:r w:rsidR="000516C5">
        <w:rPr>
          <w:rFonts w:ascii="Arial" w:hAnsi="Arial" w:cs="Arial"/>
          <w:sz w:val="24"/>
          <w:szCs w:val="24"/>
        </w:rPr>
        <w:t xml:space="preserve">zákazu </w:t>
      </w:r>
      <w:r w:rsidR="0075283C">
        <w:rPr>
          <w:rFonts w:ascii="Arial" w:hAnsi="Arial" w:cs="Arial"/>
          <w:sz w:val="24"/>
          <w:szCs w:val="24"/>
        </w:rPr>
        <w:t>nelegálnej práce</w:t>
      </w:r>
      <w:r w:rsidR="000516C5">
        <w:rPr>
          <w:rFonts w:ascii="Arial" w:hAnsi="Arial" w:cs="Arial"/>
          <w:sz w:val="24"/>
          <w:szCs w:val="24"/>
        </w:rPr>
        <w:t xml:space="preserve"> na našom stavenisku</w:t>
      </w:r>
      <w:r w:rsidR="00843077">
        <w:rPr>
          <w:rFonts w:ascii="Arial" w:hAnsi="Arial" w:cs="Arial"/>
          <w:sz w:val="24"/>
          <w:szCs w:val="24"/>
        </w:rPr>
        <w:t xml:space="preserve"> pri oprave potrubia TÚV</w:t>
      </w:r>
      <w:r w:rsidR="000516C5">
        <w:rPr>
          <w:rFonts w:ascii="Arial" w:hAnsi="Arial" w:cs="Arial"/>
          <w:sz w:val="24"/>
          <w:szCs w:val="24"/>
        </w:rPr>
        <w:t>. Regionálny úrad verejného zdravotníctva sa pri kontrole pracovísk v našej administratívnej budove zaoberal prešetrením mikroklimatických pracovných podmienok počas letných horúčav.</w:t>
      </w:r>
      <w:r w:rsidR="0075283C">
        <w:rPr>
          <w:rFonts w:ascii="Arial" w:hAnsi="Arial" w:cs="Arial"/>
          <w:sz w:val="24"/>
          <w:szCs w:val="24"/>
        </w:rPr>
        <w:t xml:space="preserve"> </w:t>
      </w:r>
    </w:p>
    <w:p w:rsidR="000C6D7B" w:rsidRDefault="005568B1" w:rsidP="006C72AC">
      <w:pPr>
        <w:spacing w:before="120" w:after="120"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V roku 201</w:t>
      </w:r>
      <w:r w:rsidR="000C6D7B">
        <w:rPr>
          <w:rFonts w:ascii="Arial" w:hAnsi="Arial" w:cs="Arial"/>
          <w:sz w:val="24"/>
          <w:szCs w:val="24"/>
        </w:rPr>
        <w:t>7</w:t>
      </w:r>
      <w:r w:rsidR="000516C5">
        <w:rPr>
          <w:rFonts w:ascii="Arial" w:hAnsi="Arial" w:cs="Arial"/>
          <w:sz w:val="24"/>
          <w:szCs w:val="24"/>
        </w:rPr>
        <w:t>, rovnako ako minulý rok,</w:t>
      </w:r>
      <w:r w:rsidRPr="002D13A0">
        <w:rPr>
          <w:rFonts w:ascii="Arial" w:hAnsi="Arial" w:cs="Arial"/>
          <w:sz w:val="24"/>
          <w:szCs w:val="24"/>
        </w:rPr>
        <w:t xml:space="preserve"> v našej akciovej spoločnosti nevznikol žiaden pracovný úraz. </w:t>
      </w:r>
    </w:p>
    <w:p w:rsidR="005568B1" w:rsidRPr="002D13A0" w:rsidRDefault="005568B1" w:rsidP="006C72AC">
      <w:pPr>
        <w:spacing w:before="120" w:after="120" w:line="276" w:lineRule="auto"/>
        <w:jc w:val="both"/>
        <w:rPr>
          <w:rFonts w:ascii="Times New Roman" w:hAnsi="Times New Roman"/>
          <w:color w:val="2F5496" w:themeColor="accent5" w:themeShade="BF"/>
          <w:sz w:val="32"/>
          <w:szCs w:val="32"/>
        </w:rPr>
      </w:pPr>
      <w:r w:rsidRPr="002D13A0">
        <w:rPr>
          <w:rFonts w:ascii="Arial" w:hAnsi="Arial" w:cs="Arial"/>
          <w:color w:val="2F5496" w:themeColor="accent5" w:themeShade="BF"/>
          <w:sz w:val="32"/>
          <w:szCs w:val="32"/>
        </w:rPr>
        <w:t>Ochranné osobné pracovné prostriedky</w:t>
      </w:r>
    </w:p>
    <w:p w:rsidR="005568B1" w:rsidRPr="002D13A0" w:rsidRDefault="005568B1" w:rsidP="006C72AC">
      <w:pPr>
        <w:spacing w:before="120" w:after="120"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Na pracoviskách, na ktorých nie je možné vylúčiť alebo obmedziť nebezpečenstvo pri  práci technickými prostriedkami, prostriedkami kolektívnej ochrany ani metódami organizácie práce, bezplatne poskytujeme zamestnancom na osobnú ochranu osobné ochranné pracovné prostriedky</w:t>
      </w:r>
      <w:r>
        <w:rPr>
          <w:rFonts w:ascii="Arial" w:hAnsi="Arial" w:cs="Arial"/>
          <w:sz w:val="24"/>
          <w:szCs w:val="24"/>
        </w:rPr>
        <w:t>, p</w:t>
      </w:r>
      <w:r w:rsidRPr="002D13A0">
        <w:rPr>
          <w:rFonts w:ascii="Arial" w:hAnsi="Arial" w:cs="Arial"/>
          <w:sz w:val="24"/>
          <w:szCs w:val="24"/>
        </w:rPr>
        <w:t>racovné odevy</w:t>
      </w:r>
      <w:r>
        <w:rPr>
          <w:rFonts w:ascii="Arial" w:hAnsi="Arial" w:cs="Arial"/>
          <w:sz w:val="24"/>
          <w:szCs w:val="24"/>
        </w:rPr>
        <w:t xml:space="preserve"> a </w:t>
      </w:r>
      <w:r w:rsidRPr="002D13A0">
        <w:rPr>
          <w:rFonts w:ascii="Arial" w:hAnsi="Arial" w:cs="Arial"/>
          <w:sz w:val="24"/>
          <w:szCs w:val="24"/>
        </w:rPr>
        <w:t xml:space="preserve"> čistiace a dezinfekčné prostriedky</w:t>
      </w:r>
      <w:r>
        <w:rPr>
          <w:rFonts w:ascii="Arial" w:hAnsi="Arial" w:cs="Arial"/>
          <w:sz w:val="24"/>
          <w:szCs w:val="24"/>
        </w:rPr>
        <w:t>.</w:t>
      </w:r>
      <w:r w:rsidRPr="002D13A0">
        <w:rPr>
          <w:rFonts w:ascii="Arial" w:hAnsi="Arial" w:cs="Arial"/>
          <w:sz w:val="24"/>
          <w:szCs w:val="24"/>
        </w:rPr>
        <w:t xml:space="preserve"> </w:t>
      </w:r>
    </w:p>
    <w:p w:rsidR="005568B1" w:rsidRPr="002D13A0" w:rsidRDefault="005568B1" w:rsidP="006C72AC">
      <w:pPr>
        <w:spacing w:before="120" w:after="120" w:line="276" w:lineRule="auto"/>
        <w:rPr>
          <w:rFonts w:ascii="Arial" w:hAnsi="Arial" w:cs="Arial"/>
          <w:bCs/>
          <w:color w:val="2F5496" w:themeColor="accent5" w:themeShade="BF"/>
          <w:sz w:val="32"/>
          <w:szCs w:val="32"/>
        </w:rPr>
      </w:pPr>
      <w:r w:rsidRPr="002D13A0">
        <w:rPr>
          <w:rFonts w:ascii="Arial" w:hAnsi="Arial" w:cs="Arial"/>
          <w:color w:val="2F5496" w:themeColor="accent5" w:themeShade="BF"/>
          <w:sz w:val="32"/>
          <w:szCs w:val="32"/>
        </w:rPr>
        <w:t>Oboznamovanie a informovanie o BOZP</w:t>
      </w:r>
    </w:p>
    <w:p w:rsidR="005568B1" w:rsidRPr="002D13A0" w:rsidRDefault="005568B1" w:rsidP="006C72AC">
      <w:pPr>
        <w:spacing w:before="120" w:after="120"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V uplynulom roku bolo vykonaných 1</w:t>
      </w:r>
      <w:r w:rsidR="00843077">
        <w:rPr>
          <w:rFonts w:ascii="Arial" w:hAnsi="Arial" w:cs="Arial"/>
          <w:sz w:val="24"/>
          <w:szCs w:val="24"/>
        </w:rPr>
        <w:t>6</w:t>
      </w:r>
      <w:r w:rsidRPr="002D13A0">
        <w:rPr>
          <w:rFonts w:ascii="Arial" w:hAnsi="Arial" w:cs="Arial"/>
          <w:sz w:val="24"/>
          <w:szCs w:val="24"/>
        </w:rPr>
        <w:t xml:space="preserve"> vstupných oboznámení a informovaní nových zamestnancov z oblasti bezpečnosti a ochrany zdravia pri práci (BOZP) a ochrany </w:t>
      </w:r>
      <w:r w:rsidRPr="002D13A0">
        <w:rPr>
          <w:rFonts w:ascii="Arial" w:hAnsi="Arial" w:cs="Arial"/>
          <w:sz w:val="24"/>
          <w:szCs w:val="24"/>
        </w:rPr>
        <w:lastRenderedPageBreak/>
        <w:t xml:space="preserve">pred požiarmi. Opakované oboznámenie a informovanie o BOZP bolo vykonané u všetkých našich zamestnancov </w:t>
      </w:r>
      <w:r w:rsidR="00843077">
        <w:rPr>
          <w:rFonts w:ascii="Arial" w:hAnsi="Arial" w:cs="Arial"/>
          <w:sz w:val="24"/>
          <w:szCs w:val="24"/>
        </w:rPr>
        <w:t>podľa pracovného zaradenia.</w:t>
      </w:r>
    </w:p>
    <w:p w:rsidR="005568B1" w:rsidRPr="002D13A0" w:rsidRDefault="005568B1" w:rsidP="006C72AC">
      <w:pPr>
        <w:spacing w:before="120" w:after="120"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Oboznámení o BOZP boli aj pracovníci cudzích organizácií, ktorí v priebehu roka vykonávali dodávateľskú činnosť na našich pracoviskách a bytových domoch v našej správe.</w:t>
      </w:r>
      <w:r w:rsidR="00843077">
        <w:rPr>
          <w:rFonts w:ascii="Arial" w:hAnsi="Arial" w:cs="Arial"/>
          <w:sz w:val="24"/>
          <w:szCs w:val="24"/>
        </w:rPr>
        <w:t xml:space="preserve"> V roku 2017 bolo našim bezpečnostným technikom odovzdaných a prevzatých 22 stavenísk bytových domov v našej správe.</w:t>
      </w:r>
    </w:p>
    <w:p w:rsidR="005568B1" w:rsidRPr="002D13A0" w:rsidRDefault="005568B1" w:rsidP="006C72AC">
      <w:pPr>
        <w:pStyle w:val="Nadpis2"/>
        <w:spacing w:before="120" w:after="120" w:line="276" w:lineRule="auto"/>
        <w:rPr>
          <w:rFonts w:ascii="Arial" w:hAnsi="Arial" w:cs="Arial"/>
          <w:b w:val="0"/>
          <w:color w:val="2F5496" w:themeColor="accent5" w:themeShade="BF"/>
          <w:sz w:val="32"/>
          <w:szCs w:val="32"/>
        </w:rPr>
      </w:pPr>
      <w:r w:rsidRPr="002D13A0">
        <w:rPr>
          <w:rFonts w:ascii="Arial" w:hAnsi="Arial" w:cs="Arial"/>
          <w:b w:val="0"/>
          <w:color w:val="2F5496" w:themeColor="accent5" w:themeShade="BF"/>
          <w:sz w:val="32"/>
          <w:szCs w:val="32"/>
        </w:rPr>
        <w:t xml:space="preserve">Ochrana pred požiarmi    </w:t>
      </w:r>
    </w:p>
    <w:p w:rsidR="005568B1" w:rsidRPr="002D13A0" w:rsidRDefault="005568B1" w:rsidP="006C72AC">
      <w:pPr>
        <w:pStyle w:val="Zarkazkladnhotextu2"/>
        <w:spacing w:before="120" w:after="120" w:line="276" w:lineRule="auto"/>
        <w:ind w:left="0"/>
        <w:rPr>
          <w:rFonts w:ascii="Arial" w:hAnsi="Arial" w:cs="Arial"/>
        </w:rPr>
      </w:pPr>
      <w:r w:rsidRPr="002D13A0">
        <w:rPr>
          <w:rFonts w:ascii="Arial" w:hAnsi="Arial" w:cs="Arial"/>
        </w:rPr>
        <w:t xml:space="preserve">Ochrana pred požiarmi v BYTTERM, a.s. bola riadená v zmysle platných zákonných ustanovení o ochrane pred požiarmi. V súlade s týmito právnymi predpismi zabezpečovala naša spoločnosť plnenie povinností na úseku ochrany pred požiarmi na všetkých pracoviskách odborne spôsobilou osobou – požiarnym technikom. </w:t>
      </w:r>
    </w:p>
    <w:p w:rsidR="005568B1" w:rsidRPr="002D13A0" w:rsidRDefault="005568B1" w:rsidP="006C72AC">
      <w:pPr>
        <w:spacing w:before="120" w:after="120" w:line="276" w:lineRule="auto"/>
        <w:jc w:val="both"/>
        <w:rPr>
          <w:rFonts w:ascii="Arial" w:hAnsi="Arial" w:cs="Arial"/>
          <w:bCs/>
          <w:sz w:val="24"/>
          <w:szCs w:val="24"/>
        </w:rPr>
      </w:pPr>
      <w:r w:rsidRPr="002D13A0">
        <w:rPr>
          <w:rFonts w:ascii="Arial" w:hAnsi="Arial" w:cs="Arial"/>
          <w:bCs/>
          <w:sz w:val="24"/>
          <w:szCs w:val="24"/>
        </w:rPr>
        <w:t xml:space="preserve">Preventívne protipožiarne prehliadky boli vykonané </w:t>
      </w:r>
      <w:r w:rsidR="00843077">
        <w:rPr>
          <w:rFonts w:ascii="Arial" w:hAnsi="Arial" w:cs="Arial"/>
          <w:bCs/>
          <w:sz w:val="24"/>
          <w:szCs w:val="24"/>
        </w:rPr>
        <w:t>na všetkých našich pracoviskách</w:t>
      </w:r>
      <w:r w:rsidRPr="002D13A0">
        <w:rPr>
          <w:rFonts w:ascii="Arial" w:hAnsi="Arial" w:cs="Arial"/>
          <w:bCs/>
          <w:sz w:val="24"/>
          <w:szCs w:val="24"/>
        </w:rPr>
        <w:t>,</w:t>
      </w:r>
      <w:r w:rsidR="00843077">
        <w:rPr>
          <w:rFonts w:ascii="Arial" w:hAnsi="Arial" w:cs="Arial"/>
          <w:bCs/>
          <w:sz w:val="24"/>
          <w:szCs w:val="24"/>
        </w:rPr>
        <w:t xml:space="preserve"> prenajatých priestoroch,</w:t>
      </w:r>
      <w:r w:rsidRPr="002D13A0">
        <w:rPr>
          <w:rFonts w:ascii="Arial" w:hAnsi="Arial" w:cs="Arial"/>
          <w:bCs/>
          <w:sz w:val="24"/>
          <w:szCs w:val="24"/>
        </w:rPr>
        <w:t xml:space="preserve"> ako aj v spoločných priestoroch bytových domov v našej správe.</w:t>
      </w:r>
    </w:p>
    <w:p w:rsidR="00B66E60" w:rsidRDefault="00843077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Viaceré kontroly dodržiavania protipožiarnej bezpečnosti v našej spoločnosti ako aj v bytových domoch v našej správe vykonal aj Hasičský a záchranný zbor. Pri komplexnej kontrole </w:t>
      </w:r>
      <w:r w:rsidR="00B66E60">
        <w:rPr>
          <w:rFonts w:ascii="Arial" w:hAnsi="Arial" w:cs="Arial"/>
          <w:sz w:val="24"/>
          <w:szCs w:val="24"/>
        </w:rPr>
        <w:t xml:space="preserve">zameranej aj na výškové bytové domy v našej správe boli v domoch zistené viaceré nedostatky, ktoré sa postupne odstraňujú. Preventívne protipožiarne kontroly v bytových domoch v našej správe boli v roku 2017 vykonané aj mestom Žilina, pričom boli nariadené 2 opatrenia na odstránenie zistených nedostatkov, ktoré boli </w:t>
      </w:r>
      <w:r w:rsidR="003956EC">
        <w:rPr>
          <w:rFonts w:ascii="Arial" w:hAnsi="Arial" w:cs="Arial"/>
          <w:sz w:val="24"/>
          <w:szCs w:val="24"/>
        </w:rPr>
        <w:t xml:space="preserve">následne </w:t>
      </w:r>
      <w:r w:rsidR="00B66E60">
        <w:rPr>
          <w:rFonts w:ascii="Arial" w:hAnsi="Arial" w:cs="Arial"/>
          <w:sz w:val="24"/>
          <w:szCs w:val="24"/>
        </w:rPr>
        <w:t xml:space="preserve">zrealizované.  </w:t>
      </w:r>
    </w:p>
    <w:p w:rsidR="005568B1" w:rsidRPr="002D13A0" w:rsidRDefault="00B66E60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roku 2017 nevznikol v našej spoločnosti ani v bytových domoch v našej správe žiaden požiar</w:t>
      </w:r>
      <w:r w:rsidR="005568B1" w:rsidRPr="002D13A0">
        <w:rPr>
          <w:rFonts w:ascii="Arial" w:hAnsi="Arial" w:cs="Arial"/>
          <w:sz w:val="24"/>
          <w:szCs w:val="24"/>
        </w:rPr>
        <w:t>.</w:t>
      </w:r>
    </w:p>
    <w:p w:rsidR="00B80F6C" w:rsidRDefault="00B80F6C" w:rsidP="006C72AC">
      <w:pPr>
        <w:pStyle w:val="nadpisybytterm"/>
        <w:spacing w:line="276" w:lineRule="auto"/>
      </w:pPr>
    </w:p>
    <w:p w:rsidR="005568B1" w:rsidRDefault="005568B1" w:rsidP="006C72AC">
      <w:pPr>
        <w:pStyle w:val="nadpisybytterm"/>
        <w:spacing w:line="276" w:lineRule="auto"/>
      </w:pPr>
      <w:r>
        <w:t>OCHRANA ŽIVOTNÉHO PROSTREDIA</w:t>
      </w:r>
    </w:p>
    <w:p w:rsidR="00280F5F" w:rsidRDefault="00280F5F" w:rsidP="00EC51D8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</w:p>
    <w:p w:rsidR="005568B1" w:rsidRPr="009A4FA8" w:rsidRDefault="005568B1" w:rsidP="00EC51D8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Cieľom spoločnosti v oblasti ochrany životného prostredia je minimalizovať negatívne vplyvy výrobnej činnosti na životné prostredie.</w:t>
      </w:r>
      <w:r>
        <w:rPr>
          <w:rFonts w:ascii="Arial" w:hAnsi="Arial" w:cs="Arial"/>
          <w:sz w:val="24"/>
          <w:szCs w:val="24"/>
        </w:rPr>
        <w:t xml:space="preserve"> </w:t>
      </w:r>
      <w:r w:rsidRPr="009A4FA8">
        <w:rPr>
          <w:rFonts w:ascii="Arial" w:hAnsi="Arial" w:cs="Arial"/>
          <w:sz w:val="24"/>
          <w:szCs w:val="24"/>
        </w:rPr>
        <w:t>S využitím najnovších poznatkov</w:t>
      </w:r>
      <w:r>
        <w:rPr>
          <w:rFonts w:ascii="Arial" w:hAnsi="Arial" w:cs="Arial"/>
          <w:sz w:val="24"/>
          <w:szCs w:val="24"/>
        </w:rPr>
        <w:t xml:space="preserve"> z</w:t>
      </w:r>
      <w:r w:rsidRPr="009A4FA8">
        <w:rPr>
          <w:rFonts w:ascii="Arial" w:hAnsi="Arial" w:cs="Arial"/>
          <w:sz w:val="24"/>
          <w:szCs w:val="24"/>
        </w:rPr>
        <w:t> oblasti tepelnej energetiky</w:t>
      </w:r>
      <w:r w:rsidR="00CF5165">
        <w:rPr>
          <w:rFonts w:ascii="Arial" w:hAnsi="Arial" w:cs="Arial"/>
          <w:sz w:val="24"/>
          <w:szCs w:val="24"/>
        </w:rPr>
        <w:t>,</w:t>
      </w:r>
      <w:r w:rsidRPr="009A4FA8">
        <w:rPr>
          <w:rFonts w:ascii="Arial" w:hAnsi="Arial" w:cs="Arial"/>
          <w:sz w:val="24"/>
          <w:szCs w:val="24"/>
        </w:rPr>
        <w:t xml:space="preserve"> preto systematicky plánujeme a každoročne realizujeme rekonštrukcie výmenníkových staníc a rozvodov tepla.</w:t>
      </w:r>
    </w:p>
    <w:p w:rsidR="005568B1" w:rsidRPr="009A4FA8" w:rsidRDefault="005568B1" w:rsidP="00EC51D8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Zároveň podporujeme pri výkone správy šetrenie energie v bytových domoch, keď v spolupráci s vlastníkmi bytových domov navrhujeme riešenia na obnovu a modernizáciu v domoch, ktorých výsledkom je  úspora energií, lepší užívateľský komfort v bytoch a zdravšie životné prostredie.</w:t>
      </w:r>
    </w:p>
    <w:p w:rsidR="00280F5F" w:rsidRDefault="00280F5F" w:rsidP="006C72AC">
      <w:pPr>
        <w:spacing w:line="276" w:lineRule="auto"/>
        <w:ind w:right="403"/>
        <w:jc w:val="both"/>
        <w:rPr>
          <w:rFonts w:ascii="Arial" w:hAnsi="Arial" w:cs="Arial"/>
          <w:color w:val="2F5496" w:themeColor="accent5" w:themeShade="BF"/>
          <w:sz w:val="32"/>
          <w:szCs w:val="32"/>
        </w:rPr>
      </w:pPr>
    </w:p>
    <w:p w:rsidR="005568B1" w:rsidRPr="008F2DF7" w:rsidRDefault="005568B1" w:rsidP="006C72AC">
      <w:pPr>
        <w:spacing w:line="276" w:lineRule="auto"/>
        <w:ind w:right="403"/>
        <w:jc w:val="both"/>
        <w:rPr>
          <w:rFonts w:ascii="Times New Roman" w:hAnsi="Times New Roman" w:cs="Times New Roman"/>
          <w:color w:val="767171" w:themeColor="background2" w:themeShade="80"/>
          <w:sz w:val="32"/>
          <w:szCs w:val="32"/>
        </w:rPr>
      </w:pPr>
      <w:r w:rsidRPr="009E7067">
        <w:rPr>
          <w:rFonts w:ascii="Arial" w:hAnsi="Arial" w:cs="Arial"/>
          <w:color w:val="2F5496" w:themeColor="accent5" w:themeShade="BF"/>
          <w:sz w:val="32"/>
          <w:szCs w:val="32"/>
        </w:rPr>
        <w:lastRenderedPageBreak/>
        <w:t>Ochrana ovzdušia</w:t>
      </w:r>
    </w:p>
    <w:p w:rsidR="005568B1" w:rsidRPr="009A4FA8" w:rsidRDefault="005568B1" w:rsidP="00EC51D8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V oblasti ochrany ovzdušia sa riadime zákonom č. 137/2010 Z.z. o ovzduší v znení novely č. 350/2015 Z.z.</w:t>
      </w:r>
      <w:r w:rsidR="00AF11FE">
        <w:rPr>
          <w:rFonts w:ascii="Arial" w:hAnsi="Arial" w:cs="Arial"/>
          <w:sz w:val="24"/>
          <w:szCs w:val="24"/>
        </w:rPr>
        <w:t xml:space="preserve"> a č. 293/2017 Z.z.</w:t>
      </w:r>
      <w:r w:rsidRPr="009A4FA8">
        <w:rPr>
          <w:rFonts w:ascii="Arial" w:hAnsi="Arial" w:cs="Arial"/>
          <w:sz w:val="24"/>
          <w:szCs w:val="24"/>
        </w:rPr>
        <w:t xml:space="preserve"> a Vyhláškou MŽP č. 410/2012 Z.z.</w:t>
      </w:r>
      <w:r w:rsidR="00AF11FE">
        <w:rPr>
          <w:rFonts w:ascii="Arial" w:hAnsi="Arial" w:cs="Arial"/>
          <w:sz w:val="24"/>
          <w:szCs w:val="24"/>
        </w:rPr>
        <w:t xml:space="preserve"> v z.n.p.</w:t>
      </w:r>
      <w:r w:rsidRPr="009A4FA8">
        <w:rPr>
          <w:rFonts w:ascii="Arial" w:hAnsi="Arial" w:cs="Arial"/>
          <w:sz w:val="24"/>
          <w:szCs w:val="24"/>
        </w:rPr>
        <w:t>.</w:t>
      </w:r>
    </w:p>
    <w:p w:rsidR="005568B1" w:rsidRPr="009A4FA8" w:rsidRDefault="005568B1" w:rsidP="00EC51D8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Naša spoločnosť prevádzkuje malé a stredné zdroje znečistenia. Toto rozdelenie sleduje limitné kapacity relevantných kategórií zdrojov, napr. spotrebu tepla alebo projektovanú hraničnú spotrebu organických rozpúšťadiel.</w:t>
      </w:r>
    </w:p>
    <w:p w:rsidR="005568B1" w:rsidRPr="009A4FA8" w:rsidRDefault="00AF11FE" w:rsidP="00EC51D8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roku 2017 naša spoločnosť prevádzkovala 22 plynových kotolní v kategórii malých zdrojov znečistenia</w:t>
      </w:r>
      <w:r w:rsidR="004169C7">
        <w:rPr>
          <w:rFonts w:ascii="Arial" w:hAnsi="Arial" w:cs="Arial"/>
          <w:sz w:val="24"/>
          <w:szCs w:val="24"/>
        </w:rPr>
        <w:t xml:space="preserve"> a 7 plynových kotolní v kategórii stredných zdrojov </w:t>
      </w:r>
      <w:r w:rsidR="005568B1" w:rsidRPr="009A4FA8">
        <w:rPr>
          <w:rFonts w:ascii="Arial" w:hAnsi="Arial" w:cs="Arial"/>
          <w:sz w:val="24"/>
          <w:szCs w:val="24"/>
        </w:rPr>
        <w:t xml:space="preserve">znečistenia </w:t>
      </w:r>
      <w:r w:rsidR="004169C7">
        <w:rPr>
          <w:rFonts w:ascii="Arial" w:hAnsi="Arial" w:cs="Arial"/>
          <w:sz w:val="24"/>
          <w:szCs w:val="24"/>
        </w:rPr>
        <w:t xml:space="preserve">- </w:t>
      </w:r>
      <w:r w:rsidR="005568B1" w:rsidRPr="009A4FA8">
        <w:rPr>
          <w:rFonts w:ascii="Arial" w:hAnsi="Arial" w:cs="Arial"/>
          <w:sz w:val="24"/>
          <w:szCs w:val="24"/>
        </w:rPr>
        <w:t>plynové kotolne PK1 až PK5 na Hájiku, Hájik F5-F6, Hájik F1-F4, PK Jesenského. Kotolne emitujú do vzduchu škodliviny zo spaľovania zemného plynu, ako sú napríklad oxidy dusíka, uhlíka a síry a tiež prach.</w:t>
      </w:r>
    </w:p>
    <w:p w:rsidR="005568B1" w:rsidRPr="009A4FA8" w:rsidRDefault="005568B1" w:rsidP="00EC51D8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V rámci vydaných a platných rozhodnutí  plníme všetky dané podmienky</w:t>
      </w:r>
      <w:r w:rsidR="000347B1" w:rsidRPr="000347B1">
        <w:rPr>
          <w:rFonts w:ascii="Arial" w:hAnsi="Arial" w:cs="Arial"/>
          <w:sz w:val="24"/>
          <w:szCs w:val="24"/>
        </w:rPr>
        <w:t xml:space="preserve"> </w:t>
      </w:r>
      <w:r w:rsidR="000347B1">
        <w:rPr>
          <w:rFonts w:ascii="Arial" w:hAnsi="Arial" w:cs="Arial"/>
          <w:sz w:val="24"/>
          <w:szCs w:val="24"/>
        </w:rPr>
        <w:t xml:space="preserve">na našich </w:t>
      </w:r>
      <w:r w:rsidR="000347B1" w:rsidRPr="009A4FA8">
        <w:rPr>
          <w:rFonts w:ascii="Arial" w:hAnsi="Arial" w:cs="Arial"/>
          <w:sz w:val="24"/>
          <w:szCs w:val="24"/>
        </w:rPr>
        <w:t>stredných zdrojoch  znečistenia</w:t>
      </w:r>
      <w:r w:rsidRPr="009A4FA8">
        <w:rPr>
          <w:rFonts w:ascii="Arial" w:hAnsi="Arial" w:cs="Arial"/>
          <w:sz w:val="24"/>
          <w:szCs w:val="24"/>
        </w:rPr>
        <w:t xml:space="preserve"> – hlavne v oblasti stanovených ukazovateľov  v emisiách do ovzdušia t.j. tuhé znečisťujúce látky, oxidu siričitého, oxidu dusíka, oxidu uhoľnatého a celkového organického uhlíka.</w:t>
      </w:r>
    </w:p>
    <w:p w:rsidR="005568B1" w:rsidRPr="009A4FA8" w:rsidRDefault="005568B1" w:rsidP="00EC51D8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 xml:space="preserve">Okrem plynových kotolní naša a.s. </w:t>
      </w:r>
      <w:r w:rsidR="004169C7">
        <w:rPr>
          <w:rFonts w:ascii="Arial" w:hAnsi="Arial" w:cs="Arial"/>
          <w:sz w:val="24"/>
          <w:szCs w:val="24"/>
        </w:rPr>
        <w:t>prevádzkovala do 28.2.2017</w:t>
      </w:r>
      <w:r w:rsidRPr="009A4FA8">
        <w:rPr>
          <w:rFonts w:ascii="Arial" w:hAnsi="Arial" w:cs="Arial"/>
          <w:sz w:val="24"/>
          <w:szCs w:val="24"/>
        </w:rPr>
        <w:t xml:space="preserve"> aj stredný  zdroj znečistenia - Chemickú čistiareň </w:t>
      </w:r>
      <w:r w:rsidR="000347B1">
        <w:rPr>
          <w:rFonts w:ascii="Arial" w:hAnsi="Arial" w:cs="Arial"/>
          <w:sz w:val="24"/>
          <w:szCs w:val="24"/>
        </w:rPr>
        <w:t>a práčovňu</w:t>
      </w:r>
      <w:r w:rsidRPr="009A4FA8">
        <w:rPr>
          <w:rFonts w:ascii="Arial" w:hAnsi="Arial" w:cs="Arial"/>
          <w:sz w:val="24"/>
          <w:szCs w:val="24"/>
        </w:rPr>
        <w:t xml:space="preserve">, kde znečisťujúcou látkou </w:t>
      </w:r>
      <w:r w:rsidR="004169C7">
        <w:rPr>
          <w:rFonts w:ascii="Arial" w:hAnsi="Arial" w:cs="Arial"/>
          <w:sz w:val="24"/>
          <w:szCs w:val="24"/>
        </w:rPr>
        <w:t>bol</w:t>
      </w:r>
      <w:r w:rsidRPr="009A4FA8">
        <w:rPr>
          <w:rFonts w:ascii="Arial" w:hAnsi="Arial" w:cs="Arial"/>
          <w:sz w:val="24"/>
          <w:szCs w:val="24"/>
        </w:rPr>
        <w:t xml:space="preserve"> perchlóretylén,  </w:t>
      </w:r>
      <w:r w:rsidR="004169C7">
        <w:rPr>
          <w:rFonts w:ascii="Arial" w:hAnsi="Arial" w:cs="Arial"/>
          <w:sz w:val="24"/>
          <w:szCs w:val="24"/>
        </w:rPr>
        <w:t>pričom pri tomto zdroji sme takisto spĺňali</w:t>
      </w:r>
      <w:r w:rsidRPr="009A4FA8">
        <w:rPr>
          <w:rFonts w:ascii="Arial" w:hAnsi="Arial" w:cs="Arial"/>
          <w:sz w:val="24"/>
          <w:szCs w:val="24"/>
        </w:rPr>
        <w:t xml:space="preserve">  prísne limity ochrany životného prostredia.</w:t>
      </w:r>
      <w:r w:rsidR="004169C7">
        <w:rPr>
          <w:rFonts w:ascii="Arial" w:hAnsi="Arial" w:cs="Arial"/>
          <w:sz w:val="24"/>
          <w:szCs w:val="24"/>
        </w:rPr>
        <w:t xml:space="preserve"> Od 1.3.2017 bola táto prevádzka daná do prenájmu.</w:t>
      </w:r>
    </w:p>
    <w:p w:rsidR="005568B1" w:rsidRPr="009E7067" w:rsidRDefault="005568B1" w:rsidP="00EC51D8">
      <w:pPr>
        <w:spacing w:line="276" w:lineRule="auto"/>
        <w:ind w:right="-2"/>
        <w:jc w:val="both"/>
        <w:rPr>
          <w:rFonts w:ascii="Times New Roman" w:hAnsi="Times New Roman" w:cs="Times New Roman"/>
          <w:color w:val="2F5496" w:themeColor="accent5" w:themeShade="BF"/>
          <w:sz w:val="32"/>
          <w:szCs w:val="32"/>
        </w:rPr>
      </w:pPr>
      <w:r w:rsidRPr="009E7067">
        <w:rPr>
          <w:rFonts w:ascii="Arial" w:hAnsi="Arial" w:cs="Arial"/>
          <w:color w:val="2F5496" w:themeColor="accent5" w:themeShade="BF"/>
          <w:sz w:val="32"/>
          <w:szCs w:val="32"/>
        </w:rPr>
        <w:t>Odpadové hospodárstvo</w:t>
      </w:r>
    </w:p>
    <w:p w:rsidR="004169C7" w:rsidRDefault="005568B1" w:rsidP="00EC51D8">
      <w:pPr>
        <w:spacing w:line="276" w:lineRule="auto"/>
        <w:ind w:right="-2"/>
        <w:jc w:val="both"/>
        <w:rPr>
          <w:rFonts w:ascii="Arial" w:eastAsia="Arial Unicode MS" w:hAnsi="Arial" w:cs="Arial"/>
          <w:sz w:val="24"/>
          <w:szCs w:val="24"/>
        </w:rPr>
      </w:pPr>
      <w:r w:rsidRPr="009A4FA8">
        <w:rPr>
          <w:rFonts w:ascii="Arial" w:eastAsia="Arial Unicode MS" w:hAnsi="Arial" w:cs="Arial"/>
          <w:sz w:val="24"/>
          <w:szCs w:val="24"/>
        </w:rPr>
        <w:t>V oblasti odpadového hospodárstva BYTTERM, a.s. nakladá s odpadmi tak, ako mu to ukladá zákon o odpadoch</w:t>
      </w:r>
      <w:r w:rsidRPr="009A4FA8">
        <w:rPr>
          <w:rFonts w:ascii="Arial" w:hAnsi="Arial" w:cs="Arial"/>
          <w:sz w:val="24"/>
          <w:szCs w:val="24"/>
        </w:rPr>
        <w:t xml:space="preserve"> č. 79/2015 Z.z.</w:t>
      </w:r>
      <w:r w:rsidR="004169C7">
        <w:rPr>
          <w:rFonts w:ascii="Arial" w:hAnsi="Arial" w:cs="Arial"/>
          <w:sz w:val="24"/>
          <w:szCs w:val="24"/>
        </w:rPr>
        <w:t xml:space="preserve"> v z.n.p.</w:t>
      </w:r>
      <w:r w:rsidRPr="009A4FA8">
        <w:rPr>
          <w:rFonts w:ascii="Arial" w:hAnsi="Arial" w:cs="Arial"/>
          <w:sz w:val="24"/>
          <w:szCs w:val="24"/>
        </w:rPr>
        <w:t xml:space="preserve"> a evidenciu a ohlasovanie vzniku odpadov zabezpečujeme v zmysle Vyhlášky č. 366/2015 Z.z.</w:t>
      </w:r>
      <w:r w:rsidR="000347B1">
        <w:rPr>
          <w:rFonts w:ascii="Arial" w:hAnsi="Arial" w:cs="Arial"/>
          <w:sz w:val="24"/>
          <w:szCs w:val="24"/>
        </w:rPr>
        <w:t xml:space="preserve"> v z.n.p.</w:t>
      </w:r>
      <w:r w:rsidRPr="009A4FA8">
        <w:rPr>
          <w:rFonts w:ascii="Arial" w:eastAsia="Arial Unicode MS" w:hAnsi="Arial" w:cs="Arial"/>
          <w:sz w:val="24"/>
          <w:szCs w:val="24"/>
        </w:rPr>
        <w:t xml:space="preserve">. </w:t>
      </w:r>
    </w:p>
    <w:p w:rsidR="008F3DFC" w:rsidRDefault="004169C7" w:rsidP="00EC51D8">
      <w:pPr>
        <w:spacing w:line="276" w:lineRule="auto"/>
        <w:ind w:right="-2"/>
        <w:jc w:val="both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>Skladba produkovaných odpadov vyplýva z činností súvisiacich s predmetom podnikania spoločnosti BYTTERM, a.s..</w:t>
      </w:r>
      <w:r w:rsidR="008F3DFC">
        <w:rPr>
          <w:rFonts w:ascii="Arial" w:eastAsia="Arial Unicode MS" w:hAnsi="Arial" w:cs="Arial"/>
          <w:sz w:val="24"/>
          <w:szCs w:val="24"/>
        </w:rPr>
        <w:t xml:space="preserve"> Nakladanie s odpadmi je zabezpečené zberom, triedením a ukladaním. Odpady delíme podľa </w:t>
      </w:r>
      <w:r w:rsidR="000347B1">
        <w:rPr>
          <w:rFonts w:ascii="Arial" w:eastAsia="Arial Unicode MS" w:hAnsi="Arial" w:cs="Arial"/>
          <w:sz w:val="24"/>
          <w:szCs w:val="24"/>
        </w:rPr>
        <w:t>k</w:t>
      </w:r>
      <w:r w:rsidR="008F3DFC">
        <w:rPr>
          <w:rFonts w:ascii="Arial" w:eastAsia="Arial Unicode MS" w:hAnsi="Arial" w:cs="Arial"/>
          <w:sz w:val="24"/>
          <w:szCs w:val="24"/>
        </w:rPr>
        <w:t>atalógu odpadov a nakladáme s nimi buď uložením na skládku alebo pri nebezpečných odpadoch ukladaním v technologicky zabezpečených priestoroch tak, aby sa predišlo ich negatívnym vplyvom alebo ohrozeniu života a zdravia ľudí , majetku a životného prostredia a následnou likvidáciou v spolupráci s firmou LECOL,</w:t>
      </w:r>
      <w:r w:rsidR="0093151B">
        <w:rPr>
          <w:rFonts w:ascii="Arial" w:eastAsia="Arial Unicode MS" w:hAnsi="Arial" w:cs="Arial"/>
          <w:sz w:val="24"/>
          <w:szCs w:val="24"/>
        </w:rPr>
        <w:t xml:space="preserve"> spol. </w:t>
      </w:r>
      <w:r w:rsidR="008F3DFC">
        <w:rPr>
          <w:rFonts w:ascii="Arial" w:eastAsia="Arial Unicode MS" w:hAnsi="Arial" w:cs="Arial"/>
          <w:sz w:val="24"/>
          <w:szCs w:val="24"/>
        </w:rPr>
        <w:t>s</w:t>
      </w:r>
      <w:r w:rsidR="0093151B">
        <w:rPr>
          <w:rFonts w:ascii="Arial" w:eastAsia="Arial Unicode MS" w:hAnsi="Arial" w:cs="Arial"/>
          <w:sz w:val="24"/>
          <w:szCs w:val="24"/>
        </w:rPr>
        <w:t xml:space="preserve"> </w:t>
      </w:r>
      <w:r w:rsidR="008F3DFC">
        <w:rPr>
          <w:rFonts w:ascii="Arial" w:eastAsia="Arial Unicode MS" w:hAnsi="Arial" w:cs="Arial"/>
          <w:sz w:val="24"/>
          <w:szCs w:val="24"/>
        </w:rPr>
        <w:t>r.o., Rajec</w:t>
      </w:r>
      <w:r w:rsidR="00280F5F">
        <w:rPr>
          <w:rFonts w:ascii="Arial" w:eastAsia="Arial Unicode MS" w:hAnsi="Arial" w:cs="Arial"/>
          <w:sz w:val="24"/>
          <w:szCs w:val="24"/>
        </w:rPr>
        <w:t>.</w:t>
      </w:r>
      <w:r w:rsidR="008F3DFC">
        <w:rPr>
          <w:rFonts w:ascii="Arial" w:eastAsia="Arial Unicode MS" w:hAnsi="Arial" w:cs="Arial"/>
          <w:sz w:val="24"/>
          <w:szCs w:val="24"/>
        </w:rPr>
        <w:t xml:space="preserve"> </w:t>
      </w:r>
    </w:p>
    <w:p w:rsidR="008F3DFC" w:rsidRDefault="008F3DFC" w:rsidP="00EC51D8">
      <w:pPr>
        <w:spacing w:line="276" w:lineRule="auto"/>
        <w:ind w:right="-2"/>
        <w:jc w:val="both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>Nebezpečný odpad nám v roku 2017 vznikal v prevádzke strediska Mechanizácia, v stredisku Chemická čistiareň a práčovňa a pri rekonštrukcii bytových domov pri výmene ležatých rozvodov.</w:t>
      </w:r>
      <w:r w:rsidR="00280F5F">
        <w:rPr>
          <w:rFonts w:ascii="Arial" w:eastAsia="Arial Unicode MS" w:hAnsi="Arial" w:cs="Arial"/>
          <w:sz w:val="24"/>
          <w:szCs w:val="24"/>
        </w:rPr>
        <w:t xml:space="preserve"> </w:t>
      </w:r>
      <w:r w:rsidR="0081223B">
        <w:rPr>
          <w:rFonts w:ascii="Arial" w:eastAsia="Arial Unicode MS" w:hAnsi="Arial" w:cs="Arial"/>
          <w:sz w:val="24"/>
          <w:szCs w:val="24"/>
        </w:rPr>
        <w:t xml:space="preserve">Naša spoločnosť je držiteľom súhlasu na nakladanie s nebezpečnými odpadmi udeleným OÚ ŽP v Žiline a držiteľom rozhodnutia na odstraňovanie azbestu a materiálov obsahujúcich azbest zo stavieb udeleného Regionálnym úradom verejného zdravotníctva. </w:t>
      </w:r>
      <w:r w:rsidRPr="009A4FA8">
        <w:rPr>
          <w:rFonts w:ascii="Arial" w:eastAsia="Arial Unicode MS" w:hAnsi="Arial" w:cs="Arial"/>
          <w:sz w:val="24"/>
          <w:szCs w:val="24"/>
        </w:rPr>
        <w:t>Spoločnosť má zavedený systém separovaného zberu elektroodpadu.</w:t>
      </w:r>
    </w:p>
    <w:p w:rsidR="005568B1" w:rsidRPr="008C5621" w:rsidRDefault="00EC51D8" w:rsidP="006C72AC">
      <w:pPr>
        <w:pStyle w:val="nadpisybytterm"/>
        <w:spacing w:line="276" w:lineRule="auto"/>
      </w:pPr>
      <w:r>
        <w:lastRenderedPageBreak/>
        <w:t>V</w:t>
      </w:r>
      <w:r w:rsidR="005568B1" w:rsidRPr="008C5621">
        <w:t>YBRANÉ EKONOMICKÉ INFORMÁCIE</w:t>
      </w:r>
    </w:p>
    <w:p w:rsidR="005568B1" w:rsidRPr="008F2DF7" w:rsidRDefault="005568B1" w:rsidP="006C72AC">
      <w:pPr>
        <w:spacing w:line="276" w:lineRule="auto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 w:rsidRPr="008F2DF7">
        <w:rPr>
          <w:rFonts w:ascii="Arial" w:hAnsi="Arial" w:cs="Arial"/>
          <w:smallCaps/>
          <w:color w:val="538135" w:themeColor="accent6" w:themeShade="BF"/>
          <w:sz w:val="36"/>
          <w:szCs w:val="36"/>
        </w:rPr>
        <w:t>analýza výsledku hospodárenia</w:t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color w:val="1E6400"/>
          <w:sz w:val="36"/>
          <w:szCs w:val="36"/>
        </w:rPr>
      </w:pPr>
      <w:r w:rsidRPr="009A4FA8">
        <w:rPr>
          <w:rFonts w:ascii="Arial" w:hAnsi="Arial" w:cs="Arial"/>
          <w:sz w:val="24"/>
          <w:szCs w:val="24"/>
        </w:rPr>
        <w:t>Za rok 201</w:t>
      </w:r>
      <w:r w:rsidR="00026E1F">
        <w:rPr>
          <w:rFonts w:ascii="Arial" w:hAnsi="Arial" w:cs="Arial"/>
          <w:sz w:val="24"/>
          <w:szCs w:val="24"/>
        </w:rPr>
        <w:t>7</w:t>
      </w:r>
      <w:r w:rsidRPr="009A4FA8">
        <w:rPr>
          <w:rFonts w:ascii="Arial" w:hAnsi="Arial" w:cs="Arial"/>
          <w:sz w:val="24"/>
          <w:szCs w:val="24"/>
        </w:rPr>
        <w:t xml:space="preserve"> dosiahla akciová spoločnosť hospodársky výsledok pred zdanením vo výške </w:t>
      </w:r>
      <w:r w:rsidR="00026E1F">
        <w:rPr>
          <w:rFonts w:ascii="Arial" w:hAnsi="Arial" w:cs="Arial"/>
          <w:sz w:val="24"/>
          <w:szCs w:val="24"/>
        </w:rPr>
        <w:t>988 551</w:t>
      </w:r>
      <w:r w:rsidRPr="009A4FA8">
        <w:rPr>
          <w:rFonts w:ascii="Arial" w:hAnsi="Arial" w:cs="Arial"/>
          <w:sz w:val="24"/>
          <w:szCs w:val="24"/>
        </w:rPr>
        <w:t xml:space="preserve"> EUR, čo je o</w:t>
      </w:r>
      <w:r w:rsidR="00026E1F">
        <w:rPr>
          <w:rFonts w:ascii="Arial" w:hAnsi="Arial" w:cs="Arial"/>
          <w:sz w:val="24"/>
          <w:szCs w:val="24"/>
        </w:rPr>
        <w:t> 140,5</w:t>
      </w:r>
      <w:r w:rsidRPr="009A4FA8">
        <w:rPr>
          <w:rFonts w:ascii="Arial" w:hAnsi="Arial" w:cs="Arial"/>
          <w:sz w:val="24"/>
          <w:szCs w:val="24"/>
        </w:rPr>
        <w:t xml:space="preserve"> tis. EUR viac ako v roku </w:t>
      </w:r>
      <w:r w:rsidR="00026E1F">
        <w:rPr>
          <w:rFonts w:ascii="Arial" w:hAnsi="Arial" w:cs="Arial"/>
          <w:sz w:val="24"/>
          <w:szCs w:val="24"/>
        </w:rPr>
        <w:t>2016.</w:t>
      </w:r>
      <w:r w:rsidRPr="009A4FA8">
        <w:rPr>
          <w:rFonts w:ascii="Arial" w:hAnsi="Arial" w:cs="Arial"/>
          <w:sz w:val="24"/>
          <w:szCs w:val="24"/>
        </w:rPr>
        <w:t xml:space="preserve"> Po transformácii účtovného zisku na daňový základ bola vyčíslená daň z príjmov vo výške </w:t>
      </w:r>
      <w:r w:rsidR="00026E1F">
        <w:rPr>
          <w:rFonts w:ascii="Arial" w:hAnsi="Arial" w:cs="Arial"/>
          <w:sz w:val="24"/>
          <w:szCs w:val="24"/>
        </w:rPr>
        <w:t>224,8 tis.</w:t>
      </w:r>
      <w:r w:rsidRPr="009A4FA8">
        <w:rPr>
          <w:rFonts w:ascii="Arial" w:hAnsi="Arial" w:cs="Arial"/>
          <w:sz w:val="24"/>
          <w:szCs w:val="24"/>
        </w:rPr>
        <w:t xml:space="preserve"> EUR a odložená daňová pohľadávka vo výške </w:t>
      </w:r>
      <w:r w:rsidR="00026E1F">
        <w:rPr>
          <w:rFonts w:ascii="Arial" w:hAnsi="Arial" w:cs="Arial"/>
          <w:sz w:val="24"/>
          <w:szCs w:val="24"/>
        </w:rPr>
        <w:t>11,9 tis.</w:t>
      </w:r>
      <w:r w:rsidRPr="009A4FA8">
        <w:rPr>
          <w:rFonts w:ascii="Arial" w:hAnsi="Arial" w:cs="Arial"/>
          <w:sz w:val="24"/>
          <w:szCs w:val="24"/>
        </w:rPr>
        <w:t xml:space="preserve"> EUR. Výsledok hospodárenia po zdanení tak predstavuje disponibilný zisk vo výške </w:t>
      </w:r>
      <w:r w:rsidR="00026E1F">
        <w:rPr>
          <w:rFonts w:ascii="Arial" w:hAnsi="Arial" w:cs="Arial"/>
          <w:sz w:val="24"/>
          <w:szCs w:val="24"/>
        </w:rPr>
        <w:t>775 663</w:t>
      </w:r>
      <w:r w:rsidRPr="009A4FA8">
        <w:rPr>
          <w:rFonts w:ascii="Arial" w:hAnsi="Arial" w:cs="Arial"/>
          <w:sz w:val="24"/>
          <w:szCs w:val="24"/>
        </w:rPr>
        <w:t xml:space="preserve"> EUR, čo je o</w:t>
      </w:r>
      <w:r w:rsidR="00026E1F">
        <w:rPr>
          <w:rFonts w:ascii="Arial" w:hAnsi="Arial" w:cs="Arial"/>
          <w:sz w:val="24"/>
          <w:szCs w:val="24"/>
        </w:rPr>
        <w:t> 117,9</w:t>
      </w:r>
      <w:r w:rsidRPr="009A4FA8">
        <w:rPr>
          <w:rFonts w:ascii="Arial" w:hAnsi="Arial" w:cs="Arial"/>
          <w:sz w:val="24"/>
          <w:szCs w:val="24"/>
        </w:rPr>
        <w:t xml:space="preserve"> tis. EUR viac ako v minulom roku.</w:t>
      </w:r>
    </w:p>
    <w:p w:rsidR="005568B1" w:rsidRDefault="005568B1" w:rsidP="006C72AC">
      <w:pPr>
        <w:spacing w:line="276" w:lineRule="auto"/>
        <w:ind w:right="423"/>
        <w:jc w:val="both"/>
      </w:pPr>
    </w:p>
    <w:p w:rsidR="005568B1" w:rsidRPr="008C5621" w:rsidRDefault="00026E1F" w:rsidP="006C72AC">
      <w:pPr>
        <w:spacing w:line="276" w:lineRule="auto"/>
        <w:ind w:right="423"/>
        <w:jc w:val="both"/>
      </w:pPr>
      <w:r>
        <w:rPr>
          <w:noProof/>
          <w:lang w:eastAsia="sk-SK"/>
        </w:rPr>
        <w:drawing>
          <wp:inline distT="0" distB="0" distL="0" distR="0">
            <wp:extent cx="5822315" cy="2438400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2315" cy="243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26E1F" w:rsidRDefault="00026E1F" w:rsidP="006C72AC">
      <w:pPr>
        <w:spacing w:line="276" w:lineRule="auto"/>
        <w:ind w:right="423"/>
        <w:jc w:val="both"/>
        <w:rPr>
          <w:rFonts w:ascii="MyriadPro-Regular" w:hAnsi="MyriadPro-Regular" w:cs="MyriadPro-Regular"/>
        </w:rPr>
      </w:pPr>
    </w:p>
    <w:p w:rsidR="00026E1F" w:rsidRDefault="00026E1F" w:rsidP="006C72AC">
      <w:pPr>
        <w:spacing w:line="276" w:lineRule="auto"/>
        <w:ind w:right="423"/>
        <w:jc w:val="both"/>
        <w:rPr>
          <w:rFonts w:ascii="MyriadPro-Regular" w:hAnsi="MyriadPro-Regular" w:cs="MyriadPro-Regular"/>
        </w:rPr>
      </w:pPr>
    </w:p>
    <w:p w:rsidR="005568B1" w:rsidRDefault="00026E1F" w:rsidP="006C72AC">
      <w:pPr>
        <w:spacing w:line="276" w:lineRule="auto"/>
        <w:ind w:right="423"/>
        <w:jc w:val="both"/>
        <w:rPr>
          <w:rFonts w:ascii="Myriad Pro" w:hAnsi="Myriad Pro" w:cs="Tahoma"/>
          <w:sz w:val="24"/>
          <w:szCs w:val="24"/>
        </w:rPr>
      </w:pPr>
      <w:r w:rsidRPr="008C5621">
        <w:rPr>
          <w:rFonts w:ascii="MyriadPro-Regular" w:hAnsi="MyriadPro-Regular" w:cs="MyriadPro-Regular"/>
        </w:rPr>
        <w:t>Údaje sú uvádzané v €</w:t>
      </w:r>
    </w:p>
    <w:p w:rsidR="005568B1" w:rsidRPr="008C5621" w:rsidRDefault="00026E1F" w:rsidP="006C72AC">
      <w:pPr>
        <w:spacing w:line="276" w:lineRule="auto"/>
        <w:ind w:right="423"/>
        <w:jc w:val="both"/>
        <w:rPr>
          <w:rFonts w:ascii="Myriad Pro" w:hAnsi="Myriad Pro" w:cs="Tahoma"/>
          <w:sz w:val="24"/>
          <w:szCs w:val="24"/>
        </w:rPr>
      </w:pPr>
      <w:r w:rsidRPr="00026E1F">
        <w:rPr>
          <w:noProof/>
          <w:lang w:eastAsia="sk-SK"/>
        </w:rPr>
        <w:drawing>
          <wp:inline distT="0" distB="0" distL="0" distR="0">
            <wp:extent cx="5334000" cy="866775"/>
            <wp:effectExtent l="0" t="0" r="0" b="9525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68B1" w:rsidRPr="008C5621" w:rsidRDefault="005568B1" w:rsidP="006C72AC">
      <w:pPr>
        <w:spacing w:line="276" w:lineRule="auto"/>
        <w:rPr>
          <w:rFonts w:ascii="Arial" w:hAnsi="Arial" w:cs="Arial"/>
        </w:rPr>
      </w:pPr>
      <w:r w:rsidRPr="008C5621">
        <w:rPr>
          <w:rFonts w:ascii="Arial" w:hAnsi="Arial" w:cs="Arial"/>
          <w:b/>
        </w:rPr>
        <w:t xml:space="preserve">EBITDA </w:t>
      </w:r>
      <w:r w:rsidRPr="008C5621">
        <w:rPr>
          <w:rFonts w:ascii="Arial" w:hAnsi="Arial" w:cs="Arial"/>
        </w:rPr>
        <w:t xml:space="preserve"> - výsledok hosp. za účtovné obdobie pred zdanením + nákladové úroky + odpisy</w:t>
      </w:r>
    </w:p>
    <w:p w:rsidR="005568B1" w:rsidRPr="008C5621" w:rsidRDefault="005568B1" w:rsidP="006C72AC">
      <w:pPr>
        <w:spacing w:line="276" w:lineRule="auto"/>
        <w:rPr>
          <w:rFonts w:ascii="Arial" w:hAnsi="Arial" w:cs="Arial"/>
        </w:rPr>
      </w:pPr>
      <w:r w:rsidRPr="008C5621">
        <w:rPr>
          <w:rFonts w:ascii="Arial" w:hAnsi="Arial" w:cs="Arial"/>
          <w:b/>
        </w:rPr>
        <w:t xml:space="preserve">EBIT </w:t>
      </w:r>
      <w:r w:rsidRPr="008C5621">
        <w:rPr>
          <w:rFonts w:ascii="Arial" w:hAnsi="Arial" w:cs="Arial"/>
        </w:rPr>
        <w:t>- výsledok hospodárenia za účtovné obdobie pred zdanením + nákladové úroky</w:t>
      </w:r>
    </w:p>
    <w:p w:rsidR="005568B1" w:rsidRPr="008C5621" w:rsidRDefault="005568B1" w:rsidP="006C72AC">
      <w:pPr>
        <w:spacing w:line="276" w:lineRule="auto"/>
        <w:rPr>
          <w:rFonts w:ascii="Arial" w:hAnsi="Arial" w:cs="Arial"/>
        </w:rPr>
      </w:pPr>
      <w:r w:rsidRPr="008C5621">
        <w:rPr>
          <w:rFonts w:ascii="Arial" w:hAnsi="Arial" w:cs="Arial"/>
          <w:b/>
        </w:rPr>
        <w:t>EBT</w:t>
      </w:r>
      <w:r w:rsidRPr="008C5621">
        <w:rPr>
          <w:rFonts w:ascii="Arial" w:hAnsi="Arial" w:cs="Arial"/>
        </w:rPr>
        <w:t xml:space="preserve"> - výsledok hospodárenia za účtovné obdobie pred zdanením</w:t>
      </w:r>
    </w:p>
    <w:p w:rsidR="005568B1" w:rsidRPr="008C5621" w:rsidRDefault="005568B1" w:rsidP="006C72AC">
      <w:pPr>
        <w:spacing w:line="276" w:lineRule="auto"/>
        <w:ind w:right="423"/>
        <w:jc w:val="both"/>
        <w:rPr>
          <w:rFonts w:ascii="Arial" w:hAnsi="Arial" w:cs="Arial"/>
        </w:rPr>
      </w:pPr>
      <w:r w:rsidRPr="008C5621">
        <w:rPr>
          <w:rFonts w:ascii="Arial" w:hAnsi="Arial" w:cs="Arial"/>
          <w:b/>
        </w:rPr>
        <w:t>EAT</w:t>
      </w:r>
      <w:r w:rsidRPr="008C5621">
        <w:rPr>
          <w:rFonts w:ascii="Arial" w:hAnsi="Arial" w:cs="Arial"/>
        </w:rPr>
        <w:t xml:space="preserve"> - výsledok hospodárenia za účtovné obdobie po zdanení</w:t>
      </w:r>
    </w:p>
    <w:p w:rsidR="005568B1" w:rsidRPr="008C5621" w:rsidRDefault="005568B1" w:rsidP="006C72AC">
      <w:pPr>
        <w:spacing w:line="276" w:lineRule="auto"/>
        <w:ind w:right="423"/>
        <w:jc w:val="both"/>
        <w:rPr>
          <w:rFonts w:ascii="Arial" w:hAnsi="Arial" w:cs="Arial"/>
        </w:rPr>
      </w:pPr>
    </w:p>
    <w:p w:rsidR="005568B1" w:rsidRDefault="005568B1" w:rsidP="006C72AC">
      <w:pPr>
        <w:spacing w:line="276" w:lineRule="auto"/>
        <w:ind w:right="423"/>
        <w:jc w:val="both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</w:p>
    <w:p w:rsidR="005568B1" w:rsidRPr="008F2DF7" w:rsidRDefault="00026E1F" w:rsidP="006C72AC">
      <w:pPr>
        <w:spacing w:line="276" w:lineRule="auto"/>
        <w:ind w:right="423"/>
        <w:jc w:val="both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>
        <w:rPr>
          <w:rFonts w:ascii="Arial" w:hAnsi="Arial" w:cs="Arial"/>
          <w:smallCaps/>
          <w:color w:val="538135" w:themeColor="accent6" w:themeShade="BF"/>
          <w:sz w:val="36"/>
          <w:szCs w:val="36"/>
        </w:rPr>
        <w:lastRenderedPageBreak/>
        <w:t>plnenie hospodárskeho výsledku podľa divízií</w:t>
      </w:r>
    </w:p>
    <w:p w:rsidR="005568B1" w:rsidRPr="008C5621" w:rsidRDefault="005568B1" w:rsidP="006C72AC">
      <w:pPr>
        <w:spacing w:line="276" w:lineRule="auto"/>
        <w:ind w:right="423"/>
        <w:jc w:val="both"/>
        <w:rPr>
          <w:rFonts w:ascii="MyriadPro-Regular" w:hAnsi="MyriadPro-Regular" w:cs="MyriadPro-Regular"/>
        </w:rPr>
      </w:pPr>
      <w:r w:rsidRPr="008C5621">
        <w:rPr>
          <w:rFonts w:ascii="MyriadPro-Regular" w:hAnsi="MyriadPro-Regular" w:cs="MyriadPro-Regular"/>
        </w:rPr>
        <w:t>Údaje sú uvádzané v €</w:t>
      </w:r>
    </w:p>
    <w:p w:rsidR="005568B1" w:rsidRPr="000B7BBC" w:rsidRDefault="00AE65BA" w:rsidP="006C72AC">
      <w:pPr>
        <w:spacing w:line="276" w:lineRule="auto"/>
        <w:ind w:right="423"/>
        <w:jc w:val="both"/>
        <w:rPr>
          <w:rFonts w:ascii="Myriad Pro" w:hAnsi="Myriad Pro" w:cs="Tahoma"/>
          <w:sz w:val="24"/>
          <w:szCs w:val="24"/>
        </w:rPr>
      </w:pPr>
      <w:r w:rsidRPr="00AE65BA">
        <w:rPr>
          <w:noProof/>
          <w:lang w:eastAsia="sk-SK"/>
        </w:rPr>
        <w:drawing>
          <wp:inline distT="0" distB="0" distL="0" distR="0">
            <wp:extent cx="5759450" cy="2034776"/>
            <wp:effectExtent l="0" t="0" r="0" b="381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20347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68B1" w:rsidRPr="009A4FA8" w:rsidRDefault="005568B1" w:rsidP="006C72AC">
      <w:pPr>
        <w:spacing w:line="276" w:lineRule="auto"/>
        <w:ind w:right="423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V porovnaní s plánom dosiahla akciová spoločnosť v roku 201</w:t>
      </w:r>
      <w:r w:rsidR="00AE65BA">
        <w:rPr>
          <w:rFonts w:ascii="Arial" w:hAnsi="Arial" w:cs="Arial"/>
          <w:sz w:val="24"/>
          <w:szCs w:val="24"/>
        </w:rPr>
        <w:t xml:space="preserve">7 </w:t>
      </w:r>
      <w:r w:rsidRPr="009A4FA8">
        <w:rPr>
          <w:rFonts w:ascii="Arial" w:hAnsi="Arial" w:cs="Arial"/>
          <w:sz w:val="24"/>
          <w:szCs w:val="24"/>
        </w:rPr>
        <w:t>vyšší čistý zisk o</w:t>
      </w:r>
      <w:r w:rsidR="00AE65BA">
        <w:rPr>
          <w:rFonts w:ascii="Arial" w:hAnsi="Arial" w:cs="Arial"/>
          <w:sz w:val="24"/>
          <w:szCs w:val="24"/>
        </w:rPr>
        <w:t xml:space="preserve"> 360,4 </w:t>
      </w:r>
      <w:r w:rsidRPr="009A4FA8">
        <w:rPr>
          <w:rFonts w:ascii="Arial" w:hAnsi="Arial" w:cs="Arial"/>
          <w:sz w:val="24"/>
          <w:szCs w:val="24"/>
        </w:rPr>
        <w:t xml:space="preserve"> tis. EUR . Najväčšie prekročenie plánu </w:t>
      </w:r>
      <w:r w:rsidR="00124667">
        <w:rPr>
          <w:rFonts w:ascii="Arial" w:hAnsi="Arial" w:cs="Arial"/>
          <w:sz w:val="24"/>
          <w:szCs w:val="24"/>
        </w:rPr>
        <w:t>zaznamenala</w:t>
      </w:r>
      <w:r w:rsidRPr="009A4FA8">
        <w:rPr>
          <w:rFonts w:ascii="Arial" w:hAnsi="Arial" w:cs="Arial"/>
          <w:sz w:val="24"/>
          <w:szCs w:val="24"/>
        </w:rPr>
        <w:t xml:space="preserve"> divízia </w:t>
      </w:r>
      <w:r w:rsidR="00AE65BA">
        <w:rPr>
          <w:rFonts w:ascii="Arial" w:hAnsi="Arial" w:cs="Arial"/>
          <w:sz w:val="24"/>
          <w:szCs w:val="24"/>
        </w:rPr>
        <w:t>výroby a služieb</w:t>
      </w:r>
      <w:r w:rsidRPr="009A4FA8">
        <w:rPr>
          <w:rFonts w:ascii="Arial" w:hAnsi="Arial" w:cs="Arial"/>
          <w:sz w:val="24"/>
          <w:szCs w:val="24"/>
        </w:rPr>
        <w:t>, ktorá prekročila plánovaný zisk o</w:t>
      </w:r>
      <w:r w:rsidR="00AE65BA">
        <w:rPr>
          <w:rFonts w:ascii="Arial" w:hAnsi="Arial" w:cs="Arial"/>
          <w:sz w:val="24"/>
          <w:szCs w:val="24"/>
        </w:rPr>
        <w:t> 164,9</w:t>
      </w:r>
      <w:r w:rsidRPr="009A4FA8">
        <w:rPr>
          <w:rFonts w:ascii="Arial" w:hAnsi="Arial" w:cs="Arial"/>
          <w:sz w:val="24"/>
          <w:szCs w:val="24"/>
        </w:rPr>
        <w:t xml:space="preserve"> tis. EUR a</w:t>
      </w:r>
      <w:r w:rsidR="00AE65BA">
        <w:rPr>
          <w:rFonts w:ascii="Arial" w:hAnsi="Arial" w:cs="Arial"/>
          <w:sz w:val="24"/>
          <w:szCs w:val="24"/>
        </w:rPr>
        <w:t> divízia správy majetku</w:t>
      </w:r>
      <w:r w:rsidRPr="009A4FA8">
        <w:rPr>
          <w:rFonts w:ascii="Arial" w:hAnsi="Arial" w:cs="Arial"/>
          <w:sz w:val="24"/>
          <w:szCs w:val="24"/>
        </w:rPr>
        <w:t xml:space="preserve">, ktorá preplnila </w:t>
      </w:r>
      <w:r w:rsidR="00AE65BA">
        <w:rPr>
          <w:rFonts w:ascii="Arial" w:hAnsi="Arial" w:cs="Arial"/>
          <w:sz w:val="24"/>
          <w:szCs w:val="24"/>
        </w:rPr>
        <w:t xml:space="preserve">plán </w:t>
      </w:r>
      <w:r w:rsidRPr="009A4FA8">
        <w:rPr>
          <w:rFonts w:ascii="Arial" w:hAnsi="Arial" w:cs="Arial"/>
          <w:sz w:val="24"/>
          <w:szCs w:val="24"/>
        </w:rPr>
        <w:t>o</w:t>
      </w:r>
      <w:r w:rsidR="00AE65BA">
        <w:rPr>
          <w:rFonts w:ascii="Arial" w:hAnsi="Arial" w:cs="Arial"/>
          <w:sz w:val="24"/>
          <w:szCs w:val="24"/>
        </w:rPr>
        <w:t> 89,8</w:t>
      </w:r>
      <w:r w:rsidRPr="009A4FA8">
        <w:rPr>
          <w:rFonts w:ascii="Arial" w:hAnsi="Arial" w:cs="Arial"/>
          <w:sz w:val="24"/>
          <w:szCs w:val="24"/>
        </w:rPr>
        <w:t xml:space="preserve"> tis. EUR. Nižšia strata oproti plánovanej o</w:t>
      </w:r>
      <w:r w:rsidR="00AE65BA">
        <w:rPr>
          <w:rFonts w:ascii="Arial" w:hAnsi="Arial" w:cs="Arial"/>
          <w:sz w:val="24"/>
          <w:szCs w:val="24"/>
        </w:rPr>
        <w:t> 126,4</w:t>
      </w:r>
      <w:r w:rsidRPr="009A4FA8">
        <w:rPr>
          <w:rFonts w:ascii="Arial" w:hAnsi="Arial" w:cs="Arial"/>
          <w:sz w:val="24"/>
          <w:szCs w:val="24"/>
        </w:rPr>
        <w:t xml:space="preserve"> tis. EUR na Útvare GR bola dosiahnutá výnosom z predaja </w:t>
      </w:r>
      <w:r w:rsidR="00124667">
        <w:rPr>
          <w:rFonts w:ascii="Arial" w:hAnsi="Arial" w:cs="Arial"/>
          <w:sz w:val="24"/>
          <w:szCs w:val="24"/>
        </w:rPr>
        <w:t>bytu</w:t>
      </w:r>
      <w:r w:rsidRPr="009A4FA8">
        <w:rPr>
          <w:rFonts w:ascii="Arial" w:hAnsi="Arial" w:cs="Arial"/>
          <w:sz w:val="24"/>
          <w:szCs w:val="24"/>
        </w:rPr>
        <w:t xml:space="preserve">, ako aj </w:t>
      </w:r>
      <w:r w:rsidR="00124667">
        <w:rPr>
          <w:rFonts w:ascii="Arial" w:hAnsi="Arial" w:cs="Arial"/>
          <w:sz w:val="24"/>
          <w:szCs w:val="24"/>
        </w:rPr>
        <w:t>nečerpaním plánovaných osobných nákladov</w:t>
      </w:r>
      <w:r w:rsidRPr="009A4FA8">
        <w:rPr>
          <w:rFonts w:ascii="Arial" w:hAnsi="Arial" w:cs="Arial"/>
          <w:sz w:val="24"/>
          <w:szCs w:val="24"/>
        </w:rPr>
        <w:t xml:space="preserve"> .</w:t>
      </w:r>
      <w:r w:rsidR="00124667">
        <w:rPr>
          <w:rFonts w:ascii="Arial" w:hAnsi="Arial" w:cs="Arial"/>
          <w:sz w:val="24"/>
          <w:szCs w:val="24"/>
        </w:rPr>
        <w:t xml:space="preserve"> Medziročne najväčší nárast hospodárskeho výsledku zaznamenala divízia výroby a služieb o 108 tis. EUR, t.j. o 84,2 % a divízia správy majetku o 80,3 tis. EUR, t.j. o 177,8 %.</w:t>
      </w:r>
    </w:p>
    <w:p w:rsidR="005568B1" w:rsidRPr="008C5621" w:rsidRDefault="005568B1" w:rsidP="006C72AC">
      <w:pPr>
        <w:spacing w:line="276" w:lineRule="auto"/>
        <w:ind w:right="423"/>
        <w:jc w:val="both"/>
        <w:rPr>
          <w:rFonts w:ascii="Myriad Pro" w:hAnsi="Myriad Pro" w:cs="Arial"/>
          <w:sz w:val="24"/>
          <w:szCs w:val="24"/>
        </w:rPr>
      </w:pPr>
    </w:p>
    <w:p w:rsidR="005568B1" w:rsidRPr="008F2DF7" w:rsidRDefault="005568B1" w:rsidP="006C72AC">
      <w:pPr>
        <w:spacing w:line="276" w:lineRule="auto"/>
        <w:ind w:right="423"/>
        <w:jc w:val="both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 w:rsidRPr="008F2DF7">
        <w:rPr>
          <w:rFonts w:ascii="Arial" w:hAnsi="Arial" w:cs="Arial"/>
          <w:smallCaps/>
          <w:color w:val="538135" w:themeColor="accent6" w:themeShade="BF"/>
          <w:sz w:val="36"/>
          <w:szCs w:val="36"/>
        </w:rPr>
        <w:t>rentabilita čistého zisku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 xml:space="preserve">Všetky ukazovatele rentability vplyvom rastu čistého zisku vykazujú medziročný </w:t>
      </w:r>
      <w:r w:rsidR="00124C8B">
        <w:rPr>
          <w:rFonts w:ascii="Arial" w:hAnsi="Arial" w:cs="Arial"/>
          <w:sz w:val="24"/>
          <w:szCs w:val="24"/>
        </w:rPr>
        <w:t>nárast</w:t>
      </w:r>
      <w:r w:rsidRPr="009A4FA8">
        <w:rPr>
          <w:rFonts w:ascii="Arial" w:hAnsi="Arial" w:cs="Arial"/>
          <w:sz w:val="24"/>
          <w:szCs w:val="24"/>
        </w:rPr>
        <w:t>. Nákladová rentabilita vyjadruje , že spoločnosť získala z eura vložených nákladov 0,0</w:t>
      </w:r>
      <w:r w:rsidR="00124C8B">
        <w:rPr>
          <w:rFonts w:ascii="Arial" w:hAnsi="Arial" w:cs="Arial"/>
          <w:sz w:val="24"/>
          <w:szCs w:val="24"/>
        </w:rPr>
        <w:t xml:space="preserve">454 </w:t>
      </w:r>
      <w:r w:rsidR="00CF5165">
        <w:rPr>
          <w:rFonts w:ascii="Arial" w:hAnsi="Arial" w:cs="Arial"/>
          <w:sz w:val="24"/>
          <w:szCs w:val="24"/>
        </w:rPr>
        <w:t>EUR</w:t>
      </w:r>
      <w:r w:rsidRPr="009A4FA8">
        <w:rPr>
          <w:rFonts w:ascii="Arial" w:hAnsi="Arial" w:cs="Arial"/>
          <w:sz w:val="24"/>
          <w:szCs w:val="24"/>
        </w:rPr>
        <w:t xml:space="preserve"> čistého zisku, rentabilita výnosov ukazuje, že euro výnosov prináša 0,0</w:t>
      </w:r>
      <w:r w:rsidR="00124C8B">
        <w:rPr>
          <w:rFonts w:ascii="Arial" w:hAnsi="Arial" w:cs="Arial"/>
          <w:sz w:val="24"/>
          <w:szCs w:val="24"/>
        </w:rPr>
        <w:t>435</w:t>
      </w:r>
      <w:r w:rsidRPr="009A4FA8">
        <w:rPr>
          <w:rFonts w:ascii="Arial" w:hAnsi="Arial" w:cs="Arial"/>
          <w:sz w:val="24"/>
          <w:szCs w:val="24"/>
        </w:rPr>
        <w:t xml:space="preserve"> </w:t>
      </w:r>
      <w:r w:rsidR="00CF5165">
        <w:rPr>
          <w:rFonts w:ascii="Arial" w:hAnsi="Arial" w:cs="Arial"/>
          <w:sz w:val="24"/>
          <w:szCs w:val="24"/>
        </w:rPr>
        <w:t>EUR</w:t>
      </w:r>
      <w:r w:rsidRPr="009A4FA8">
        <w:rPr>
          <w:rFonts w:ascii="Arial" w:hAnsi="Arial" w:cs="Arial"/>
          <w:sz w:val="24"/>
          <w:szCs w:val="24"/>
        </w:rPr>
        <w:t xml:space="preserve"> čistého zisku a rentabilita vlastného kapitálu vyjadruje, že za euro investovaného kapitálu akcionári získali 0,</w:t>
      </w:r>
      <w:r w:rsidR="00124C8B">
        <w:rPr>
          <w:rFonts w:ascii="Arial" w:hAnsi="Arial" w:cs="Arial"/>
          <w:sz w:val="24"/>
          <w:szCs w:val="24"/>
        </w:rPr>
        <w:t>119</w:t>
      </w:r>
      <w:r w:rsidRPr="009A4FA8">
        <w:rPr>
          <w:rFonts w:ascii="Arial" w:hAnsi="Arial" w:cs="Arial"/>
          <w:sz w:val="24"/>
          <w:szCs w:val="24"/>
        </w:rPr>
        <w:t xml:space="preserve"> </w:t>
      </w:r>
      <w:r w:rsidR="00CF5165">
        <w:rPr>
          <w:rFonts w:ascii="Arial" w:hAnsi="Arial" w:cs="Arial"/>
          <w:sz w:val="24"/>
          <w:szCs w:val="24"/>
        </w:rPr>
        <w:t>EUR</w:t>
      </w:r>
      <w:r w:rsidRPr="009A4FA8">
        <w:rPr>
          <w:rFonts w:ascii="Arial" w:hAnsi="Arial" w:cs="Arial"/>
          <w:sz w:val="24"/>
          <w:szCs w:val="24"/>
        </w:rPr>
        <w:t xml:space="preserve"> čistého zisku.</w:t>
      </w:r>
    </w:p>
    <w:p w:rsidR="00124C8B" w:rsidRPr="009A4FA8" w:rsidRDefault="00124C8B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Pr="008C5621" w:rsidRDefault="00124C8B" w:rsidP="006C72AC">
      <w:pPr>
        <w:spacing w:line="276" w:lineRule="auto"/>
        <w:ind w:right="423"/>
        <w:jc w:val="both"/>
        <w:rPr>
          <w:rFonts w:ascii="Myriad Pro" w:hAnsi="Myriad Pro" w:cs="Tahoma"/>
          <w:sz w:val="24"/>
          <w:szCs w:val="24"/>
        </w:rPr>
      </w:pPr>
      <w:r w:rsidRPr="00124C8B">
        <w:rPr>
          <w:noProof/>
          <w:lang w:eastAsia="sk-SK"/>
        </w:rPr>
        <w:drawing>
          <wp:inline distT="0" distB="0" distL="0" distR="0">
            <wp:extent cx="5076825" cy="695325"/>
            <wp:effectExtent l="0" t="0" r="9525" b="9525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68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68B1" w:rsidRPr="008C5621" w:rsidRDefault="005568B1" w:rsidP="006C72AC">
      <w:pPr>
        <w:spacing w:line="276" w:lineRule="auto"/>
        <w:ind w:right="423"/>
        <w:jc w:val="both"/>
        <w:rPr>
          <w:rFonts w:ascii="Myriad Pro" w:hAnsi="Myriad Pro" w:cs="Tahoma"/>
          <w:sz w:val="24"/>
          <w:szCs w:val="24"/>
        </w:rPr>
      </w:pPr>
    </w:p>
    <w:p w:rsidR="005568B1" w:rsidRPr="009A4FA8" w:rsidRDefault="005568B1" w:rsidP="006C72AC">
      <w:pPr>
        <w:spacing w:line="276" w:lineRule="auto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Nákladová rentabilita za rok 201</w:t>
      </w:r>
      <w:r w:rsidR="00124C8B">
        <w:rPr>
          <w:rFonts w:ascii="Arial" w:hAnsi="Arial" w:cs="Arial"/>
          <w:sz w:val="24"/>
          <w:szCs w:val="24"/>
        </w:rPr>
        <w:t>7</w:t>
      </w:r>
      <w:r w:rsidRPr="009A4FA8">
        <w:rPr>
          <w:rFonts w:ascii="Arial" w:hAnsi="Arial" w:cs="Arial"/>
          <w:sz w:val="24"/>
          <w:szCs w:val="24"/>
        </w:rPr>
        <w:t xml:space="preserve"> počítaná z čistého zisku je o 0,</w:t>
      </w:r>
      <w:r w:rsidR="00124C8B">
        <w:rPr>
          <w:rFonts w:ascii="Arial" w:hAnsi="Arial" w:cs="Arial"/>
          <w:sz w:val="24"/>
          <w:szCs w:val="24"/>
        </w:rPr>
        <w:t>74</w:t>
      </w:r>
      <w:r w:rsidRPr="009A4FA8">
        <w:rPr>
          <w:rFonts w:ascii="Arial" w:hAnsi="Arial" w:cs="Arial"/>
          <w:sz w:val="24"/>
          <w:szCs w:val="24"/>
        </w:rPr>
        <w:t xml:space="preserve"> p.b. </w:t>
      </w:r>
      <w:r w:rsidR="00124C8B">
        <w:rPr>
          <w:rFonts w:ascii="Arial" w:hAnsi="Arial" w:cs="Arial"/>
          <w:sz w:val="24"/>
          <w:szCs w:val="24"/>
        </w:rPr>
        <w:t xml:space="preserve">vyššia </w:t>
      </w:r>
      <w:r w:rsidRPr="009A4FA8">
        <w:rPr>
          <w:rFonts w:ascii="Arial" w:hAnsi="Arial" w:cs="Arial"/>
          <w:sz w:val="24"/>
          <w:szCs w:val="24"/>
        </w:rPr>
        <w:t>ako v roku 201</w:t>
      </w:r>
      <w:r w:rsidR="00124C8B">
        <w:rPr>
          <w:rFonts w:ascii="Arial" w:hAnsi="Arial" w:cs="Arial"/>
          <w:sz w:val="24"/>
          <w:szCs w:val="24"/>
        </w:rPr>
        <w:t>6</w:t>
      </w:r>
      <w:r w:rsidRPr="009A4FA8">
        <w:rPr>
          <w:rFonts w:ascii="Arial" w:hAnsi="Arial" w:cs="Arial"/>
          <w:sz w:val="24"/>
          <w:szCs w:val="24"/>
        </w:rPr>
        <w:t>, rentabilita výnosov za rok 201</w:t>
      </w:r>
      <w:r w:rsidR="00124C8B">
        <w:rPr>
          <w:rFonts w:ascii="Arial" w:hAnsi="Arial" w:cs="Arial"/>
          <w:sz w:val="24"/>
          <w:szCs w:val="24"/>
        </w:rPr>
        <w:t>7</w:t>
      </w:r>
      <w:r w:rsidRPr="009A4FA8">
        <w:rPr>
          <w:rFonts w:ascii="Arial" w:hAnsi="Arial" w:cs="Arial"/>
          <w:sz w:val="24"/>
          <w:szCs w:val="24"/>
        </w:rPr>
        <w:t xml:space="preserve"> oproti roku 201</w:t>
      </w:r>
      <w:r w:rsidR="00124C8B">
        <w:rPr>
          <w:rFonts w:ascii="Arial" w:hAnsi="Arial" w:cs="Arial"/>
          <w:sz w:val="24"/>
          <w:szCs w:val="24"/>
        </w:rPr>
        <w:t>6</w:t>
      </w:r>
      <w:r w:rsidRPr="009A4FA8">
        <w:rPr>
          <w:rFonts w:ascii="Arial" w:hAnsi="Arial" w:cs="Arial"/>
          <w:sz w:val="24"/>
          <w:szCs w:val="24"/>
        </w:rPr>
        <w:t xml:space="preserve"> </w:t>
      </w:r>
      <w:r w:rsidR="00124C8B">
        <w:rPr>
          <w:rFonts w:ascii="Arial" w:hAnsi="Arial" w:cs="Arial"/>
          <w:sz w:val="24"/>
          <w:szCs w:val="24"/>
        </w:rPr>
        <w:t>vzrástla</w:t>
      </w:r>
      <w:r w:rsidRPr="009A4FA8">
        <w:rPr>
          <w:rFonts w:ascii="Arial" w:hAnsi="Arial" w:cs="Arial"/>
          <w:sz w:val="24"/>
          <w:szCs w:val="24"/>
        </w:rPr>
        <w:t xml:space="preserve"> o 0,</w:t>
      </w:r>
      <w:r w:rsidR="00124C8B">
        <w:rPr>
          <w:rFonts w:ascii="Arial" w:hAnsi="Arial" w:cs="Arial"/>
          <w:sz w:val="24"/>
          <w:szCs w:val="24"/>
        </w:rPr>
        <w:t>69</w:t>
      </w:r>
      <w:r w:rsidRPr="009A4FA8">
        <w:rPr>
          <w:rFonts w:ascii="Arial" w:hAnsi="Arial" w:cs="Arial"/>
          <w:sz w:val="24"/>
          <w:szCs w:val="24"/>
        </w:rPr>
        <w:t xml:space="preserve"> p.b., rentabilita vlastného kapitálu je </w:t>
      </w:r>
      <w:r w:rsidR="00124C8B">
        <w:rPr>
          <w:rFonts w:ascii="Arial" w:hAnsi="Arial" w:cs="Arial"/>
          <w:sz w:val="24"/>
          <w:szCs w:val="24"/>
        </w:rPr>
        <w:t>vyššia</w:t>
      </w:r>
      <w:r w:rsidRPr="009A4FA8">
        <w:rPr>
          <w:rFonts w:ascii="Arial" w:hAnsi="Arial" w:cs="Arial"/>
          <w:sz w:val="24"/>
          <w:szCs w:val="24"/>
        </w:rPr>
        <w:t xml:space="preserve"> o</w:t>
      </w:r>
      <w:r w:rsidR="00124C8B">
        <w:rPr>
          <w:rFonts w:ascii="Arial" w:hAnsi="Arial" w:cs="Arial"/>
          <w:sz w:val="24"/>
          <w:szCs w:val="24"/>
        </w:rPr>
        <w:t> 1,13</w:t>
      </w:r>
      <w:r w:rsidRPr="009A4FA8">
        <w:rPr>
          <w:rFonts w:ascii="Arial" w:hAnsi="Arial" w:cs="Arial"/>
          <w:sz w:val="24"/>
          <w:szCs w:val="24"/>
        </w:rPr>
        <w:t xml:space="preserve"> p.b..</w:t>
      </w:r>
    </w:p>
    <w:p w:rsidR="005568B1" w:rsidRPr="008C5621" w:rsidRDefault="00124C8B" w:rsidP="006C72AC">
      <w:pPr>
        <w:spacing w:line="276" w:lineRule="auto"/>
        <w:rPr>
          <w:rFonts w:ascii="Myriad Pro" w:hAnsi="Myriad Pro" w:cs="Arial"/>
          <w:sz w:val="24"/>
          <w:szCs w:val="24"/>
        </w:rPr>
      </w:pPr>
      <w:r>
        <w:rPr>
          <w:rFonts w:ascii="Myriad Pro" w:hAnsi="Myriad Pro" w:cs="Arial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896831" cy="2451658"/>
            <wp:effectExtent l="0" t="0" r="0" b="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1313" cy="245352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568B1" w:rsidRPr="008C5621" w:rsidRDefault="005568B1" w:rsidP="006C72AC">
      <w:pPr>
        <w:spacing w:line="276" w:lineRule="auto"/>
        <w:ind w:right="423"/>
        <w:jc w:val="both"/>
        <w:rPr>
          <w:rFonts w:ascii="Myriad Pro" w:hAnsi="Myriad Pro" w:cs="Tahoma"/>
          <w:sz w:val="24"/>
          <w:szCs w:val="24"/>
        </w:rPr>
      </w:pPr>
    </w:p>
    <w:p w:rsidR="005568B1" w:rsidRPr="008F2DF7" w:rsidRDefault="005568B1" w:rsidP="006C72AC">
      <w:pPr>
        <w:spacing w:line="276" w:lineRule="auto"/>
        <w:ind w:right="423"/>
        <w:jc w:val="both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 w:rsidRPr="008F2DF7">
        <w:rPr>
          <w:rFonts w:ascii="Arial" w:hAnsi="Arial" w:cs="Arial"/>
          <w:smallCaps/>
          <w:color w:val="538135" w:themeColor="accent6" w:themeShade="BF"/>
          <w:sz w:val="36"/>
          <w:szCs w:val="36"/>
        </w:rPr>
        <w:t>návrh na rozdelenie použiteľného čistého zisku</w:t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Predstavenstvo akciovej spoločnosti navrhuje dosiahnutý použiteľný zisk za rok 201</w:t>
      </w:r>
      <w:r w:rsidR="00124C8B">
        <w:rPr>
          <w:rFonts w:ascii="Arial" w:hAnsi="Arial" w:cs="Arial"/>
          <w:sz w:val="24"/>
          <w:szCs w:val="24"/>
        </w:rPr>
        <w:t>7</w:t>
      </w:r>
      <w:r w:rsidRPr="009A4FA8">
        <w:rPr>
          <w:rFonts w:ascii="Arial" w:hAnsi="Arial" w:cs="Arial"/>
          <w:sz w:val="24"/>
          <w:szCs w:val="24"/>
        </w:rPr>
        <w:t xml:space="preserve"> vo výške </w:t>
      </w:r>
      <w:r w:rsidR="00124C8B">
        <w:rPr>
          <w:rFonts w:ascii="Arial" w:hAnsi="Arial" w:cs="Arial"/>
          <w:sz w:val="24"/>
          <w:szCs w:val="24"/>
        </w:rPr>
        <w:t>775 663,07</w:t>
      </w:r>
      <w:r w:rsidRPr="009A4FA8">
        <w:rPr>
          <w:rFonts w:ascii="Arial" w:hAnsi="Arial" w:cs="Arial"/>
          <w:sz w:val="24"/>
          <w:szCs w:val="24"/>
        </w:rPr>
        <w:t xml:space="preserve"> EUR rozdeliť nasledovne:</w:t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1. prídel do sociálneho fondu</w:t>
      </w:r>
      <w:r w:rsidRPr="009A4FA8">
        <w:rPr>
          <w:rFonts w:ascii="Arial" w:hAnsi="Arial" w:cs="Arial"/>
          <w:sz w:val="24"/>
          <w:szCs w:val="24"/>
        </w:rPr>
        <w:tab/>
      </w:r>
      <w:r w:rsidRPr="009A4FA8">
        <w:rPr>
          <w:rFonts w:ascii="Arial" w:hAnsi="Arial" w:cs="Arial"/>
          <w:sz w:val="24"/>
          <w:szCs w:val="24"/>
        </w:rPr>
        <w:tab/>
      </w:r>
      <w:r w:rsidRPr="009A4FA8">
        <w:rPr>
          <w:rFonts w:ascii="Arial" w:hAnsi="Arial" w:cs="Arial"/>
          <w:sz w:val="24"/>
          <w:szCs w:val="24"/>
        </w:rPr>
        <w:tab/>
      </w:r>
      <w:r w:rsidRPr="009A4FA8">
        <w:rPr>
          <w:rFonts w:ascii="Arial" w:hAnsi="Arial" w:cs="Arial"/>
          <w:sz w:val="24"/>
          <w:szCs w:val="24"/>
        </w:rPr>
        <w:tab/>
        <w:t xml:space="preserve">  </w:t>
      </w:r>
      <w:r w:rsidRPr="009A4FA8">
        <w:rPr>
          <w:rFonts w:ascii="Arial" w:hAnsi="Arial" w:cs="Arial"/>
          <w:sz w:val="24"/>
          <w:szCs w:val="24"/>
        </w:rPr>
        <w:tab/>
        <w:t xml:space="preserve">  50 000,-</w:t>
      </w:r>
      <w:r w:rsidRPr="009A4FA8">
        <w:rPr>
          <w:rFonts w:ascii="Arial" w:hAnsi="Arial" w:cs="Arial"/>
          <w:sz w:val="24"/>
          <w:szCs w:val="24"/>
        </w:rPr>
        <w:tab/>
        <w:t>eur</w:t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2. nerozdelený zisk</w:t>
      </w:r>
      <w:r w:rsidRPr="009A4FA8">
        <w:rPr>
          <w:rFonts w:ascii="Arial" w:hAnsi="Arial" w:cs="Arial"/>
          <w:sz w:val="24"/>
          <w:szCs w:val="24"/>
        </w:rPr>
        <w:tab/>
      </w:r>
      <w:r w:rsidRPr="009A4FA8">
        <w:rPr>
          <w:rFonts w:ascii="Arial" w:hAnsi="Arial" w:cs="Arial"/>
          <w:sz w:val="24"/>
          <w:szCs w:val="24"/>
        </w:rPr>
        <w:tab/>
      </w:r>
      <w:r w:rsidRPr="009A4FA8">
        <w:rPr>
          <w:rFonts w:ascii="Arial" w:hAnsi="Arial" w:cs="Arial"/>
          <w:sz w:val="24"/>
          <w:szCs w:val="24"/>
        </w:rPr>
        <w:tab/>
      </w:r>
      <w:r w:rsidRPr="009A4FA8">
        <w:rPr>
          <w:rFonts w:ascii="Arial" w:hAnsi="Arial" w:cs="Arial"/>
          <w:sz w:val="24"/>
          <w:szCs w:val="24"/>
        </w:rPr>
        <w:tab/>
      </w:r>
      <w:r w:rsidRPr="009A4FA8">
        <w:rPr>
          <w:rFonts w:ascii="Arial" w:hAnsi="Arial" w:cs="Arial"/>
          <w:sz w:val="24"/>
          <w:szCs w:val="24"/>
        </w:rPr>
        <w:tab/>
        <w:t xml:space="preserve">        </w:t>
      </w:r>
      <w:r w:rsidRPr="009A4FA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24C8B">
        <w:rPr>
          <w:rFonts w:ascii="Arial" w:hAnsi="Arial" w:cs="Arial"/>
          <w:sz w:val="24"/>
          <w:szCs w:val="24"/>
        </w:rPr>
        <w:t>725 663,07</w:t>
      </w:r>
      <w:r w:rsidRPr="009A4FA8">
        <w:rPr>
          <w:rFonts w:ascii="Arial" w:hAnsi="Arial" w:cs="Arial"/>
          <w:sz w:val="24"/>
          <w:szCs w:val="24"/>
        </w:rPr>
        <w:tab/>
        <w:t>eur</w:t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Pr="004D5EBF" w:rsidRDefault="005568B1" w:rsidP="006C72AC">
      <w:pPr>
        <w:spacing w:line="276" w:lineRule="auto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 w:rsidRPr="004D5EBF">
        <w:rPr>
          <w:rFonts w:ascii="Arial" w:hAnsi="Arial" w:cs="Arial"/>
          <w:smallCaps/>
          <w:color w:val="538135" w:themeColor="accent6" w:themeShade="BF"/>
          <w:sz w:val="36"/>
          <w:szCs w:val="36"/>
        </w:rPr>
        <w:t>výnosy</w:t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Za obdobie od 01.01.201</w:t>
      </w:r>
      <w:r w:rsidR="00DB5A23">
        <w:rPr>
          <w:rFonts w:ascii="Arial" w:hAnsi="Arial" w:cs="Arial"/>
          <w:sz w:val="24"/>
          <w:szCs w:val="24"/>
        </w:rPr>
        <w:t>7</w:t>
      </w:r>
      <w:r w:rsidRPr="009A4FA8">
        <w:rPr>
          <w:rFonts w:ascii="Arial" w:hAnsi="Arial" w:cs="Arial"/>
          <w:sz w:val="24"/>
          <w:szCs w:val="24"/>
        </w:rPr>
        <w:t xml:space="preserve"> do 31.12.201</w:t>
      </w:r>
      <w:r w:rsidR="00DB5A23">
        <w:rPr>
          <w:rFonts w:ascii="Arial" w:hAnsi="Arial" w:cs="Arial"/>
          <w:sz w:val="24"/>
          <w:szCs w:val="24"/>
        </w:rPr>
        <w:t>7</w:t>
      </w:r>
      <w:r w:rsidRPr="009A4FA8">
        <w:rPr>
          <w:rFonts w:ascii="Arial" w:hAnsi="Arial" w:cs="Arial"/>
          <w:sz w:val="24"/>
          <w:szCs w:val="24"/>
        </w:rPr>
        <w:t xml:space="preserve"> dosiahla akciová spoločnosť výnosy vo výške </w:t>
      </w:r>
      <w:r w:rsidR="00DB5A23">
        <w:rPr>
          <w:rFonts w:ascii="Arial" w:hAnsi="Arial" w:cs="Arial"/>
          <w:sz w:val="24"/>
          <w:szCs w:val="24"/>
        </w:rPr>
        <w:t>17 847,2</w:t>
      </w:r>
      <w:r w:rsidRPr="009A4FA8">
        <w:rPr>
          <w:rFonts w:ascii="Arial" w:hAnsi="Arial" w:cs="Arial"/>
          <w:sz w:val="24"/>
          <w:szCs w:val="24"/>
        </w:rPr>
        <w:t xml:space="preserve"> tis. EUR, čo je o</w:t>
      </w:r>
      <w:r w:rsidR="00DB5A23">
        <w:rPr>
          <w:rFonts w:ascii="Arial" w:hAnsi="Arial" w:cs="Arial"/>
          <w:sz w:val="24"/>
          <w:szCs w:val="24"/>
        </w:rPr>
        <w:t> 130,3</w:t>
      </w:r>
      <w:r w:rsidRPr="009A4FA8">
        <w:rPr>
          <w:rFonts w:ascii="Arial" w:hAnsi="Arial" w:cs="Arial"/>
          <w:sz w:val="24"/>
          <w:szCs w:val="24"/>
        </w:rPr>
        <w:t xml:space="preserve"> tis. EUR, t.j. o</w:t>
      </w:r>
      <w:r w:rsidR="00DB5A23">
        <w:rPr>
          <w:rFonts w:ascii="Arial" w:hAnsi="Arial" w:cs="Arial"/>
          <w:sz w:val="24"/>
          <w:szCs w:val="24"/>
        </w:rPr>
        <w:t> 0,7</w:t>
      </w:r>
      <w:r w:rsidRPr="009A4FA8">
        <w:rPr>
          <w:rFonts w:ascii="Arial" w:hAnsi="Arial" w:cs="Arial"/>
          <w:sz w:val="24"/>
          <w:szCs w:val="24"/>
        </w:rPr>
        <w:t xml:space="preserve"> % </w:t>
      </w:r>
      <w:r w:rsidR="00DB5A23">
        <w:rPr>
          <w:rFonts w:ascii="Arial" w:hAnsi="Arial" w:cs="Arial"/>
          <w:sz w:val="24"/>
          <w:szCs w:val="24"/>
        </w:rPr>
        <w:t>menej</w:t>
      </w:r>
      <w:r w:rsidRPr="009A4FA8">
        <w:rPr>
          <w:rFonts w:ascii="Arial" w:hAnsi="Arial" w:cs="Arial"/>
          <w:sz w:val="24"/>
          <w:szCs w:val="24"/>
        </w:rPr>
        <w:t xml:space="preserve"> ako v roku 201</w:t>
      </w:r>
      <w:r w:rsidR="00DB5A23">
        <w:rPr>
          <w:rFonts w:ascii="Arial" w:hAnsi="Arial" w:cs="Arial"/>
          <w:sz w:val="24"/>
          <w:szCs w:val="24"/>
        </w:rPr>
        <w:t>6</w:t>
      </w:r>
      <w:r w:rsidRPr="009A4FA8">
        <w:rPr>
          <w:rFonts w:ascii="Arial" w:hAnsi="Arial" w:cs="Arial"/>
          <w:sz w:val="24"/>
          <w:szCs w:val="24"/>
        </w:rPr>
        <w:t xml:space="preserve">.  </w:t>
      </w:r>
    </w:p>
    <w:p w:rsidR="005568B1" w:rsidRPr="008C5621" w:rsidRDefault="005568B1" w:rsidP="006C72AC">
      <w:pPr>
        <w:spacing w:line="276" w:lineRule="auto"/>
        <w:jc w:val="both"/>
        <w:rPr>
          <w:rFonts w:ascii="Myriad Pro" w:hAnsi="Myriad Pro" w:cs="Arial"/>
          <w:b/>
          <w:smallCaps/>
          <w:color w:val="385623" w:themeColor="accent6" w:themeShade="80"/>
          <w:sz w:val="32"/>
          <w:szCs w:val="32"/>
        </w:rPr>
      </w:pPr>
      <w:r>
        <w:rPr>
          <w:noProof/>
          <w:lang w:eastAsia="sk-SK"/>
        </w:rPr>
        <w:tab/>
      </w:r>
      <w:r w:rsidR="00DB5A23">
        <w:rPr>
          <w:noProof/>
          <w:lang w:eastAsia="sk-SK"/>
        </w:rPr>
        <w:drawing>
          <wp:inline distT="0" distB="0" distL="0" distR="0">
            <wp:extent cx="5864860" cy="2733675"/>
            <wp:effectExtent l="0" t="0" r="2540" b="9525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4860" cy="2733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D3BB7" w:rsidRDefault="006A0EE8" w:rsidP="006C72AC">
      <w:pPr>
        <w:spacing w:line="276" w:lineRule="auto"/>
        <w:ind w:right="423"/>
        <w:jc w:val="both"/>
        <w:rPr>
          <w:rFonts w:ascii="MyriadPro-Regular" w:hAnsi="MyriadPro-Regular" w:cs="MyriadPro-Regular"/>
        </w:rPr>
      </w:pPr>
      <w:r w:rsidRPr="006A0EE8">
        <w:rPr>
          <w:noProof/>
          <w:lang w:eastAsia="sk-SK"/>
        </w:rPr>
        <w:lastRenderedPageBreak/>
        <w:drawing>
          <wp:inline distT="0" distB="0" distL="0" distR="0">
            <wp:extent cx="5759450" cy="1260455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260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50AA" w:rsidRDefault="001050AA" w:rsidP="001050AA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94,15</w:t>
      </w:r>
      <w:r w:rsidRPr="009A4FA8">
        <w:rPr>
          <w:rFonts w:ascii="Arial" w:hAnsi="Arial" w:cs="Arial"/>
          <w:sz w:val="24"/>
          <w:szCs w:val="24"/>
        </w:rPr>
        <w:t xml:space="preserve"> % z výnosov </w:t>
      </w:r>
      <w:r w:rsidR="00561532">
        <w:rPr>
          <w:rFonts w:ascii="Arial" w:hAnsi="Arial" w:cs="Arial"/>
          <w:sz w:val="24"/>
          <w:szCs w:val="24"/>
        </w:rPr>
        <w:t xml:space="preserve">z hospodárskej činnosti </w:t>
      </w:r>
      <w:r w:rsidRPr="009A4FA8">
        <w:rPr>
          <w:rFonts w:ascii="Arial" w:hAnsi="Arial" w:cs="Arial"/>
          <w:sz w:val="24"/>
          <w:szCs w:val="24"/>
        </w:rPr>
        <w:t>predstavujú tržby z predaja služieb. Za rok 201</w:t>
      </w:r>
      <w:r>
        <w:rPr>
          <w:rFonts w:ascii="Arial" w:hAnsi="Arial" w:cs="Arial"/>
          <w:sz w:val="24"/>
          <w:szCs w:val="24"/>
        </w:rPr>
        <w:t>7</w:t>
      </w:r>
      <w:r w:rsidRPr="009A4FA8">
        <w:rPr>
          <w:rFonts w:ascii="Arial" w:hAnsi="Arial" w:cs="Arial"/>
          <w:sz w:val="24"/>
          <w:szCs w:val="24"/>
        </w:rPr>
        <w:t xml:space="preserve"> tieto výnosy dosiahli hodnotu </w:t>
      </w:r>
      <w:r>
        <w:rPr>
          <w:rFonts w:ascii="Arial" w:hAnsi="Arial" w:cs="Arial"/>
          <w:sz w:val="24"/>
          <w:szCs w:val="24"/>
        </w:rPr>
        <w:t>16 803,9</w:t>
      </w:r>
      <w:r w:rsidRPr="009A4FA8">
        <w:rPr>
          <w:rFonts w:ascii="Arial" w:hAnsi="Arial" w:cs="Arial"/>
          <w:sz w:val="24"/>
          <w:szCs w:val="24"/>
        </w:rPr>
        <w:t xml:space="preserve"> tis. EUR, teda o</w:t>
      </w:r>
      <w:r>
        <w:rPr>
          <w:rFonts w:ascii="Arial" w:hAnsi="Arial" w:cs="Arial"/>
          <w:sz w:val="24"/>
          <w:szCs w:val="24"/>
        </w:rPr>
        <w:t> 332,1</w:t>
      </w:r>
      <w:r w:rsidRPr="009A4FA8">
        <w:rPr>
          <w:rFonts w:ascii="Arial" w:hAnsi="Arial" w:cs="Arial"/>
          <w:sz w:val="24"/>
          <w:szCs w:val="24"/>
        </w:rPr>
        <w:t xml:space="preserve"> tis. EUR </w:t>
      </w:r>
      <w:r>
        <w:rPr>
          <w:rFonts w:ascii="Arial" w:hAnsi="Arial" w:cs="Arial"/>
          <w:sz w:val="24"/>
          <w:szCs w:val="24"/>
        </w:rPr>
        <w:t>nižšiu</w:t>
      </w:r>
      <w:r w:rsidRPr="009A4FA8">
        <w:rPr>
          <w:rFonts w:ascii="Arial" w:hAnsi="Arial" w:cs="Arial"/>
          <w:sz w:val="24"/>
          <w:szCs w:val="24"/>
        </w:rPr>
        <w:t xml:space="preserve"> ako v predchádzajúcom roku</w:t>
      </w:r>
      <w:r w:rsidR="00194520">
        <w:rPr>
          <w:rFonts w:ascii="Arial" w:hAnsi="Arial" w:cs="Arial"/>
          <w:sz w:val="24"/>
          <w:szCs w:val="24"/>
        </w:rPr>
        <w:t xml:space="preserve"> v dôsledku poklesu tržieb z tepla</w:t>
      </w:r>
      <w:r w:rsidRPr="009A4FA8">
        <w:rPr>
          <w:rFonts w:ascii="Arial" w:hAnsi="Arial" w:cs="Arial"/>
          <w:sz w:val="24"/>
          <w:szCs w:val="24"/>
        </w:rPr>
        <w:t xml:space="preserve">. 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Aktivácia a zmena stavu nedokončenej výroby</w:t>
      </w:r>
      <w:r w:rsidR="00561532">
        <w:rPr>
          <w:rFonts w:ascii="Arial" w:hAnsi="Arial" w:cs="Arial"/>
          <w:sz w:val="24"/>
          <w:szCs w:val="24"/>
        </w:rPr>
        <w:t xml:space="preserve"> sa na výnosoch podieľala </w:t>
      </w:r>
      <w:r w:rsidR="00CF5165">
        <w:rPr>
          <w:rFonts w:ascii="Arial" w:hAnsi="Arial" w:cs="Arial"/>
          <w:sz w:val="24"/>
          <w:szCs w:val="24"/>
        </w:rPr>
        <w:t>4,3</w:t>
      </w:r>
      <w:r w:rsidR="00142378">
        <w:rPr>
          <w:rFonts w:ascii="Arial" w:hAnsi="Arial" w:cs="Arial"/>
          <w:sz w:val="24"/>
          <w:szCs w:val="24"/>
        </w:rPr>
        <w:t>9</w:t>
      </w:r>
      <w:bookmarkStart w:id="0" w:name="_GoBack"/>
      <w:bookmarkEnd w:id="0"/>
      <w:r w:rsidR="00CF5165">
        <w:rPr>
          <w:rFonts w:ascii="Arial" w:hAnsi="Arial" w:cs="Arial"/>
          <w:sz w:val="24"/>
          <w:szCs w:val="24"/>
        </w:rPr>
        <w:t xml:space="preserve"> </w:t>
      </w:r>
      <w:r w:rsidR="00561532">
        <w:rPr>
          <w:rFonts w:ascii="Arial" w:hAnsi="Arial" w:cs="Arial"/>
          <w:sz w:val="24"/>
          <w:szCs w:val="24"/>
        </w:rPr>
        <w:t>% a</w:t>
      </w:r>
      <w:r w:rsidRPr="009A4FA8">
        <w:rPr>
          <w:rFonts w:ascii="Arial" w:hAnsi="Arial" w:cs="Arial"/>
          <w:sz w:val="24"/>
          <w:szCs w:val="24"/>
        </w:rPr>
        <w:t xml:space="preserve"> zvýšila celkové výnosy o</w:t>
      </w:r>
      <w:r w:rsidR="00561532">
        <w:rPr>
          <w:rFonts w:ascii="Arial" w:hAnsi="Arial" w:cs="Arial"/>
          <w:sz w:val="24"/>
          <w:szCs w:val="24"/>
        </w:rPr>
        <w:t> 783,9</w:t>
      </w:r>
      <w:r w:rsidRPr="009A4FA8">
        <w:rPr>
          <w:rFonts w:ascii="Arial" w:hAnsi="Arial" w:cs="Arial"/>
          <w:sz w:val="24"/>
          <w:szCs w:val="24"/>
        </w:rPr>
        <w:t xml:space="preserve"> tis. EUR, čo je oproti predchádzajúcemu roku nárast o</w:t>
      </w:r>
      <w:r w:rsidR="00561532">
        <w:rPr>
          <w:rFonts w:ascii="Arial" w:hAnsi="Arial" w:cs="Arial"/>
          <w:sz w:val="24"/>
          <w:szCs w:val="24"/>
        </w:rPr>
        <w:t> 166,2</w:t>
      </w:r>
      <w:r w:rsidRPr="009A4FA8">
        <w:rPr>
          <w:rFonts w:ascii="Arial" w:hAnsi="Arial" w:cs="Arial"/>
          <w:sz w:val="24"/>
          <w:szCs w:val="24"/>
        </w:rPr>
        <w:t xml:space="preserve"> tis. EUR.</w:t>
      </w:r>
      <w:r w:rsidR="00561532">
        <w:rPr>
          <w:rFonts w:ascii="Arial" w:hAnsi="Arial" w:cs="Arial"/>
          <w:sz w:val="24"/>
          <w:szCs w:val="24"/>
        </w:rPr>
        <w:t xml:space="preserve"> Tržby z predaja majetku a materiálu dosiahli v roku 2017 výšku 80,1 tis. EUR a predstavujú 0,45 % výnosov</w:t>
      </w:r>
      <w:r w:rsidR="00531A5F">
        <w:rPr>
          <w:rFonts w:ascii="Arial" w:hAnsi="Arial" w:cs="Arial"/>
          <w:sz w:val="24"/>
          <w:szCs w:val="24"/>
        </w:rPr>
        <w:t>, medziročne vzrástli o 15,8 tis. EUR</w:t>
      </w:r>
      <w:r w:rsidRPr="009A4FA8">
        <w:rPr>
          <w:rFonts w:ascii="Arial" w:hAnsi="Arial" w:cs="Arial"/>
          <w:sz w:val="24"/>
          <w:szCs w:val="24"/>
        </w:rPr>
        <w:t xml:space="preserve">. </w:t>
      </w:r>
    </w:p>
    <w:p w:rsidR="00561532" w:rsidRPr="008C5621" w:rsidRDefault="00561532" w:rsidP="006C72AC">
      <w:pPr>
        <w:spacing w:line="276" w:lineRule="auto"/>
        <w:jc w:val="both"/>
        <w:rPr>
          <w:rFonts w:ascii="Myriad Pro" w:hAnsi="Myriad Pro" w:cs="Arial"/>
          <w:sz w:val="24"/>
          <w:szCs w:val="24"/>
        </w:rPr>
      </w:pPr>
    </w:p>
    <w:p w:rsidR="005568B1" w:rsidRPr="004D5EBF" w:rsidRDefault="005568B1" w:rsidP="006C72AC">
      <w:pPr>
        <w:spacing w:line="276" w:lineRule="auto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 w:rsidRPr="004D5EBF">
        <w:rPr>
          <w:rFonts w:ascii="Arial" w:hAnsi="Arial" w:cs="Arial"/>
          <w:smallCaps/>
          <w:color w:val="538135" w:themeColor="accent6" w:themeShade="BF"/>
          <w:sz w:val="36"/>
          <w:szCs w:val="36"/>
        </w:rPr>
        <w:t>pridaná hodnota a produktivita práce</w:t>
      </w:r>
    </w:p>
    <w:p w:rsidR="005568B1" w:rsidRDefault="00197F17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Napriek tomu, že čistý obrat vplyvom poklesu tržieb z tepla medziročne poklesol o 319,4 tis. EUR, t.j. o 1,85 %, </w:t>
      </w:r>
      <w:r w:rsidRPr="009A4FA8">
        <w:rPr>
          <w:rFonts w:ascii="Arial" w:hAnsi="Arial" w:cs="Arial"/>
          <w:sz w:val="24"/>
          <w:szCs w:val="24"/>
        </w:rPr>
        <w:t>bola</w:t>
      </w:r>
      <w:r>
        <w:rPr>
          <w:rFonts w:ascii="Arial" w:hAnsi="Arial" w:cs="Arial"/>
          <w:sz w:val="24"/>
          <w:szCs w:val="24"/>
        </w:rPr>
        <w:t xml:space="preserve"> z</w:t>
      </w:r>
      <w:r w:rsidR="005568B1" w:rsidRPr="009A4FA8">
        <w:rPr>
          <w:rFonts w:ascii="Arial" w:hAnsi="Arial" w:cs="Arial"/>
          <w:sz w:val="24"/>
          <w:szCs w:val="24"/>
        </w:rPr>
        <w:t>a rok 201</w:t>
      </w:r>
      <w:r w:rsidR="00531A5F">
        <w:rPr>
          <w:rFonts w:ascii="Arial" w:hAnsi="Arial" w:cs="Arial"/>
          <w:sz w:val="24"/>
          <w:szCs w:val="24"/>
        </w:rPr>
        <w:t>7</w:t>
      </w:r>
      <w:r w:rsidR="005568B1" w:rsidRPr="009A4FA8">
        <w:rPr>
          <w:rFonts w:ascii="Arial" w:hAnsi="Arial" w:cs="Arial"/>
          <w:sz w:val="24"/>
          <w:szCs w:val="24"/>
        </w:rPr>
        <w:t xml:space="preserve"> dosiahnutá pridaná hodnota vo výške </w:t>
      </w:r>
      <w:r w:rsidR="00531A5F">
        <w:rPr>
          <w:rFonts w:ascii="Arial" w:hAnsi="Arial" w:cs="Arial"/>
          <w:sz w:val="24"/>
          <w:szCs w:val="24"/>
        </w:rPr>
        <w:t>4 616,2</w:t>
      </w:r>
      <w:r w:rsidR="005568B1" w:rsidRPr="009A4FA8">
        <w:rPr>
          <w:rFonts w:ascii="Arial" w:hAnsi="Arial" w:cs="Arial"/>
          <w:sz w:val="24"/>
          <w:szCs w:val="24"/>
        </w:rPr>
        <w:t xml:space="preserve"> tis. EUR, čo je o</w:t>
      </w:r>
      <w:r>
        <w:rPr>
          <w:rFonts w:ascii="Arial" w:hAnsi="Arial" w:cs="Arial"/>
          <w:sz w:val="24"/>
          <w:szCs w:val="24"/>
        </w:rPr>
        <w:t> 159,3</w:t>
      </w:r>
      <w:r w:rsidR="005568B1" w:rsidRPr="009A4FA8">
        <w:rPr>
          <w:rFonts w:ascii="Arial" w:hAnsi="Arial" w:cs="Arial"/>
          <w:sz w:val="24"/>
          <w:szCs w:val="24"/>
        </w:rPr>
        <w:t xml:space="preserve"> tis. EUR viac ako v roku 201</w:t>
      </w:r>
      <w:r>
        <w:rPr>
          <w:rFonts w:ascii="Arial" w:hAnsi="Arial" w:cs="Arial"/>
          <w:sz w:val="24"/>
          <w:szCs w:val="24"/>
        </w:rPr>
        <w:t>6</w:t>
      </w:r>
      <w:r w:rsidR="005568B1" w:rsidRPr="009A4FA8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Čistá pridaná hodnota (bez osobných nákladov a daní a poplatkov) sa zároveň medziročne zvýšila o 178,3 tis. EUR, t.j. o 13,9 %.</w:t>
      </w:r>
    </w:p>
    <w:p w:rsidR="00531A5F" w:rsidRPr="009A4FA8" w:rsidRDefault="00531A5F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Pr="008C5621" w:rsidRDefault="00531A5F" w:rsidP="006C72AC">
      <w:pPr>
        <w:spacing w:line="276" w:lineRule="auto"/>
        <w:jc w:val="both"/>
        <w:rPr>
          <w:rFonts w:ascii="Myriad Pro" w:hAnsi="Myriad Pro" w:cs="Arial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>
            <wp:extent cx="5286375" cy="3238500"/>
            <wp:effectExtent l="0" t="0" r="0" b="0"/>
            <wp:docPr id="26" name="Graf 2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  <w:r w:rsidR="005568B1">
        <w:rPr>
          <w:rFonts w:ascii="Myriad Pro" w:hAnsi="Myriad Pro" w:cs="Arial"/>
          <w:sz w:val="24"/>
          <w:szCs w:val="24"/>
        </w:rPr>
        <w:tab/>
      </w:r>
    </w:p>
    <w:p w:rsidR="005568B1" w:rsidRPr="008C5621" w:rsidRDefault="005568B1" w:rsidP="006C72AC">
      <w:pPr>
        <w:spacing w:line="276" w:lineRule="auto"/>
        <w:rPr>
          <w:rFonts w:ascii="Myriad Pro" w:hAnsi="Myriad Pro" w:cs="Tahoma"/>
          <w:sz w:val="24"/>
          <w:szCs w:val="24"/>
        </w:rPr>
      </w:pPr>
    </w:p>
    <w:p w:rsidR="00197F17" w:rsidRDefault="00197F17" w:rsidP="006C72AC">
      <w:pPr>
        <w:spacing w:line="276" w:lineRule="auto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>
        <w:rPr>
          <w:rFonts w:ascii="Arial" w:hAnsi="Arial" w:cs="Arial"/>
          <w:smallCaps/>
          <w:noProof/>
          <w:color w:val="538135" w:themeColor="accent6" w:themeShade="BF"/>
          <w:sz w:val="36"/>
          <w:szCs w:val="36"/>
          <w:lang w:eastAsia="sk-SK"/>
        </w:rPr>
        <w:lastRenderedPageBreak/>
        <w:drawing>
          <wp:inline distT="0" distB="0" distL="0" distR="0">
            <wp:extent cx="5730875" cy="2651760"/>
            <wp:effectExtent l="0" t="0" r="0" b="0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2651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24603" w:rsidRDefault="002960B1" w:rsidP="002960B1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Pr="009A4FA8">
        <w:rPr>
          <w:rFonts w:ascii="Arial" w:hAnsi="Arial" w:cs="Arial"/>
          <w:sz w:val="24"/>
          <w:szCs w:val="24"/>
        </w:rPr>
        <w:t xml:space="preserve">ridaná hodnota </w:t>
      </w:r>
      <w:r>
        <w:rPr>
          <w:rFonts w:ascii="Arial" w:hAnsi="Arial" w:cs="Arial"/>
          <w:sz w:val="24"/>
          <w:szCs w:val="24"/>
        </w:rPr>
        <w:t>na zamestnanca vplyvom rastu pridanej hodnoty ako aj poklesu zamestnancov medziročne vzrástla o 2,8 tis. EUR, obrat na zamestnanca napriek poklesu celkového obratu v dôsledku poklesu počtu zamestnancov o 13 medziročne vzrástol o 6,4 tis. EUR.</w:t>
      </w:r>
    </w:p>
    <w:p w:rsidR="00224603" w:rsidRPr="00224603" w:rsidRDefault="00224603" w:rsidP="002960B1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Pr="004D5EBF" w:rsidRDefault="005568B1" w:rsidP="006C72AC">
      <w:pPr>
        <w:spacing w:line="276" w:lineRule="auto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 w:rsidRPr="004D5EBF">
        <w:rPr>
          <w:rFonts w:ascii="Arial" w:hAnsi="Arial" w:cs="Arial"/>
          <w:smallCaps/>
          <w:color w:val="538135" w:themeColor="accent6" w:themeShade="BF"/>
          <w:sz w:val="36"/>
          <w:szCs w:val="36"/>
        </w:rPr>
        <w:t>náklady</w:t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Za obdobie roka 201</w:t>
      </w:r>
      <w:r w:rsidR="00183224">
        <w:rPr>
          <w:rFonts w:ascii="Arial" w:hAnsi="Arial" w:cs="Arial"/>
          <w:sz w:val="24"/>
          <w:szCs w:val="24"/>
        </w:rPr>
        <w:t>7</w:t>
      </w:r>
      <w:r w:rsidRPr="009A4FA8">
        <w:rPr>
          <w:rFonts w:ascii="Arial" w:hAnsi="Arial" w:cs="Arial"/>
          <w:sz w:val="24"/>
          <w:szCs w:val="24"/>
        </w:rPr>
        <w:t xml:space="preserve"> boli čerpané náklady v celkovej výške </w:t>
      </w:r>
      <w:r w:rsidR="00183224">
        <w:rPr>
          <w:rFonts w:ascii="Arial" w:hAnsi="Arial" w:cs="Arial"/>
          <w:sz w:val="24"/>
          <w:szCs w:val="24"/>
        </w:rPr>
        <w:t>17 071,5</w:t>
      </w:r>
      <w:r w:rsidRPr="009A4FA8">
        <w:rPr>
          <w:rFonts w:ascii="Arial" w:hAnsi="Arial" w:cs="Arial"/>
          <w:sz w:val="24"/>
          <w:szCs w:val="24"/>
        </w:rPr>
        <w:t xml:space="preserve"> tis. EUR, teda o</w:t>
      </w:r>
      <w:r w:rsidR="00183224">
        <w:rPr>
          <w:rFonts w:ascii="Arial" w:hAnsi="Arial" w:cs="Arial"/>
          <w:sz w:val="24"/>
          <w:szCs w:val="24"/>
        </w:rPr>
        <w:t> 248,2</w:t>
      </w:r>
      <w:r w:rsidRPr="009A4FA8">
        <w:rPr>
          <w:rFonts w:ascii="Arial" w:hAnsi="Arial" w:cs="Arial"/>
          <w:sz w:val="24"/>
          <w:szCs w:val="24"/>
        </w:rPr>
        <w:t xml:space="preserve"> tis. EUR </w:t>
      </w:r>
      <w:r w:rsidR="00183224">
        <w:rPr>
          <w:rFonts w:ascii="Arial" w:hAnsi="Arial" w:cs="Arial"/>
          <w:sz w:val="24"/>
          <w:szCs w:val="24"/>
        </w:rPr>
        <w:t>nižšej</w:t>
      </w:r>
      <w:r w:rsidRPr="009A4FA8">
        <w:rPr>
          <w:rFonts w:ascii="Arial" w:hAnsi="Arial" w:cs="Arial"/>
          <w:sz w:val="24"/>
          <w:szCs w:val="24"/>
        </w:rPr>
        <w:t xml:space="preserve"> ako v roku 201</w:t>
      </w:r>
      <w:r w:rsidR="00183224">
        <w:rPr>
          <w:rFonts w:ascii="Arial" w:hAnsi="Arial" w:cs="Arial"/>
          <w:sz w:val="24"/>
          <w:szCs w:val="24"/>
        </w:rPr>
        <w:t>6</w:t>
      </w:r>
      <w:r w:rsidRPr="009A4FA8">
        <w:rPr>
          <w:rFonts w:ascii="Arial" w:hAnsi="Arial" w:cs="Arial"/>
          <w:sz w:val="24"/>
          <w:szCs w:val="24"/>
        </w:rPr>
        <w:t xml:space="preserve">, čo predstavuje medziročný </w:t>
      </w:r>
      <w:r w:rsidR="00183224">
        <w:rPr>
          <w:rFonts w:ascii="Arial" w:hAnsi="Arial" w:cs="Arial"/>
          <w:sz w:val="24"/>
          <w:szCs w:val="24"/>
        </w:rPr>
        <w:t>pokles</w:t>
      </w:r>
      <w:r w:rsidRPr="009A4FA8">
        <w:rPr>
          <w:rFonts w:ascii="Arial" w:hAnsi="Arial" w:cs="Arial"/>
          <w:sz w:val="24"/>
          <w:szCs w:val="24"/>
        </w:rPr>
        <w:t xml:space="preserve"> o</w:t>
      </w:r>
      <w:r w:rsidR="00183224">
        <w:rPr>
          <w:rFonts w:ascii="Arial" w:hAnsi="Arial" w:cs="Arial"/>
          <w:sz w:val="24"/>
          <w:szCs w:val="24"/>
        </w:rPr>
        <w:t xml:space="preserve"> 1,43 </w:t>
      </w:r>
      <w:r w:rsidRPr="009A4FA8">
        <w:rPr>
          <w:rFonts w:ascii="Arial" w:hAnsi="Arial" w:cs="Arial"/>
          <w:sz w:val="24"/>
          <w:szCs w:val="24"/>
        </w:rPr>
        <w:t xml:space="preserve">%. </w:t>
      </w:r>
    </w:p>
    <w:p w:rsidR="005568B1" w:rsidRPr="008C5621" w:rsidRDefault="006A0EE8" w:rsidP="006C72AC">
      <w:pPr>
        <w:spacing w:line="276" w:lineRule="auto"/>
        <w:jc w:val="both"/>
        <w:rPr>
          <w:rFonts w:ascii="Myriad Pro" w:hAnsi="Myriad Pro" w:cs="Arial"/>
          <w:sz w:val="24"/>
          <w:szCs w:val="24"/>
        </w:rPr>
      </w:pPr>
      <w:r w:rsidRPr="006A0EE8">
        <w:rPr>
          <w:noProof/>
          <w:lang w:eastAsia="sk-SK"/>
        </w:rPr>
        <w:drawing>
          <wp:inline distT="0" distB="0" distL="0" distR="0">
            <wp:extent cx="5759450" cy="172967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729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Najväčšou položkou v čerpaných nákladoch</w:t>
      </w:r>
      <w:r w:rsidR="00183224">
        <w:rPr>
          <w:rFonts w:ascii="Arial" w:hAnsi="Arial" w:cs="Arial"/>
          <w:sz w:val="24"/>
          <w:szCs w:val="24"/>
        </w:rPr>
        <w:t xml:space="preserve"> na hosp. činnosť</w:t>
      </w:r>
      <w:r w:rsidRPr="009A4FA8">
        <w:rPr>
          <w:rFonts w:ascii="Arial" w:hAnsi="Arial" w:cs="Arial"/>
          <w:sz w:val="24"/>
          <w:szCs w:val="24"/>
        </w:rPr>
        <w:t xml:space="preserve"> boli náklady na spotrebovaný materiál a energie vo výške 11</w:t>
      </w:r>
      <w:r w:rsidR="00BC7833">
        <w:rPr>
          <w:rFonts w:ascii="Arial" w:hAnsi="Arial" w:cs="Arial"/>
          <w:sz w:val="24"/>
          <w:szCs w:val="24"/>
        </w:rPr>
        <w:t> 646,6</w:t>
      </w:r>
      <w:r w:rsidRPr="009A4FA8">
        <w:rPr>
          <w:rFonts w:ascii="Arial" w:hAnsi="Arial" w:cs="Arial"/>
          <w:sz w:val="24"/>
          <w:szCs w:val="24"/>
        </w:rPr>
        <w:t xml:space="preserve"> tis. EUR , ktoré tvorili </w:t>
      </w:r>
      <w:r w:rsidR="00BC7833">
        <w:rPr>
          <w:rFonts w:ascii="Arial" w:hAnsi="Arial" w:cs="Arial"/>
          <w:sz w:val="24"/>
          <w:szCs w:val="24"/>
        </w:rPr>
        <w:t>69,1</w:t>
      </w:r>
      <w:r w:rsidRPr="009A4FA8">
        <w:rPr>
          <w:rFonts w:ascii="Arial" w:hAnsi="Arial" w:cs="Arial"/>
          <w:sz w:val="24"/>
          <w:szCs w:val="24"/>
        </w:rPr>
        <w:t>% nákladov. V roku 201</w:t>
      </w:r>
      <w:r w:rsidR="00BC7833">
        <w:rPr>
          <w:rFonts w:ascii="Arial" w:hAnsi="Arial" w:cs="Arial"/>
          <w:sz w:val="24"/>
          <w:szCs w:val="24"/>
        </w:rPr>
        <w:t>7</w:t>
      </w:r>
      <w:r w:rsidRPr="009A4FA8">
        <w:rPr>
          <w:rFonts w:ascii="Arial" w:hAnsi="Arial" w:cs="Arial"/>
          <w:sz w:val="24"/>
          <w:szCs w:val="24"/>
        </w:rPr>
        <w:t xml:space="preserve"> bola spotreba materiálu a energií o</w:t>
      </w:r>
      <w:r w:rsidR="00CF5165">
        <w:rPr>
          <w:rFonts w:ascii="Arial" w:hAnsi="Arial" w:cs="Arial"/>
          <w:sz w:val="24"/>
          <w:szCs w:val="24"/>
        </w:rPr>
        <w:t> 2,2</w:t>
      </w:r>
      <w:r w:rsidR="00BC7833">
        <w:rPr>
          <w:rFonts w:ascii="Arial" w:hAnsi="Arial" w:cs="Arial"/>
          <w:sz w:val="24"/>
          <w:szCs w:val="24"/>
        </w:rPr>
        <w:t xml:space="preserve"> </w:t>
      </w:r>
      <w:r w:rsidRPr="009A4FA8">
        <w:rPr>
          <w:rFonts w:ascii="Arial" w:hAnsi="Arial" w:cs="Arial"/>
          <w:sz w:val="24"/>
          <w:szCs w:val="24"/>
        </w:rPr>
        <w:t xml:space="preserve">% , t.j. </w:t>
      </w:r>
      <w:r w:rsidR="00BC7833">
        <w:rPr>
          <w:rFonts w:ascii="Arial" w:hAnsi="Arial" w:cs="Arial"/>
          <w:sz w:val="24"/>
          <w:szCs w:val="24"/>
        </w:rPr>
        <w:t>267,1</w:t>
      </w:r>
      <w:r w:rsidRPr="009A4FA8">
        <w:rPr>
          <w:rFonts w:ascii="Arial" w:hAnsi="Arial" w:cs="Arial"/>
          <w:sz w:val="24"/>
          <w:szCs w:val="24"/>
        </w:rPr>
        <w:t xml:space="preserve"> tis. EUR </w:t>
      </w:r>
      <w:r w:rsidR="00BC7833">
        <w:rPr>
          <w:rFonts w:ascii="Arial" w:hAnsi="Arial" w:cs="Arial"/>
          <w:sz w:val="24"/>
          <w:szCs w:val="24"/>
        </w:rPr>
        <w:t>nižšia</w:t>
      </w:r>
      <w:r w:rsidRPr="009A4FA8">
        <w:rPr>
          <w:rFonts w:ascii="Arial" w:hAnsi="Arial" w:cs="Arial"/>
          <w:sz w:val="24"/>
          <w:szCs w:val="24"/>
        </w:rPr>
        <w:t xml:space="preserve"> ako v predchádzajúcom roku, a to najmä v dôsledku </w:t>
      </w:r>
      <w:r w:rsidR="00BC7833">
        <w:rPr>
          <w:rFonts w:ascii="Arial" w:hAnsi="Arial" w:cs="Arial"/>
          <w:sz w:val="24"/>
          <w:szCs w:val="24"/>
        </w:rPr>
        <w:t xml:space="preserve">nižších </w:t>
      </w:r>
      <w:r w:rsidRPr="009A4FA8">
        <w:rPr>
          <w:rFonts w:ascii="Arial" w:hAnsi="Arial" w:cs="Arial"/>
          <w:sz w:val="24"/>
          <w:szCs w:val="24"/>
        </w:rPr>
        <w:t xml:space="preserve">nákladov na nákup pary </w:t>
      </w:r>
      <w:r w:rsidR="00BC7833">
        <w:rPr>
          <w:rFonts w:ascii="Arial" w:hAnsi="Arial" w:cs="Arial"/>
          <w:sz w:val="24"/>
          <w:szCs w:val="24"/>
        </w:rPr>
        <w:t>a plynu</w:t>
      </w:r>
      <w:r w:rsidRPr="009A4FA8">
        <w:rPr>
          <w:rFonts w:ascii="Arial" w:hAnsi="Arial" w:cs="Arial"/>
          <w:sz w:val="24"/>
          <w:szCs w:val="24"/>
        </w:rPr>
        <w:t>.</w:t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Náklady na služby boli v roku 201</w:t>
      </w:r>
      <w:r w:rsidR="00BC7833">
        <w:rPr>
          <w:rFonts w:ascii="Arial" w:hAnsi="Arial" w:cs="Arial"/>
          <w:sz w:val="24"/>
          <w:szCs w:val="24"/>
        </w:rPr>
        <w:t xml:space="preserve">7 </w:t>
      </w:r>
      <w:r w:rsidRPr="009A4FA8">
        <w:rPr>
          <w:rFonts w:ascii="Arial" w:hAnsi="Arial" w:cs="Arial"/>
          <w:sz w:val="24"/>
          <w:szCs w:val="24"/>
        </w:rPr>
        <w:t>čerpané vo výške 1</w:t>
      </w:r>
      <w:r w:rsidR="00BC7833">
        <w:rPr>
          <w:rFonts w:ascii="Arial" w:hAnsi="Arial" w:cs="Arial"/>
          <w:sz w:val="24"/>
          <w:szCs w:val="24"/>
        </w:rPr>
        <w:t> 324,1</w:t>
      </w:r>
      <w:r w:rsidRPr="009A4FA8">
        <w:rPr>
          <w:rFonts w:ascii="Arial" w:hAnsi="Arial" w:cs="Arial"/>
          <w:sz w:val="24"/>
          <w:szCs w:val="24"/>
        </w:rPr>
        <w:t xml:space="preserve"> tis. EUR, čo predstavuje </w:t>
      </w:r>
      <w:r w:rsidR="00BC7833">
        <w:rPr>
          <w:rFonts w:ascii="Arial" w:hAnsi="Arial" w:cs="Arial"/>
          <w:sz w:val="24"/>
          <w:szCs w:val="24"/>
        </w:rPr>
        <w:t>pokles</w:t>
      </w:r>
      <w:r w:rsidRPr="009A4FA8">
        <w:rPr>
          <w:rFonts w:ascii="Arial" w:hAnsi="Arial" w:cs="Arial"/>
          <w:sz w:val="24"/>
          <w:szCs w:val="24"/>
        </w:rPr>
        <w:t xml:space="preserve"> o</w:t>
      </w:r>
      <w:r w:rsidR="00BC7833">
        <w:rPr>
          <w:rFonts w:ascii="Arial" w:hAnsi="Arial" w:cs="Arial"/>
          <w:sz w:val="24"/>
          <w:szCs w:val="24"/>
        </w:rPr>
        <w:t> 58,7</w:t>
      </w:r>
      <w:r w:rsidRPr="009A4FA8">
        <w:rPr>
          <w:rFonts w:ascii="Arial" w:hAnsi="Arial" w:cs="Arial"/>
          <w:sz w:val="24"/>
          <w:szCs w:val="24"/>
        </w:rPr>
        <w:t xml:space="preserve"> tis. EUR, t.j. o</w:t>
      </w:r>
      <w:r w:rsidR="00CF5165">
        <w:rPr>
          <w:rFonts w:ascii="Arial" w:hAnsi="Arial" w:cs="Arial"/>
          <w:sz w:val="24"/>
          <w:szCs w:val="24"/>
        </w:rPr>
        <w:t> 4,2</w:t>
      </w:r>
      <w:r w:rsidR="00BC7833">
        <w:rPr>
          <w:rFonts w:ascii="Arial" w:hAnsi="Arial" w:cs="Arial"/>
          <w:sz w:val="24"/>
          <w:szCs w:val="24"/>
        </w:rPr>
        <w:t xml:space="preserve"> </w:t>
      </w:r>
      <w:r w:rsidRPr="009A4FA8">
        <w:rPr>
          <w:rFonts w:ascii="Arial" w:hAnsi="Arial" w:cs="Arial"/>
          <w:sz w:val="24"/>
          <w:szCs w:val="24"/>
        </w:rPr>
        <w:t xml:space="preserve">%, spôsobený najmä </w:t>
      </w:r>
      <w:r w:rsidR="00BC7833">
        <w:rPr>
          <w:rFonts w:ascii="Arial" w:hAnsi="Arial" w:cs="Arial"/>
          <w:sz w:val="24"/>
          <w:szCs w:val="24"/>
        </w:rPr>
        <w:t>poklesom</w:t>
      </w:r>
      <w:r w:rsidRPr="009A4FA8">
        <w:rPr>
          <w:rFonts w:ascii="Arial" w:hAnsi="Arial" w:cs="Arial"/>
          <w:sz w:val="24"/>
          <w:szCs w:val="24"/>
        </w:rPr>
        <w:t xml:space="preserve"> nákladov na </w:t>
      </w:r>
      <w:r w:rsidR="00BC7833">
        <w:rPr>
          <w:rFonts w:ascii="Arial" w:hAnsi="Arial" w:cs="Arial"/>
          <w:sz w:val="24"/>
          <w:szCs w:val="24"/>
        </w:rPr>
        <w:t xml:space="preserve">dodávateľské </w:t>
      </w:r>
      <w:r w:rsidRPr="009A4FA8">
        <w:rPr>
          <w:rFonts w:ascii="Arial" w:hAnsi="Arial" w:cs="Arial"/>
          <w:sz w:val="24"/>
          <w:szCs w:val="24"/>
        </w:rPr>
        <w:t>opravy a udržiavanie.</w:t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lastRenderedPageBreak/>
        <w:t xml:space="preserve">Osobné náklady predstavujú </w:t>
      </w:r>
      <w:r w:rsidR="00BC7833">
        <w:rPr>
          <w:rFonts w:ascii="Arial" w:hAnsi="Arial" w:cs="Arial"/>
          <w:sz w:val="24"/>
          <w:szCs w:val="24"/>
        </w:rPr>
        <w:t xml:space="preserve">18,25 </w:t>
      </w:r>
      <w:r w:rsidRPr="009A4FA8">
        <w:rPr>
          <w:rFonts w:ascii="Arial" w:hAnsi="Arial" w:cs="Arial"/>
          <w:sz w:val="24"/>
          <w:szCs w:val="24"/>
        </w:rPr>
        <w:t>% nákladov</w:t>
      </w:r>
      <w:r w:rsidR="00C930DD">
        <w:rPr>
          <w:rFonts w:ascii="Arial" w:hAnsi="Arial" w:cs="Arial"/>
          <w:sz w:val="24"/>
          <w:szCs w:val="24"/>
        </w:rPr>
        <w:t xml:space="preserve"> na hosp. čin. </w:t>
      </w:r>
      <w:r w:rsidRPr="009A4FA8">
        <w:rPr>
          <w:rFonts w:ascii="Arial" w:hAnsi="Arial" w:cs="Arial"/>
          <w:sz w:val="24"/>
          <w:szCs w:val="24"/>
        </w:rPr>
        <w:t xml:space="preserve"> a za rok 201</w:t>
      </w:r>
      <w:r w:rsidR="00BC7833">
        <w:rPr>
          <w:rFonts w:ascii="Arial" w:hAnsi="Arial" w:cs="Arial"/>
          <w:sz w:val="24"/>
          <w:szCs w:val="24"/>
        </w:rPr>
        <w:t>7</w:t>
      </w:r>
      <w:r w:rsidRPr="009A4FA8">
        <w:rPr>
          <w:rFonts w:ascii="Arial" w:hAnsi="Arial" w:cs="Arial"/>
          <w:sz w:val="24"/>
          <w:szCs w:val="24"/>
        </w:rPr>
        <w:t xml:space="preserve"> dosiahli úroveň </w:t>
      </w:r>
      <w:r w:rsidR="00BC7833">
        <w:rPr>
          <w:rFonts w:ascii="Arial" w:hAnsi="Arial" w:cs="Arial"/>
          <w:sz w:val="24"/>
          <w:szCs w:val="24"/>
        </w:rPr>
        <w:t>3 076,5</w:t>
      </w:r>
      <w:r w:rsidRPr="009A4FA8">
        <w:rPr>
          <w:rFonts w:ascii="Arial" w:hAnsi="Arial" w:cs="Arial"/>
          <w:sz w:val="24"/>
          <w:szCs w:val="24"/>
        </w:rPr>
        <w:t xml:space="preserve"> tis. EUR, čo je </w:t>
      </w:r>
      <w:r w:rsidR="00BC7833">
        <w:rPr>
          <w:rFonts w:ascii="Arial" w:hAnsi="Arial" w:cs="Arial"/>
          <w:sz w:val="24"/>
          <w:szCs w:val="24"/>
        </w:rPr>
        <w:t>17,3</w:t>
      </w:r>
      <w:r w:rsidRPr="009A4FA8">
        <w:rPr>
          <w:rFonts w:ascii="Arial" w:hAnsi="Arial" w:cs="Arial"/>
          <w:sz w:val="24"/>
          <w:szCs w:val="24"/>
        </w:rPr>
        <w:t xml:space="preserve"> tis. EUR, t.j. </w:t>
      </w:r>
      <w:r w:rsidR="00BC7833">
        <w:rPr>
          <w:rFonts w:ascii="Arial" w:hAnsi="Arial" w:cs="Arial"/>
          <w:sz w:val="24"/>
          <w:szCs w:val="24"/>
        </w:rPr>
        <w:t>0,</w:t>
      </w:r>
      <w:r w:rsidR="00CF5165">
        <w:rPr>
          <w:rFonts w:ascii="Arial" w:hAnsi="Arial" w:cs="Arial"/>
          <w:sz w:val="24"/>
          <w:szCs w:val="24"/>
        </w:rPr>
        <w:t>56</w:t>
      </w:r>
      <w:r w:rsidR="00BC7833">
        <w:rPr>
          <w:rFonts w:ascii="Arial" w:hAnsi="Arial" w:cs="Arial"/>
          <w:sz w:val="24"/>
          <w:szCs w:val="24"/>
        </w:rPr>
        <w:t xml:space="preserve"> </w:t>
      </w:r>
      <w:r w:rsidRPr="009A4FA8">
        <w:rPr>
          <w:rFonts w:ascii="Arial" w:hAnsi="Arial" w:cs="Arial"/>
          <w:sz w:val="24"/>
          <w:szCs w:val="24"/>
        </w:rPr>
        <w:t xml:space="preserve">% </w:t>
      </w:r>
      <w:r w:rsidR="00BC7833">
        <w:rPr>
          <w:rFonts w:ascii="Arial" w:hAnsi="Arial" w:cs="Arial"/>
          <w:sz w:val="24"/>
          <w:szCs w:val="24"/>
        </w:rPr>
        <w:t xml:space="preserve">menej </w:t>
      </w:r>
      <w:r w:rsidRPr="009A4FA8">
        <w:rPr>
          <w:rFonts w:ascii="Arial" w:hAnsi="Arial" w:cs="Arial"/>
          <w:sz w:val="24"/>
          <w:szCs w:val="24"/>
        </w:rPr>
        <w:t>ako v predchádzajúcom účtovnom období.</w:t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Za rok 201</w:t>
      </w:r>
      <w:r w:rsidR="00BC7833">
        <w:rPr>
          <w:rFonts w:ascii="Arial" w:hAnsi="Arial" w:cs="Arial"/>
          <w:sz w:val="24"/>
          <w:szCs w:val="24"/>
        </w:rPr>
        <w:t>7</w:t>
      </w:r>
      <w:r w:rsidRPr="009A4FA8">
        <w:rPr>
          <w:rFonts w:ascii="Arial" w:hAnsi="Arial" w:cs="Arial"/>
          <w:sz w:val="24"/>
          <w:szCs w:val="24"/>
        </w:rPr>
        <w:t xml:space="preserve"> boli zúčtované odpisy majetku vo výške </w:t>
      </w:r>
      <w:r w:rsidR="00BC7833">
        <w:rPr>
          <w:rFonts w:ascii="Arial" w:hAnsi="Arial" w:cs="Arial"/>
          <w:sz w:val="24"/>
          <w:szCs w:val="24"/>
        </w:rPr>
        <w:t>661,7</w:t>
      </w:r>
      <w:r w:rsidRPr="009A4FA8">
        <w:rPr>
          <w:rFonts w:ascii="Arial" w:hAnsi="Arial" w:cs="Arial"/>
          <w:sz w:val="24"/>
          <w:szCs w:val="24"/>
        </w:rPr>
        <w:t xml:space="preserve"> tis. EUR a</w:t>
      </w:r>
      <w:r w:rsidR="00C930DD">
        <w:rPr>
          <w:rFonts w:ascii="Arial" w:hAnsi="Arial" w:cs="Arial"/>
          <w:sz w:val="24"/>
          <w:szCs w:val="24"/>
        </w:rPr>
        <w:t> zost. cena</w:t>
      </w:r>
      <w:r w:rsidRPr="009A4FA8">
        <w:rPr>
          <w:rFonts w:ascii="Arial" w:hAnsi="Arial" w:cs="Arial"/>
          <w:sz w:val="24"/>
          <w:szCs w:val="24"/>
        </w:rPr>
        <w:t xml:space="preserve"> predaného </w:t>
      </w:r>
      <w:r w:rsidR="00C930DD">
        <w:rPr>
          <w:rFonts w:ascii="Arial" w:hAnsi="Arial" w:cs="Arial"/>
          <w:sz w:val="24"/>
          <w:szCs w:val="24"/>
        </w:rPr>
        <w:t xml:space="preserve">majetku a </w:t>
      </w:r>
      <w:r w:rsidRPr="009A4FA8">
        <w:rPr>
          <w:rFonts w:ascii="Arial" w:hAnsi="Arial" w:cs="Arial"/>
          <w:sz w:val="24"/>
          <w:szCs w:val="24"/>
        </w:rPr>
        <w:t xml:space="preserve">materiálu vo výške </w:t>
      </w:r>
      <w:r w:rsidR="00BC7833">
        <w:rPr>
          <w:rFonts w:ascii="Arial" w:hAnsi="Arial" w:cs="Arial"/>
          <w:sz w:val="24"/>
          <w:szCs w:val="24"/>
        </w:rPr>
        <w:t>25,4</w:t>
      </w:r>
      <w:r w:rsidRPr="009A4FA8">
        <w:rPr>
          <w:rFonts w:ascii="Arial" w:hAnsi="Arial" w:cs="Arial"/>
          <w:sz w:val="24"/>
          <w:szCs w:val="24"/>
        </w:rPr>
        <w:t xml:space="preserve"> tis. EUR, čo predstavuje oproti minulému roku nárast o</w:t>
      </w:r>
      <w:r w:rsidR="00BC7833">
        <w:rPr>
          <w:rFonts w:ascii="Arial" w:hAnsi="Arial" w:cs="Arial"/>
          <w:sz w:val="24"/>
          <w:szCs w:val="24"/>
        </w:rPr>
        <w:t> 76,6</w:t>
      </w:r>
      <w:r w:rsidRPr="009A4FA8">
        <w:rPr>
          <w:rFonts w:ascii="Arial" w:hAnsi="Arial" w:cs="Arial"/>
          <w:sz w:val="24"/>
          <w:szCs w:val="24"/>
        </w:rPr>
        <w:t xml:space="preserve"> tis. EUR, t.j. o</w:t>
      </w:r>
      <w:r w:rsidR="00BC7833">
        <w:rPr>
          <w:rFonts w:ascii="Arial" w:hAnsi="Arial" w:cs="Arial"/>
          <w:sz w:val="24"/>
          <w:szCs w:val="24"/>
        </w:rPr>
        <w:t xml:space="preserve"> 12,55 </w:t>
      </w:r>
      <w:r w:rsidRPr="009A4FA8">
        <w:rPr>
          <w:rFonts w:ascii="Arial" w:hAnsi="Arial" w:cs="Arial"/>
          <w:sz w:val="24"/>
          <w:szCs w:val="24"/>
        </w:rPr>
        <w:t>%.</w:t>
      </w:r>
    </w:p>
    <w:p w:rsidR="005568B1" w:rsidRPr="009A4FA8" w:rsidRDefault="00C930DD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sk-SK"/>
        </w:rPr>
        <w:drawing>
          <wp:inline distT="0" distB="0" distL="0" distR="0">
            <wp:extent cx="5017135" cy="2749550"/>
            <wp:effectExtent l="0" t="0" r="0" b="0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7135" cy="2749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Náklady na daň z príjmov a odloženú daň boli v roku 201</w:t>
      </w:r>
      <w:r w:rsidR="00B657D3">
        <w:rPr>
          <w:rFonts w:ascii="Arial" w:hAnsi="Arial" w:cs="Arial"/>
          <w:sz w:val="24"/>
          <w:szCs w:val="24"/>
        </w:rPr>
        <w:t>7</w:t>
      </w:r>
      <w:r w:rsidRPr="009A4FA8">
        <w:rPr>
          <w:rFonts w:ascii="Arial" w:hAnsi="Arial" w:cs="Arial"/>
          <w:sz w:val="24"/>
          <w:szCs w:val="24"/>
        </w:rPr>
        <w:t xml:space="preserve"> zúčtované vo výške </w:t>
      </w:r>
      <w:r w:rsidR="00B657D3">
        <w:rPr>
          <w:rFonts w:ascii="Arial" w:hAnsi="Arial" w:cs="Arial"/>
          <w:sz w:val="24"/>
          <w:szCs w:val="24"/>
        </w:rPr>
        <w:t>212,9</w:t>
      </w:r>
      <w:r w:rsidRPr="009A4FA8">
        <w:rPr>
          <w:rFonts w:ascii="Arial" w:hAnsi="Arial" w:cs="Arial"/>
          <w:sz w:val="24"/>
          <w:szCs w:val="24"/>
        </w:rPr>
        <w:t xml:space="preserve"> tis. EUR a menia sa v závislosti od výšky pripočítateľných a odpočítateľných položiek k základu dane. </w:t>
      </w:r>
      <w:r w:rsidR="00B657D3">
        <w:rPr>
          <w:rFonts w:ascii="Arial" w:hAnsi="Arial" w:cs="Arial"/>
          <w:sz w:val="24"/>
          <w:szCs w:val="24"/>
        </w:rPr>
        <w:t>Napriek nižšej sadzbe dane z príjmov</w:t>
      </w:r>
      <w:r w:rsidR="00B657D3" w:rsidRPr="009A4FA8">
        <w:rPr>
          <w:rFonts w:ascii="Arial" w:hAnsi="Arial" w:cs="Arial"/>
          <w:sz w:val="24"/>
          <w:szCs w:val="24"/>
        </w:rPr>
        <w:t xml:space="preserve"> </w:t>
      </w:r>
      <w:r w:rsidR="00B657D3">
        <w:rPr>
          <w:rFonts w:ascii="Arial" w:hAnsi="Arial" w:cs="Arial"/>
          <w:sz w:val="24"/>
          <w:szCs w:val="24"/>
        </w:rPr>
        <w:t xml:space="preserve">sú </w:t>
      </w:r>
      <w:r w:rsidRPr="009A4FA8">
        <w:rPr>
          <w:rFonts w:ascii="Arial" w:hAnsi="Arial" w:cs="Arial"/>
          <w:sz w:val="24"/>
          <w:szCs w:val="24"/>
        </w:rPr>
        <w:t>náklady na daň z príjmov a odloženú daň</w:t>
      </w:r>
      <w:r w:rsidR="00B657D3">
        <w:rPr>
          <w:rFonts w:ascii="Arial" w:hAnsi="Arial" w:cs="Arial"/>
          <w:sz w:val="24"/>
          <w:szCs w:val="24"/>
        </w:rPr>
        <w:t xml:space="preserve"> </w:t>
      </w:r>
      <w:r w:rsidRPr="009A4FA8">
        <w:rPr>
          <w:rFonts w:ascii="Arial" w:hAnsi="Arial" w:cs="Arial"/>
          <w:sz w:val="24"/>
          <w:szCs w:val="24"/>
        </w:rPr>
        <w:t>vplyvom</w:t>
      </w:r>
      <w:r w:rsidR="00B657D3">
        <w:rPr>
          <w:rFonts w:ascii="Arial" w:hAnsi="Arial" w:cs="Arial"/>
          <w:sz w:val="24"/>
          <w:szCs w:val="24"/>
        </w:rPr>
        <w:t xml:space="preserve"> vyššieho základu dane </w:t>
      </w:r>
      <w:r w:rsidRPr="009A4FA8">
        <w:rPr>
          <w:rFonts w:ascii="Arial" w:hAnsi="Arial" w:cs="Arial"/>
          <w:sz w:val="24"/>
          <w:szCs w:val="24"/>
        </w:rPr>
        <w:t>medziročne vyššie o</w:t>
      </w:r>
      <w:r w:rsidR="00B657D3">
        <w:rPr>
          <w:rFonts w:ascii="Arial" w:hAnsi="Arial" w:cs="Arial"/>
          <w:sz w:val="24"/>
          <w:szCs w:val="24"/>
        </w:rPr>
        <w:t> 22,6</w:t>
      </w:r>
      <w:r w:rsidRPr="009A4FA8">
        <w:rPr>
          <w:rFonts w:ascii="Arial" w:hAnsi="Arial" w:cs="Arial"/>
          <w:sz w:val="24"/>
          <w:szCs w:val="24"/>
        </w:rPr>
        <w:t xml:space="preserve"> tis. EUR, t.j. o</w:t>
      </w:r>
      <w:r w:rsidR="00B657D3">
        <w:rPr>
          <w:rFonts w:ascii="Arial" w:hAnsi="Arial" w:cs="Arial"/>
          <w:sz w:val="24"/>
          <w:szCs w:val="24"/>
        </w:rPr>
        <w:t xml:space="preserve"> 11,9 </w:t>
      </w:r>
      <w:r w:rsidRPr="009A4FA8">
        <w:rPr>
          <w:rFonts w:ascii="Arial" w:hAnsi="Arial" w:cs="Arial"/>
          <w:sz w:val="24"/>
          <w:szCs w:val="24"/>
        </w:rPr>
        <w:t>%.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9640A6" w:rsidRPr="004D5EBF" w:rsidRDefault="009640A6" w:rsidP="009640A6">
      <w:pPr>
        <w:spacing w:line="276" w:lineRule="auto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>
        <w:rPr>
          <w:rFonts w:ascii="Arial" w:hAnsi="Arial" w:cs="Arial"/>
          <w:smallCaps/>
          <w:color w:val="538135" w:themeColor="accent6" w:themeShade="BF"/>
          <w:sz w:val="36"/>
          <w:szCs w:val="36"/>
        </w:rPr>
        <w:t>aktíva a pasíva</w:t>
      </w:r>
    </w:p>
    <w:p w:rsidR="005568B1" w:rsidRDefault="006A0EE8" w:rsidP="006C72AC">
      <w:pPr>
        <w:spacing w:after="120" w:line="276" w:lineRule="auto"/>
        <w:jc w:val="both"/>
        <w:rPr>
          <w:rFonts w:ascii="Arial" w:eastAsia="Times New Roman" w:hAnsi="Arial" w:cs="Arial"/>
          <w:sz w:val="24"/>
          <w:szCs w:val="24"/>
        </w:rPr>
      </w:pPr>
      <w:r w:rsidRPr="006A0EE8">
        <w:rPr>
          <w:noProof/>
          <w:lang w:eastAsia="sk-SK"/>
        </w:rPr>
        <w:drawing>
          <wp:inline distT="0" distB="0" distL="0" distR="0">
            <wp:extent cx="4962525" cy="2486025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2525" cy="2486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68B1" w:rsidRPr="009A4FA8" w:rsidRDefault="005568B1" w:rsidP="006C72AC">
      <w:pPr>
        <w:spacing w:after="120" w:line="276" w:lineRule="auto"/>
        <w:jc w:val="both"/>
        <w:rPr>
          <w:rFonts w:ascii="Arial" w:eastAsia="Times New Roman" w:hAnsi="Arial" w:cs="Arial"/>
          <w:sz w:val="24"/>
          <w:szCs w:val="24"/>
        </w:rPr>
      </w:pPr>
      <w:r w:rsidRPr="009A4FA8">
        <w:rPr>
          <w:rFonts w:ascii="Arial" w:eastAsia="Times New Roman" w:hAnsi="Arial" w:cs="Arial"/>
          <w:sz w:val="24"/>
          <w:szCs w:val="24"/>
        </w:rPr>
        <w:lastRenderedPageBreak/>
        <w:t>Medziročne došlo k nárastu majetku spoločnosti BYTTERM, a.s.  o</w:t>
      </w:r>
      <w:r w:rsidR="00D2102A">
        <w:rPr>
          <w:rFonts w:ascii="Arial" w:eastAsia="Times New Roman" w:hAnsi="Arial" w:cs="Arial"/>
          <w:sz w:val="24"/>
          <w:szCs w:val="24"/>
        </w:rPr>
        <w:t> 445,1</w:t>
      </w:r>
      <w:r w:rsidRPr="009A4FA8">
        <w:rPr>
          <w:rFonts w:ascii="Arial" w:eastAsia="Times New Roman" w:hAnsi="Arial" w:cs="Arial"/>
          <w:sz w:val="24"/>
          <w:szCs w:val="24"/>
        </w:rPr>
        <w:t xml:space="preserve"> tis. EUR</w:t>
      </w:r>
      <w:r w:rsidR="00D2102A">
        <w:rPr>
          <w:rFonts w:ascii="Arial" w:eastAsia="Times New Roman" w:hAnsi="Arial" w:cs="Arial"/>
          <w:sz w:val="24"/>
          <w:szCs w:val="24"/>
        </w:rPr>
        <w:t>, t.j. o 5,3 %</w:t>
      </w:r>
      <w:r w:rsidRPr="009A4FA8">
        <w:rPr>
          <w:rFonts w:ascii="Arial" w:eastAsia="Times New Roman" w:hAnsi="Arial" w:cs="Arial"/>
          <w:sz w:val="24"/>
          <w:szCs w:val="24"/>
        </w:rPr>
        <w:t>. Stále aktíva vzrástli  o </w:t>
      </w:r>
      <w:r w:rsidR="00D2102A">
        <w:rPr>
          <w:rFonts w:ascii="Arial" w:eastAsia="Times New Roman" w:hAnsi="Arial" w:cs="Arial"/>
          <w:sz w:val="24"/>
          <w:szCs w:val="24"/>
        </w:rPr>
        <w:t>386</w:t>
      </w:r>
      <w:r w:rsidRPr="009A4FA8">
        <w:rPr>
          <w:rFonts w:ascii="Arial" w:eastAsia="Times New Roman" w:hAnsi="Arial" w:cs="Arial"/>
          <w:sz w:val="24"/>
          <w:szCs w:val="24"/>
        </w:rPr>
        <w:t xml:space="preserve"> tis. EUR najmä vplyvom rastu dlhodobého hmotného majetku. Obežné aktíva medziročne </w:t>
      </w:r>
      <w:r w:rsidR="00D2102A">
        <w:rPr>
          <w:rFonts w:ascii="Arial" w:eastAsia="Times New Roman" w:hAnsi="Arial" w:cs="Arial"/>
          <w:sz w:val="24"/>
          <w:szCs w:val="24"/>
        </w:rPr>
        <w:t>vzrástli</w:t>
      </w:r>
      <w:r w:rsidRPr="009A4FA8">
        <w:rPr>
          <w:rFonts w:ascii="Arial" w:eastAsia="Times New Roman" w:hAnsi="Arial" w:cs="Arial"/>
          <w:sz w:val="24"/>
          <w:szCs w:val="24"/>
        </w:rPr>
        <w:t xml:space="preserve"> o</w:t>
      </w:r>
      <w:r w:rsidR="00D2102A">
        <w:rPr>
          <w:rFonts w:ascii="Arial" w:eastAsia="Times New Roman" w:hAnsi="Arial" w:cs="Arial"/>
          <w:sz w:val="24"/>
          <w:szCs w:val="24"/>
        </w:rPr>
        <w:t> 54,5</w:t>
      </w:r>
      <w:r w:rsidRPr="009A4FA8">
        <w:rPr>
          <w:rFonts w:ascii="Arial" w:eastAsia="Times New Roman" w:hAnsi="Arial" w:cs="Arial"/>
          <w:sz w:val="24"/>
          <w:szCs w:val="24"/>
        </w:rPr>
        <w:t xml:space="preserve"> tis. EUR</w:t>
      </w:r>
      <w:r w:rsidR="00D2102A">
        <w:rPr>
          <w:rFonts w:ascii="Arial" w:eastAsia="Times New Roman" w:hAnsi="Arial" w:cs="Arial"/>
          <w:sz w:val="24"/>
          <w:szCs w:val="24"/>
        </w:rPr>
        <w:t xml:space="preserve">. </w:t>
      </w:r>
      <w:r w:rsidRPr="009A4FA8">
        <w:rPr>
          <w:rFonts w:ascii="Arial" w:eastAsia="Times New Roman" w:hAnsi="Arial" w:cs="Arial"/>
          <w:sz w:val="24"/>
          <w:szCs w:val="24"/>
        </w:rPr>
        <w:t>Ostatné aktíva</w:t>
      </w:r>
      <w:r w:rsidR="00D2102A">
        <w:rPr>
          <w:rFonts w:ascii="Arial" w:eastAsia="Times New Roman" w:hAnsi="Arial" w:cs="Arial"/>
          <w:sz w:val="24"/>
          <w:szCs w:val="24"/>
        </w:rPr>
        <w:t xml:space="preserve"> – časové rozlíšenie</w:t>
      </w:r>
      <w:r w:rsidRPr="009A4FA8">
        <w:rPr>
          <w:rFonts w:ascii="Arial" w:eastAsia="Times New Roman" w:hAnsi="Arial" w:cs="Arial"/>
          <w:sz w:val="24"/>
          <w:szCs w:val="24"/>
        </w:rPr>
        <w:t xml:space="preserve"> (náklady a príjmy budúcich období) medziročne </w:t>
      </w:r>
      <w:r w:rsidR="00D2102A">
        <w:rPr>
          <w:rFonts w:ascii="Arial" w:eastAsia="Times New Roman" w:hAnsi="Arial" w:cs="Arial"/>
          <w:sz w:val="24"/>
          <w:szCs w:val="24"/>
        </w:rPr>
        <w:t xml:space="preserve">vzrástli </w:t>
      </w:r>
      <w:r w:rsidRPr="009A4FA8">
        <w:rPr>
          <w:rFonts w:ascii="Arial" w:eastAsia="Times New Roman" w:hAnsi="Arial" w:cs="Arial"/>
          <w:sz w:val="24"/>
          <w:szCs w:val="24"/>
        </w:rPr>
        <w:t>o</w:t>
      </w:r>
      <w:r w:rsidR="00D2102A">
        <w:rPr>
          <w:rFonts w:ascii="Arial" w:eastAsia="Times New Roman" w:hAnsi="Arial" w:cs="Arial"/>
          <w:sz w:val="24"/>
          <w:szCs w:val="24"/>
        </w:rPr>
        <w:t xml:space="preserve"> 4,6 </w:t>
      </w:r>
      <w:r w:rsidRPr="009A4FA8">
        <w:rPr>
          <w:rFonts w:ascii="Arial" w:eastAsia="Times New Roman" w:hAnsi="Arial" w:cs="Arial"/>
          <w:sz w:val="24"/>
          <w:szCs w:val="24"/>
        </w:rPr>
        <w:t>tis. EUR. Štruktúra majetku sa zmenila v prospech stálych aktív, podiel ktorých vzrástol z</w:t>
      </w:r>
      <w:r w:rsidR="00D2102A">
        <w:rPr>
          <w:rFonts w:ascii="Arial" w:eastAsia="Times New Roman" w:hAnsi="Arial" w:cs="Arial"/>
          <w:sz w:val="24"/>
          <w:szCs w:val="24"/>
        </w:rPr>
        <w:t xml:space="preserve"> 59,7 </w:t>
      </w:r>
      <w:r w:rsidRPr="009A4FA8">
        <w:rPr>
          <w:rFonts w:ascii="Arial" w:eastAsia="Times New Roman" w:hAnsi="Arial" w:cs="Arial"/>
          <w:sz w:val="24"/>
          <w:szCs w:val="24"/>
        </w:rPr>
        <w:t xml:space="preserve">% na </w:t>
      </w:r>
      <w:r w:rsidR="00D2102A">
        <w:rPr>
          <w:rFonts w:ascii="Arial" w:eastAsia="Times New Roman" w:hAnsi="Arial" w:cs="Arial"/>
          <w:sz w:val="24"/>
          <w:szCs w:val="24"/>
        </w:rPr>
        <w:t>61</w:t>
      </w:r>
      <w:r w:rsidRPr="009A4FA8">
        <w:rPr>
          <w:rFonts w:ascii="Arial" w:eastAsia="Times New Roman" w:hAnsi="Arial" w:cs="Arial"/>
          <w:sz w:val="24"/>
          <w:szCs w:val="24"/>
        </w:rPr>
        <w:t xml:space="preserve"> % na úkor </w:t>
      </w:r>
      <w:r w:rsidR="00D2102A">
        <w:rPr>
          <w:rFonts w:ascii="Arial" w:eastAsia="Times New Roman" w:hAnsi="Arial" w:cs="Arial"/>
          <w:sz w:val="24"/>
          <w:szCs w:val="24"/>
        </w:rPr>
        <w:t>obežných aktív</w:t>
      </w:r>
      <w:r w:rsidRPr="009A4FA8">
        <w:rPr>
          <w:rFonts w:ascii="Arial" w:eastAsia="Times New Roman" w:hAnsi="Arial" w:cs="Arial"/>
          <w:sz w:val="24"/>
          <w:szCs w:val="24"/>
        </w:rPr>
        <w:t xml:space="preserve">, podiel </w:t>
      </w:r>
      <w:r w:rsidR="00D2102A">
        <w:rPr>
          <w:rFonts w:ascii="Arial" w:eastAsia="Times New Roman" w:hAnsi="Arial" w:cs="Arial"/>
          <w:sz w:val="24"/>
          <w:szCs w:val="24"/>
        </w:rPr>
        <w:t>ktorých</w:t>
      </w:r>
      <w:r w:rsidRPr="009A4FA8">
        <w:rPr>
          <w:rFonts w:ascii="Arial" w:eastAsia="Times New Roman" w:hAnsi="Arial" w:cs="Arial"/>
          <w:sz w:val="24"/>
          <w:szCs w:val="24"/>
        </w:rPr>
        <w:t xml:space="preserve"> poklesol o</w:t>
      </w:r>
      <w:r w:rsidR="00D2102A">
        <w:rPr>
          <w:rFonts w:ascii="Arial" w:eastAsia="Times New Roman" w:hAnsi="Arial" w:cs="Arial"/>
          <w:sz w:val="24"/>
          <w:szCs w:val="24"/>
        </w:rPr>
        <w:t> 1,4</w:t>
      </w:r>
      <w:r w:rsidRPr="009A4FA8">
        <w:rPr>
          <w:rFonts w:ascii="Arial" w:eastAsia="Times New Roman" w:hAnsi="Arial" w:cs="Arial"/>
          <w:sz w:val="24"/>
          <w:szCs w:val="24"/>
        </w:rPr>
        <w:t xml:space="preserve"> p.b. na </w:t>
      </w:r>
      <w:r w:rsidR="00D2102A">
        <w:rPr>
          <w:rFonts w:ascii="Arial" w:eastAsia="Times New Roman" w:hAnsi="Arial" w:cs="Arial"/>
          <w:sz w:val="24"/>
          <w:szCs w:val="24"/>
        </w:rPr>
        <w:t xml:space="preserve">38 </w:t>
      </w:r>
      <w:r w:rsidRPr="009A4FA8">
        <w:rPr>
          <w:rFonts w:ascii="Arial" w:eastAsia="Times New Roman" w:hAnsi="Arial" w:cs="Arial"/>
          <w:sz w:val="24"/>
          <w:szCs w:val="24"/>
        </w:rPr>
        <w:t xml:space="preserve">% z celkových aktív. </w:t>
      </w:r>
    </w:p>
    <w:p w:rsidR="005568B1" w:rsidRPr="008C5621" w:rsidRDefault="006A0EE8" w:rsidP="006C72AC">
      <w:pPr>
        <w:spacing w:after="120" w:line="276" w:lineRule="auto"/>
        <w:jc w:val="both"/>
        <w:rPr>
          <w:rFonts w:ascii="Myriad Pro" w:eastAsia="Times New Roman" w:hAnsi="Myriad Pro" w:cs="Arial"/>
          <w:sz w:val="24"/>
          <w:szCs w:val="24"/>
        </w:rPr>
      </w:pPr>
      <w:r w:rsidRPr="006A0EE8">
        <w:rPr>
          <w:noProof/>
          <w:lang w:eastAsia="sk-SK"/>
        </w:rPr>
        <w:drawing>
          <wp:inline distT="0" distB="0" distL="0" distR="0">
            <wp:extent cx="4943475" cy="2486025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3475" cy="2486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68B1" w:rsidRPr="008C5621" w:rsidRDefault="005568B1" w:rsidP="006C72AC">
      <w:pPr>
        <w:spacing w:after="120" w:line="276" w:lineRule="auto"/>
        <w:jc w:val="both"/>
        <w:rPr>
          <w:rFonts w:ascii="Myriad Pro" w:eastAsia="Times New Roman" w:hAnsi="Myriad Pro" w:cs="Arial"/>
          <w:sz w:val="24"/>
          <w:szCs w:val="24"/>
        </w:rPr>
      </w:pPr>
      <w:r>
        <w:rPr>
          <w:rFonts w:ascii="Century Schoolbook" w:eastAsia="Times New Roman" w:hAnsi="Century Schoolbook" w:cs="Times New Roman"/>
          <w:noProof/>
          <w:color w:val="414751"/>
          <w:sz w:val="20"/>
          <w:szCs w:val="20"/>
          <w:lang w:eastAsia="sk-SK"/>
        </w:rPr>
        <w:tab/>
      </w:r>
    </w:p>
    <w:p w:rsidR="00A15C76" w:rsidRDefault="005568B1" w:rsidP="006C72AC">
      <w:pPr>
        <w:spacing w:after="120" w:line="276" w:lineRule="auto"/>
        <w:jc w:val="both"/>
        <w:rPr>
          <w:rFonts w:ascii="Arial" w:eastAsia="Times New Roman" w:hAnsi="Arial" w:cs="Arial"/>
          <w:sz w:val="24"/>
          <w:szCs w:val="24"/>
        </w:rPr>
      </w:pPr>
      <w:r w:rsidRPr="009A4FA8">
        <w:rPr>
          <w:rFonts w:ascii="Arial" w:eastAsia="Times New Roman" w:hAnsi="Arial" w:cs="Arial"/>
          <w:sz w:val="24"/>
          <w:szCs w:val="24"/>
        </w:rPr>
        <w:t xml:space="preserve">Majetok akciovej spoločnosti v celkovej výške </w:t>
      </w:r>
      <w:r w:rsidR="00C24799">
        <w:rPr>
          <w:rFonts w:ascii="Arial" w:eastAsia="Times New Roman" w:hAnsi="Arial" w:cs="Arial"/>
          <w:sz w:val="24"/>
          <w:szCs w:val="24"/>
        </w:rPr>
        <w:t>8 768,6</w:t>
      </w:r>
      <w:r w:rsidRPr="009A4FA8">
        <w:rPr>
          <w:rFonts w:ascii="Arial" w:eastAsia="Times New Roman" w:hAnsi="Arial" w:cs="Arial"/>
          <w:sz w:val="24"/>
          <w:szCs w:val="24"/>
        </w:rPr>
        <w:t xml:space="preserve"> tis. EUR bol krytý vlastnými a cudzími zdrojmi. Vlastné imanie BYTTERM, a.s. vo výške </w:t>
      </w:r>
      <w:r w:rsidR="00C24799">
        <w:rPr>
          <w:rFonts w:ascii="Arial" w:eastAsia="Times New Roman" w:hAnsi="Arial" w:cs="Arial"/>
          <w:sz w:val="24"/>
          <w:szCs w:val="24"/>
        </w:rPr>
        <w:t>6 512,2</w:t>
      </w:r>
      <w:r w:rsidRPr="009A4FA8">
        <w:rPr>
          <w:rFonts w:ascii="Arial" w:eastAsia="Times New Roman" w:hAnsi="Arial" w:cs="Arial"/>
          <w:sz w:val="24"/>
          <w:szCs w:val="24"/>
        </w:rPr>
        <w:t xml:space="preserve"> tis. EUR predstavuje </w:t>
      </w:r>
      <w:r w:rsidR="00C24799">
        <w:rPr>
          <w:rFonts w:ascii="Arial" w:eastAsia="Times New Roman" w:hAnsi="Arial" w:cs="Arial"/>
          <w:sz w:val="24"/>
          <w:szCs w:val="24"/>
        </w:rPr>
        <w:t>74,3</w:t>
      </w:r>
      <w:r w:rsidRPr="009A4FA8">
        <w:rPr>
          <w:rFonts w:ascii="Arial" w:eastAsia="Times New Roman" w:hAnsi="Arial" w:cs="Arial"/>
          <w:sz w:val="24"/>
          <w:szCs w:val="24"/>
        </w:rPr>
        <w:t xml:space="preserve"> % celkových zdrojov krytia, pričom medziročne vzrástlo o</w:t>
      </w:r>
      <w:r w:rsidR="00C24799">
        <w:rPr>
          <w:rFonts w:ascii="Arial" w:eastAsia="Times New Roman" w:hAnsi="Arial" w:cs="Arial"/>
          <w:sz w:val="24"/>
          <w:szCs w:val="24"/>
        </w:rPr>
        <w:t> 409,8</w:t>
      </w:r>
      <w:r w:rsidRPr="009A4FA8">
        <w:rPr>
          <w:rFonts w:ascii="Arial" w:eastAsia="Times New Roman" w:hAnsi="Arial" w:cs="Arial"/>
          <w:sz w:val="24"/>
          <w:szCs w:val="24"/>
        </w:rPr>
        <w:t xml:space="preserve"> tis. EUR vplyvom rastu hospodárskych výsledkov minulých rokov ako aj bežného účtovného obdobia. </w:t>
      </w:r>
      <w:r w:rsidR="00C24799">
        <w:rPr>
          <w:rFonts w:ascii="Arial" w:eastAsia="Times New Roman" w:hAnsi="Arial" w:cs="Arial"/>
          <w:sz w:val="24"/>
          <w:szCs w:val="24"/>
        </w:rPr>
        <w:t>Záväzky</w:t>
      </w:r>
      <w:r w:rsidRPr="009A4FA8">
        <w:rPr>
          <w:rFonts w:ascii="Arial" w:eastAsia="Times New Roman" w:hAnsi="Arial" w:cs="Arial"/>
          <w:sz w:val="24"/>
          <w:szCs w:val="24"/>
        </w:rPr>
        <w:t xml:space="preserve"> sa podieľajú </w:t>
      </w:r>
      <w:r w:rsidR="00C24799">
        <w:rPr>
          <w:rFonts w:ascii="Arial" w:eastAsia="Times New Roman" w:hAnsi="Arial" w:cs="Arial"/>
          <w:sz w:val="24"/>
          <w:szCs w:val="24"/>
        </w:rPr>
        <w:t>22</w:t>
      </w:r>
      <w:r w:rsidRPr="009A4FA8">
        <w:rPr>
          <w:rFonts w:ascii="Arial" w:eastAsia="Times New Roman" w:hAnsi="Arial" w:cs="Arial"/>
          <w:sz w:val="24"/>
          <w:szCs w:val="24"/>
        </w:rPr>
        <w:t xml:space="preserve"> % na celkových zdrojoch, pričom </w:t>
      </w:r>
      <w:r w:rsidR="00C24799">
        <w:rPr>
          <w:rFonts w:ascii="Arial" w:eastAsia="Times New Roman" w:hAnsi="Arial" w:cs="Arial"/>
          <w:sz w:val="24"/>
          <w:szCs w:val="24"/>
        </w:rPr>
        <w:t>poklesli</w:t>
      </w:r>
      <w:r w:rsidRPr="009A4FA8">
        <w:rPr>
          <w:rFonts w:ascii="Arial" w:eastAsia="Times New Roman" w:hAnsi="Arial" w:cs="Arial"/>
          <w:sz w:val="24"/>
          <w:szCs w:val="24"/>
        </w:rPr>
        <w:t xml:space="preserve"> o</w:t>
      </w:r>
      <w:r w:rsidR="00C24799">
        <w:rPr>
          <w:rFonts w:ascii="Arial" w:eastAsia="Times New Roman" w:hAnsi="Arial" w:cs="Arial"/>
          <w:sz w:val="24"/>
          <w:szCs w:val="24"/>
        </w:rPr>
        <w:t> 70,8</w:t>
      </w:r>
      <w:r w:rsidRPr="009A4FA8">
        <w:rPr>
          <w:rFonts w:ascii="Arial" w:eastAsia="Times New Roman" w:hAnsi="Arial" w:cs="Arial"/>
          <w:sz w:val="24"/>
          <w:szCs w:val="24"/>
        </w:rPr>
        <w:t xml:space="preserve"> tis. EUR</w:t>
      </w:r>
      <w:r w:rsidR="00C24799">
        <w:rPr>
          <w:rFonts w:ascii="Arial" w:eastAsia="Times New Roman" w:hAnsi="Arial" w:cs="Arial"/>
          <w:sz w:val="24"/>
          <w:szCs w:val="24"/>
        </w:rPr>
        <w:t>. Suma ostatných pasív - časového rozlíšenia sa medziročne zvýšila o 106,2 tis. EUR z dôvodu vyšších preplatkov z vyúčtovania ceny tepla za rok 2017.</w:t>
      </w:r>
      <w:r w:rsidRPr="009A4FA8">
        <w:rPr>
          <w:rFonts w:ascii="Arial" w:eastAsia="Times New Roman" w:hAnsi="Arial" w:cs="Arial"/>
          <w:sz w:val="24"/>
          <w:szCs w:val="24"/>
        </w:rPr>
        <w:t xml:space="preserve"> </w:t>
      </w:r>
    </w:p>
    <w:p w:rsidR="005568B1" w:rsidRPr="009A4FA8" w:rsidRDefault="005568B1" w:rsidP="006C72AC">
      <w:pPr>
        <w:spacing w:after="120" w:line="276" w:lineRule="auto"/>
        <w:jc w:val="both"/>
        <w:rPr>
          <w:rFonts w:ascii="Arial" w:eastAsia="Times New Roman" w:hAnsi="Arial" w:cs="Arial"/>
          <w:sz w:val="24"/>
          <w:szCs w:val="24"/>
        </w:rPr>
      </w:pPr>
      <w:r w:rsidRPr="009A4FA8">
        <w:rPr>
          <w:rFonts w:ascii="Arial" w:eastAsia="Times New Roman" w:hAnsi="Arial" w:cs="Arial"/>
          <w:sz w:val="24"/>
          <w:szCs w:val="24"/>
        </w:rPr>
        <w:t xml:space="preserve">V štruktúre </w:t>
      </w:r>
      <w:r w:rsidR="00C24799">
        <w:rPr>
          <w:rFonts w:ascii="Arial" w:eastAsia="Times New Roman" w:hAnsi="Arial" w:cs="Arial"/>
          <w:sz w:val="24"/>
          <w:szCs w:val="24"/>
        </w:rPr>
        <w:t>pasív</w:t>
      </w:r>
      <w:r w:rsidRPr="009A4FA8">
        <w:rPr>
          <w:rFonts w:ascii="Arial" w:eastAsia="Times New Roman" w:hAnsi="Arial" w:cs="Arial"/>
          <w:sz w:val="24"/>
          <w:szCs w:val="24"/>
        </w:rPr>
        <w:t xml:space="preserve"> sa v dôsledku nárastu </w:t>
      </w:r>
      <w:r w:rsidR="00C24799">
        <w:rPr>
          <w:rFonts w:ascii="Arial" w:eastAsia="Times New Roman" w:hAnsi="Arial" w:cs="Arial"/>
          <w:sz w:val="24"/>
          <w:szCs w:val="24"/>
        </w:rPr>
        <w:t>hospodárskych výsledkov</w:t>
      </w:r>
      <w:r w:rsidRPr="009A4FA8">
        <w:rPr>
          <w:rFonts w:ascii="Arial" w:eastAsia="Times New Roman" w:hAnsi="Arial" w:cs="Arial"/>
          <w:sz w:val="24"/>
          <w:szCs w:val="24"/>
        </w:rPr>
        <w:t xml:space="preserve"> mierne zvýšil podiel vlastného imania o</w:t>
      </w:r>
      <w:r w:rsidR="00A15C76">
        <w:rPr>
          <w:rFonts w:ascii="Arial" w:eastAsia="Times New Roman" w:hAnsi="Arial" w:cs="Arial"/>
          <w:sz w:val="24"/>
          <w:szCs w:val="24"/>
        </w:rPr>
        <w:t xml:space="preserve"> 1 </w:t>
      </w:r>
      <w:r w:rsidRPr="009A4FA8">
        <w:rPr>
          <w:rFonts w:ascii="Arial" w:eastAsia="Times New Roman" w:hAnsi="Arial" w:cs="Arial"/>
          <w:sz w:val="24"/>
          <w:szCs w:val="24"/>
        </w:rPr>
        <w:t xml:space="preserve">p.b. </w:t>
      </w:r>
      <w:r w:rsidR="00A15C76">
        <w:rPr>
          <w:rFonts w:ascii="Arial" w:eastAsia="Times New Roman" w:hAnsi="Arial" w:cs="Arial"/>
          <w:sz w:val="24"/>
          <w:szCs w:val="24"/>
        </w:rPr>
        <w:t xml:space="preserve"> a </w:t>
      </w:r>
      <w:r w:rsidR="00A15C76" w:rsidRPr="009A4FA8">
        <w:rPr>
          <w:rFonts w:ascii="Arial" w:eastAsia="Times New Roman" w:hAnsi="Arial" w:cs="Arial"/>
          <w:sz w:val="24"/>
          <w:szCs w:val="24"/>
        </w:rPr>
        <w:t xml:space="preserve">kvôli </w:t>
      </w:r>
      <w:r w:rsidR="00A15C76">
        <w:rPr>
          <w:rFonts w:ascii="Arial" w:eastAsia="Times New Roman" w:hAnsi="Arial" w:cs="Arial"/>
          <w:sz w:val="24"/>
          <w:szCs w:val="24"/>
        </w:rPr>
        <w:t xml:space="preserve">vyšším </w:t>
      </w:r>
      <w:r w:rsidR="00A15C76" w:rsidRPr="009A4FA8">
        <w:rPr>
          <w:rFonts w:ascii="Arial" w:eastAsia="Times New Roman" w:hAnsi="Arial" w:cs="Arial"/>
          <w:sz w:val="24"/>
          <w:szCs w:val="24"/>
        </w:rPr>
        <w:t>preplatkom z vyúčtovania</w:t>
      </w:r>
      <w:r w:rsidR="00A15C76">
        <w:rPr>
          <w:rFonts w:ascii="Arial" w:eastAsia="Times New Roman" w:hAnsi="Arial" w:cs="Arial"/>
          <w:sz w:val="24"/>
          <w:szCs w:val="24"/>
        </w:rPr>
        <w:t xml:space="preserve"> sa zvýšil podiel časového rozlíšenia o 1,1 p.b. </w:t>
      </w:r>
      <w:r w:rsidRPr="009A4FA8">
        <w:rPr>
          <w:rFonts w:ascii="Arial" w:eastAsia="Times New Roman" w:hAnsi="Arial" w:cs="Arial"/>
          <w:sz w:val="24"/>
          <w:szCs w:val="24"/>
        </w:rPr>
        <w:t xml:space="preserve">na úkor </w:t>
      </w:r>
      <w:r w:rsidR="00A15C76">
        <w:rPr>
          <w:rFonts w:ascii="Arial" w:eastAsia="Times New Roman" w:hAnsi="Arial" w:cs="Arial"/>
          <w:sz w:val="24"/>
          <w:szCs w:val="24"/>
        </w:rPr>
        <w:t>záväzkov, ktorých podiel sa znížil o 2,1 p.b..</w:t>
      </w:r>
    </w:p>
    <w:p w:rsidR="005568B1" w:rsidRPr="008C5621" w:rsidRDefault="005568B1" w:rsidP="006C72AC">
      <w:pPr>
        <w:spacing w:line="276" w:lineRule="auto"/>
        <w:rPr>
          <w:rFonts w:ascii="Myriad Pro" w:hAnsi="Myriad Pro" w:cs="Arial"/>
          <w:b/>
          <w:smallCaps/>
          <w:color w:val="385623" w:themeColor="accent6" w:themeShade="80"/>
          <w:sz w:val="32"/>
          <w:szCs w:val="32"/>
        </w:rPr>
      </w:pPr>
    </w:p>
    <w:p w:rsidR="005568B1" w:rsidRPr="004D5EBF" w:rsidRDefault="005568B1" w:rsidP="006C72AC">
      <w:pPr>
        <w:spacing w:line="276" w:lineRule="auto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 w:rsidRPr="004D5EBF">
        <w:rPr>
          <w:rFonts w:ascii="Arial" w:hAnsi="Arial" w:cs="Arial"/>
          <w:smallCaps/>
          <w:color w:val="538135" w:themeColor="accent6" w:themeShade="BF"/>
          <w:sz w:val="36"/>
          <w:szCs w:val="36"/>
        </w:rPr>
        <w:t>finančná situácia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C5621">
        <w:rPr>
          <w:rFonts w:ascii="Arial" w:hAnsi="Arial" w:cs="Arial"/>
          <w:sz w:val="24"/>
          <w:szCs w:val="24"/>
        </w:rPr>
        <w:t>Finančná situácia akciovej spoločnosti bola v roku 201</w:t>
      </w:r>
      <w:r w:rsidR="00A15C76"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 xml:space="preserve"> </w:t>
      </w:r>
      <w:r w:rsidRPr="008C5621">
        <w:rPr>
          <w:rFonts w:ascii="Arial" w:hAnsi="Arial" w:cs="Arial"/>
          <w:sz w:val="24"/>
          <w:szCs w:val="24"/>
        </w:rPr>
        <w:t>stabilizovaná. Naše záväzky boli uhrádzané priebežne, po splatnosti k 31.12.201</w:t>
      </w:r>
      <w:r w:rsidR="00A15C76">
        <w:rPr>
          <w:rFonts w:ascii="Arial" w:hAnsi="Arial" w:cs="Arial"/>
          <w:sz w:val="24"/>
          <w:szCs w:val="24"/>
        </w:rPr>
        <w:t>7</w:t>
      </w:r>
      <w:r w:rsidRPr="008C5621">
        <w:rPr>
          <w:rFonts w:ascii="Arial" w:hAnsi="Arial" w:cs="Arial"/>
          <w:sz w:val="24"/>
          <w:szCs w:val="24"/>
        </w:rPr>
        <w:t xml:space="preserve"> evidujeme záväzky</w:t>
      </w:r>
      <w:r w:rsidR="00A15C76">
        <w:rPr>
          <w:rFonts w:ascii="Arial" w:hAnsi="Arial" w:cs="Arial"/>
          <w:sz w:val="24"/>
          <w:szCs w:val="24"/>
        </w:rPr>
        <w:t xml:space="preserve"> z obchodného styku</w:t>
      </w:r>
      <w:r w:rsidRPr="008C5621">
        <w:rPr>
          <w:rFonts w:ascii="Arial" w:hAnsi="Arial" w:cs="Arial"/>
          <w:sz w:val="24"/>
          <w:szCs w:val="24"/>
        </w:rPr>
        <w:t xml:space="preserve"> vo výške </w:t>
      </w:r>
      <w:r w:rsidR="00A15C76">
        <w:rPr>
          <w:rFonts w:ascii="Arial" w:hAnsi="Arial" w:cs="Arial"/>
          <w:sz w:val="24"/>
          <w:szCs w:val="24"/>
        </w:rPr>
        <w:t>28,1</w:t>
      </w:r>
      <w:r w:rsidRPr="008C5621">
        <w:rPr>
          <w:rFonts w:ascii="Arial" w:hAnsi="Arial" w:cs="Arial"/>
          <w:sz w:val="24"/>
          <w:szCs w:val="24"/>
        </w:rPr>
        <w:t xml:space="preserve"> tis. EUR, čo je  </w:t>
      </w:r>
      <w:r w:rsidR="00A15C76">
        <w:rPr>
          <w:rFonts w:ascii="Arial" w:hAnsi="Arial" w:cs="Arial"/>
          <w:sz w:val="24"/>
          <w:szCs w:val="24"/>
        </w:rPr>
        <w:t>2,17</w:t>
      </w:r>
      <w:r w:rsidRPr="008C5621">
        <w:rPr>
          <w:rFonts w:ascii="Arial" w:hAnsi="Arial" w:cs="Arial"/>
          <w:sz w:val="24"/>
          <w:szCs w:val="24"/>
        </w:rPr>
        <w:t xml:space="preserve"> % </w:t>
      </w:r>
      <w:r>
        <w:rPr>
          <w:rFonts w:ascii="Arial" w:hAnsi="Arial" w:cs="Arial"/>
          <w:sz w:val="24"/>
          <w:szCs w:val="24"/>
        </w:rPr>
        <w:t xml:space="preserve">zo záväzkov z obchodného styku, </w:t>
      </w:r>
      <w:r w:rsidRPr="008C5621">
        <w:rPr>
          <w:rFonts w:ascii="Arial" w:hAnsi="Arial" w:cs="Arial"/>
          <w:sz w:val="24"/>
          <w:szCs w:val="24"/>
        </w:rPr>
        <w:t xml:space="preserve">pričom </w:t>
      </w:r>
      <w:r w:rsidR="00A15C76">
        <w:rPr>
          <w:rFonts w:ascii="Arial" w:hAnsi="Arial" w:cs="Arial"/>
          <w:sz w:val="24"/>
          <w:szCs w:val="24"/>
        </w:rPr>
        <w:t xml:space="preserve">99,8 </w:t>
      </w:r>
      <w:r w:rsidRPr="008C5621">
        <w:rPr>
          <w:rFonts w:ascii="Arial" w:hAnsi="Arial" w:cs="Arial"/>
          <w:sz w:val="24"/>
          <w:szCs w:val="24"/>
        </w:rPr>
        <w:t xml:space="preserve">% z nich bolo po splatnosti do 30 dní. 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C5621">
        <w:rPr>
          <w:rFonts w:ascii="Arial" w:hAnsi="Arial" w:cs="Arial"/>
          <w:sz w:val="24"/>
          <w:szCs w:val="24"/>
        </w:rPr>
        <w:lastRenderedPageBreak/>
        <w:t xml:space="preserve">Pohľadávky sa darilo vymáhať vo vysokej miere, len </w:t>
      </w:r>
      <w:r w:rsidR="00A15C76">
        <w:rPr>
          <w:rFonts w:ascii="Arial" w:hAnsi="Arial" w:cs="Arial"/>
          <w:sz w:val="24"/>
          <w:szCs w:val="24"/>
        </w:rPr>
        <w:t xml:space="preserve">4,37 </w:t>
      </w:r>
      <w:r w:rsidRPr="008C5621">
        <w:rPr>
          <w:rFonts w:ascii="Arial" w:hAnsi="Arial" w:cs="Arial"/>
          <w:sz w:val="24"/>
          <w:szCs w:val="24"/>
        </w:rPr>
        <w:t xml:space="preserve">% pohľadávok z obchodného styku  predstavujú pohľadávky po splatnosti, pričom </w:t>
      </w:r>
      <w:r w:rsidR="00A15C76">
        <w:rPr>
          <w:rFonts w:ascii="Arial" w:hAnsi="Arial" w:cs="Arial"/>
          <w:sz w:val="24"/>
          <w:szCs w:val="24"/>
        </w:rPr>
        <w:t xml:space="preserve">53,4 </w:t>
      </w:r>
      <w:r w:rsidRPr="008C5621">
        <w:rPr>
          <w:rFonts w:ascii="Arial" w:hAnsi="Arial" w:cs="Arial"/>
          <w:sz w:val="24"/>
          <w:szCs w:val="24"/>
        </w:rPr>
        <w:t xml:space="preserve">% z nich je po splatnosti do 180 dní. </w:t>
      </w:r>
      <w:r w:rsidR="00A15C76">
        <w:rPr>
          <w:rFonts w:ascii="Arial" w:hAnsi="Arial" w:cs="Arial"/>
          <w:sz w:val="24"/>
          <w:szCs w:val="24"/>
        </w:rPr>
        <w:t xml:space="preserve">Medziročne sa pohľadávky po splatnosti znížili o 55 tis. EUR, t.j. </w:t>
      </w:r>
      <w:r w:rsidR="004F6B62">
        <w:rPr>
          <w:rFonts w:ascii="Arial" w:hAnsi="Arial" w:cs="Arial"/>
          <w:sz w:val="24"/>
          <w:szCs w:val="24"/>
        </w:rPr>
        <w:t>46,9 %</w:t>
      </w:r>
      <w:r w:rsidR="00A15C7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.</w:t>
      </w:r>
      <w:r w:rsidRPr="008C5621">
        <w:rPr>
          <w:rFonts w:ascii="Arial" w:hAnsi="Arial" w:cs="Arial"/>
          <w:sz w:val="24"/>
          <w:szCs w:val="24"/>
        </w:rPr>
        <w:t xml:space="preserve"> K</w:t>
      </w:r>
      <w:r w:rsidR="004F6B62">
        <w:rPr>
          <w:rFonts w:ascii="Arial" w:hAnsi="Arial" w:cs="Arial"/>
          <w:sz w:val="24"/>
          <w:szCs w:val="24"/>
        </w:rPr>
        <w:t xml:space="preserve"> takmer </w:t>
      </w:r>
      <w:r w:rsidRPr="008C5621">
        <w:rPr>
          <w:rFonts w:ascii="Arial" w:hAnsi="Arial" w:cs="Arial"/>
          <w:sz w:val="24"/>
          <w:szCs w:val="24"/>
        </w:rPr>
        <w:t xml:space="preserve">všetkým pohľadávkam starším ako 360 dní v celkovej výške </w:t>
      </w:r>
      <w:r w:rsidR="004F6B62">
        <w:rPr>
          <w:rFonts w:ascii="Arial" w:hAnsi="Arial" w:cs="Arial"/>
          <w:sz w:val="24"/>
          <w:szCs w:val="24"/>
        </w:rPr>
        <w:t>28,5</w:t>
      </w:r>
      <w:r w:rsidRPr="008C5621">
        <w:rPr>
          <w:rFonts w:ascii="Arial" w:hAnsi="Arial" w:cs="Arial"/>
          <w:sz w:val="24"/>
          <w:szCs w:val="24"/>
        </w:rPr>
        <w:t xml:space="preserve"> tis. EUR sú vytvorené opravné položky v zmysle zákona o dani z príjmov.</w:t>
      </w:r>
    </w:p>
    <w:p w:rsidR="005568B1" w:rsidRPr="009E7067" w:rsidRDefault="00224603" w:rsidP="006C72AC">
      <w:pPr>
        <w:spacing w:line="276" w:lineRule="auto"/>
        <w:ind w:right="563"/>
        <w:jc w:val="both"/>
        <w:rPr>
          <w:rFonts w:ascii="Arial" w:hAnsi="Arial" w:cs="Arial"/>
          <w:color w:val="2F5496" w:themeColor="accent5" w:themeShade="BF"/>
          <w:sz w:val="32"/>
          <w:szCs w:val="32"/>
        </w:rPr>
      </w:pPr>
      <w:r>
        <w:rPr>
          <w:rFonts w:ascii="Arial" w:hAnsi="Arial" w:cs="Arial"/>
          <w:color w:val="2F5496" w:themeColor="accent5" w:themeShade="BF"/>
          <w:sz w:val="32"/>
          <w:szCs w:val="32"/>
        </w:rPr>
        <w:br/>
      </w:r>
      <w:r w:rsidR="005568B1" w:rsidRPr="009E7067">
        <w:rPr>
          <w:rFonts w:ascii="Arial" w:hAnsi="Arial" w:cs="Arial"/>
          <w:color w:val="2F5496" w:themeColor="accent5" w:themeShade="BF"/>
          <w:sz w:val="32"/>
          <w:szCs w:val="32"/>
        </w:rPr>
        <w:t>Ukazovatele likvidity</w:t>
      </w:r>
    </w:p>
    <w:p w:rsidR="005568B1" w:rsidRPr="008C5621" w:rsidRDefault="00052CD4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sk-SK"/>
        </w:rPr>
        <w:drawing>
          <wp:inline distT="0" distB="0" distL="0" distR="0">
            <wp:extent cx="4581525" cy="2729499"/>
            <wp:effectExtent l="0" t="0" r="0" b="0"/>
            <wp:docPr id="41" name="Obrázo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8295" cy="274544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568B1" w:rsidRPr="008C5621">
        <w:rPr>
          <w:rFonts w:ascii="Arial" w:hAnsi="Arial" w:cs="Arial"/>
          <w:sz w:val="24"/>
          <w:szCs w:val="24"/>
        </w:rPr>
        <w:tab/>
      </w:r>
    </w:p>
    <w:p w:rsidR="005568B1" w:rsidRPr="008C5621" w:rsidRDefault="00052CD4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Všetky </w:t>
      </w:r>
      <w:r w:rsidR="005568B1" w:rsidRPr="008C5621">
        <w:rPr>
          <w:rFonts w:ascii="Arial" w:hAnsi="Arial" w:cs="Arial"/>
          <w:sz w:val="24"/>
          <w:szCs w:val="24"/>
        </w:rPr>
        <w:t>ukazovatele</w:t>
      </w:r>
      <w:r w:rsidR="005568B1">
        <w:rPr>
          <w:rFonts w:ascii="Arial" w:hAnsi="Arial" w:cs="Arial"/>
          <w:sz w:val="24"/>
          <w:szCs w:val="24"/>
        </w:rPr>
        <w:t xml:space="preserve"> likvidity</w:t>
      </w:r>
      <w:r w:rsidR="005568B1" w:rsidRPr="008C562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sú k 31.12.2017 </w:t>
      </w:r>
      <w:r w:rsidR="005568B1">
        <w:rPr>
          <w:rFonts w:ascii="Arial" w:hAnsi="Arial" w:cs="Arial"/>
          <w:sz w:val="24"/>
          <w:szCs w:val="24"/>
        </w:rPr>
        <w:t>na úrovni odporúčaných hodnôt</w:t>
      </w:r>
      <w:r w:rsidR="005568B1" w:rsidRPr="008C5621">
        <w:rPr>
          <w:rFonts w:ascii="Arial" w:hAnsi="Arial" w:cs="Arial"/>
          <w:sz w:val="24"/>
          <w:szCs w:val="24"/>
        </w:rPr>
        <w:t>, čo znamená, že spoločnosť mala v roku 201</w:t>
      </w:r>
      <w:r>
        <w:rPr>
          <w:rFonts w:ascii="Arial" w:hAnsi="Arial" w:cs="Arial"/>
          <w:sz w:val="24"/>
          <w:szCs w:val="24"/>
        </w:rPr>
        <w:t>7</w:t>
      </w:r>
      <w:r w:rsidR="005568B1" w:rsidRPr="008C5621">
        <w:rPr>
          <w:rFonts w:ascii="Arial" w:hAnsi="Arial" w:cs="Arial"/>
          <w:sz w:val="24"/>
          <w:szCs w:val="24"/>
        </w:rPr>
        <w:t xml:space="preserve"> dostatok likvidných aktív na krytie svojich krátkodobých záväzkov a jej platobná schopnosť nebola ohrozená.</w:t>
      </w:r>
    </w:p>
    <w:p w:rsidR="005568B1" w:rsidRPr="009E7067" w:rsidRDefault="00224603" w:rsidP="006C72AC">
      <w:pPr>
        <w:spacing w:line="276" w:lineRule="auto"/>
        <w:ind w:right="563"/>
        <w:jc w:val="both"/>
        <w:rPr>
          <w:rFonts w:ascii="Arial" w:hAnsi="Arial" w:cs="Arial"/>
          <w:color w:val="2F5496" w:themeColor="accent5" w:themeShade="BF"/>
          <w:sz w:val="32"/>
          <w:szCs w:val="32"/>
        </w:rPr>
      </w:pPr>
      <w:r>
        <w:rPr>
          <w:rFonts w:ascii="Arial" w:hAnsi="Arial" w:cs="Arial"/>
          <w:color w:val="2F5496" w:themeColor="accent5" w:themeShade="BF"/>
          <w:sz w:val="32"/>
          <w:szCs w:val="32"/>
        </w:rPr>
        <w:br/>
      </w:r>
      <w:r w:rsidR="005568B1">
        <w:rPr>
          <w:rFonts w:ascii="Arial" w:hAnsi="Arial" w:cs="Arial"/>
          <w:color w:val="2F5496" w:themeColor="accent5" w:themeShade="BF"/>
          <w:sz w:val="32"/>
          <w:szCs w:val="32"/>
        </w:rPr>
        <w:t>U</w:t>
      </w:r>
      <w:r w:rsidR="005568B1" w:rsidRPr="009E7067">
        <w:rPr>
          <w:rFonts w:ascii="Arial" w:hAnsi="Arial" w:cs="Arial"/>
          <w:color w:val="2F5496" w:themeColor="accent5" w:themeShade="BF"/>
          <w:sz w:val="32"/>
          <w:szCs w:val="32"/>
        </w:rPr>
        <w:t>kazovatele aktivity</w:t>
      </w:r>
    </w:p>
    <w:p w:rsidR="00F06B5E" w:rsidRDefault="00F06B5E" w:rsidP="006C72AC">
      <w:pPr>
        <w:spacing w:line="276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sk-SK"/>
        </w:rPr>
        <w:drawing>
          <wp:inline distT="0" distB="0" distL="0" distR="0">
            <wp:extent cx="4717933" cy="2733675"/>
            <wp:effectExtent l="0" t="0" r="0" b="0"/>
            <wp:docPr id="42" name="Obrázo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2402" cy="2736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568B1" w:rsidRPr="008C5621" w:rsidRDefault="005568B1" w:rsidP="006C72AC">
      <w:pPr>
        <w:spacing w:line="276" w:lineRule="auto"/>
        <w:ind w:right="563"/>
        <w:jc w:val="both"/>
        <w:rPr>
          <w:rFonts w:ascii="Myriad Pro" w:hAnsi="Myriad Pro" w:cs="Arial"/>
          <w:b/>
          <w:smallCaps/>
          <w:color w:val="767171" w:themeColor="background2" w:themeShade="80"/>
          <w:sz w:val="28"/>
          <w:szCs w:val="28"/>
        </w:rPr>
      </w:pPr>
      <w:r w:rsidRPr="008C5621">
        <w:rPr>
          <w:rFonts w:ascii="Arial" w:hAnsi="Arial" w:cs="Arial"/>
          <w:sz w:val="24"/>
          <w:szCs w:val="24"/>
        </w:rPr>
        <w:lastRenderedPageBreak/>
        <w:t>Za  optimálnu dobu obratu zásob, inkasa pohľadávok a splatnosti záväzkov sa považuje  hodnota do 30 dní, hodnoty dosahované  v BYTTERM, a.s. za rok 201</w:t>
      </w:r>
      <w:r w:rsidR="00F06B5E">
        <w:rPr>
          <w:rFonts w:ascii="Arial" w:hAnsi="Arial" w:cs="Arial"/>
          <w:sz w:val="24"/>
          <w:szCs w:val="24"/>
        </w:rPr>
        <w:t>7</w:t>
      </w:r>
      <w:r w:rsidRPr="008C5621">
        <w:rPr>
          <w:rFonts w:ascii="Arial" w:hAnsi="Arial" w:cs="Arial"/>
          <w:sz w:val="24"/>
          <w:szCs w:val="24"/>
        </w:rPr>
        <w:t xml:space="preserve"> sú optimálne alebo prijateľné. Medziročne doba obratu zásob</w:t>
      </w:r>
      <w:r>
        <w:rPr>
          <w:rFonts w:ascii="Arial" w:hAnsi="Arial" w:cs="Arial"/>
          <w:sz w:val="24"/>
          <w:szCs w:val="24"/>
        </w:rPr>
        <w:t xml:space="preserve"> </w:t>
      </w:r>
      <w:r w:rsidR="00F06B5E">
        <w:rPr>
          <w:rFonts w:ascii="Arial" w:hAnsi="Arial" w:cs="Arial"/>
          <w:sz w:val="24"/>
          <w:szCs w:val="24"/>
        </w:rPr>
        <w:t>poklesla o 0,5</w:t>
      </w:r>
      <w:r w:rsidRPr="008C5621">
        <w:rPr>
          <w:rFonts w:ascii="Arial" w:hAnsi="Arial" w:cs="Arial"/>
          <w:sz w:val="24"/>
          <w:szCs w:val="24"/>
        </w:rPr>
        <w:t xml:space="preserve"> dňa</w:t>
      </w:r>
      <w:r w:rsidR="00F06B5E">
        <w:rPr>
          <w:rFonts w:ascii="Arial" w:hAnsi="Arial" w:cs="Arial"/>
          <w:sz w:val="24"/>
          <w:szCs w:val="24"/>
        </w:rPr>
        <w:t>,</w:t>
      </w:r>
      <w:r w:rsidRPr="008C5621">
        <w:rPr>
          <w:rFonts w:ascii="Arial" w:hAnsi="Arial" w:cs="Arial"/>
          <w:sz w:val="24"/>
          <w:szCs w:val="24"/>
        </w:rPr>
        <w:t xml:space="preserve"> </w:t>
      </w:r>
      <w:r w:rsidR="00F06B5E">
        <w:rPr>
          <w:rFonts w:ascii="Arial" w:hAnsi="Arial" w:cs="Arial"/>
          <w:sz w:val="24"/>
          <w:szCs w:val="24"/>
        </w:rPr>
        <w:t>d</w:t>
      </w:r>
      <w:r w:rsidRPr="008C5621">
        <w:rPr>
          <w:rFonts w:ascii="Arial" w:hAnsi="Arial" w:cs="Arial"/>
          <w:sz w:val="24"/>
          <w:szCs w:val="24"/>
        </w:rPr>
        <w:t>oba inkasa pohľadávok poklesla o</w:t>
      </w:r>
      <w:r w:rsidR="00F06B5E">
        <w:rPr>
          <w:rFonts w:ascii="Arial" w:hAnsi="Arial" w:cs="Arial"/>
          <w:sz w:val="24"/>
          <w:szCs w:val="24"/>
        </w:rPr>
        <w:t> 15,7</w:t>
      </w:r>
      <w:r w:rsidRPr="008C5621">
        <w:rPr>
          <w:rFonts w:ascii="Arial" w:hAnsi="Arial" w:cs="Arial"/>
          <w:sz w:val="24"/>
          <w:szCs w:val="24"/>
        </w:rPr>
        <w:t xml:space="preserve"> </w:t>
      </w:r>
      <w:r w:rsidR="00F06B5E">
        <w:rPr>
          <w:rFonts w:ascii="Arial" w:hAnsi="Arial" w:cs="Arial"/>
          <w:sz w:val="24"/>
          <w:szCs w:val="24"/>
        </w:rPr>
        <w:t>dňa</w:t>
      </w:r>
      <w:r w:rsidRPr="008C5621">
        <w:rPr>
          <w:rFonts w:ascii="Arial" w:hAnsi="Arial" w:cs="Arial"/>
          <w:sz w:val="24"/>
          <w:szCs w:val="24"/>
        </w:rPr>
        <w:t xml:space="preserve"> a doba splatnosti záväzkov </w:t>
      </w:r>
      <w:r w:rsidR="00F06B5E">
        <w:rPr>
          <w:rFonts w:ascii="Arial" w:hAnsi="Arial" w:cs="Arial"/>
          <w:sz w:val="24"/>
          <w:szCs w:val="24"/>
        </w:rPr>
        <w:t>poklesla</w:t>
      </w:r>
      <w:r w:rsidRPr="008C5621">
        <w:rPr>
          <w:rFonts w:ascii="Arial" w:hAnsi="Arial" w:cs="Arial"/>
          <w:sz w:val="24"/>
          <w:szCs w:val="24"/>
        </w:rPr>
        <w:t xml:space="preserve"> o</w:t>
      </w:r>
      <w:r w:rsidR="00F06B5E">
        <w:rPr>
          <w:rFonts w:ascii="Arial" w:hAnsi="Arial" w:cs="Arial"/>
          <w:sz w:val="24"/>
          <w:szCs w:val="24"/>
        </w:rPr>
        <w:t> 1,9</w:t>
      </w:r>
      <w:r w:rsidRPr="008C5621">
        <w:rPr>
          <w:rFonts w:ascii="Arial" w:hAnsi="Arial" w:cs="Arial"/>
          <w:sz w:val="24"/>
          <w:szCs w:val="24"/>
        </w:rPr>
        <w:t xml:space="preserve"> dňa.</w:t>
      </w:r>
    </w:p>
    <w:p w:rsidR="005568B1" w:rsidRPr="008C5621" w:rsidRDefault="005568B1" w:rsidP="006C72AC">
      <w:pPr>
        <w:spacing w:line="276" w:lineRule="auto"/>
        <w:ind w:right="563"/>
        <w:jc w:val="both"/>
        <w:rPr>
          <w:rFonts w:ascii="Myriad Pro" w:hAnsi="Myriad Pro" w:cs="Arial"/>
          <w:b/>
          <w:smallCaps/>
          <w:color w:val="767171" w:themeColor="background2" w:themeShade="80"/>
          <w:sz w:val="28"/>
          <w:szCs w:val="28"/>
        </w:rPr>
      </w:pPr>
    </w:p>
    <w:p w:rsidR="005568B1" w:rsidRPr="009E7067" w:rsidRDefault="005568B1" w:rsidP="006C72AC">
      <w:pPr>
        <w:spacing w:line="276" w:lineRule="auto"/>
        <w:ind w:right="563"/>
        <w:jc w:val="both"/>
        <w:rPr>
          <w:rFonts w:ascii="Arial" w:hAnsi="Arial" w:cs="Arial"/>
          <w:color w:val="2F5496" w:themeColor="accent5" w:themeShade="BF"/>
          <w:sz w:val="32"/>
          <w:szCs w:val="32"/>
        </w:rPr>
      </w:pPr>
      <w:r>
        <w:rPr>
          <w:rFonts w:ascii="Arial" w:hAnsi="Arial" w:cs="Arial"/>
          <w:color w:val="2F5496" w:themeColor="accent5" w:themeShade="BF"/>
          <w:sz w:val="32"/>
          <w:szCs w:val="32"/>
        </w:rPr>
        <w:t>Z</w:t>
      </w:r>
      <w:r w:rsidRPr="009E7067">
        <w:rPr>
          <w:rFonts w:ascii="Arial" w:hAnsi="Arial" w:cs="Arial"/>
          <w:color w:val="2F5496" w:themeColor="accent5" w:themeShade="BF"/>
          <w:sz w:val="32"/>
          <w:szCs w:val="32"/>
        </w:rPr>
        <w:t>jednodušený prehľad o finančných tokoch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80"/>
        <w:gridCol w:w="295"/>
        <w:gridCol w:w="2135"/>
      </w:tblGrid>
      <w:tr w:rsidR="005568B1" w:rsidRPr="008C5621" w:rsidTr="005568B1">
        <w:trPr>
          <w:trHeight w:val="255"/>
        </w:trPr>
        <w:tc>
          <w:tcPr>
            <w:tcW w:w="38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68B1" w:rsidRPr="008C5621" w:rsidRDefault="005568B1" w:rsidP="00F06B5E">
            <w:pPr>
              <w:spacing w:after="0" w:line="276" w:lineRule="auto"/>
              <w:rPr>
                <w:rFonts w:ascii="Arial" w:hAnsi="Arial" w:cs="Arial"/>
                <w:lang w:eastAsia="sk-SK"/>
              </w:rPr>
            </w:pPr>
            <w:r w:rsidRPr="008C5621">
              <w:rPr>
                <w:rFonts w:ascii="Arial" w:hAnsi="Arial" w:cs="Arial"/>
                <w:lang w:eastAsia="sk-SK"/>
              </w:rPr>
              <w:t xml:space="preserve">stav peňažných prostriedkov </w:t>
            </w:r>
            <w:r w:rsidRPr="008C5621">
              <w:rPr>
                <w:rFonts w:ascii="Arial" w:hAnsi="Arial" w:cs="Arial"/>
                <w:b/>
                <w:lang w:eastAsia="sk-SK"/>
              </w:rPr>
              <w:t>k 1.1.201</w:t>
            </w:r>
            <w:r w:rsidR="00F06B5E">
              <w:rPr>
                <w:rFonts w:ascii="Arial" w:hAnsi="Arial" w:cs="Arial"/>
                <w:b/>
                <w:lang w:eastAsia="sk-SK"/>
              </w:rPr>
              <w:t>7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68B1" w:rsidRPr="008C5621" w:rsidRDefault="00F06B5E" w:rsidP="006C72AC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>983 669</w:t>
            </w:r>
          </w:p>
        </w:tc>
      </w:tr>
      <w:tr w:rsidR="005568B1" w:rsidRPr="008C5621" w:rsidTr="005568B1">
        <w:trPr>
          <w:trHeight w:val="255"/>
        </w:trPr>
        <w:tc>
          <w:tcPr>
            <w:tcW w:w="38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68B1" w:rsidRPr="008C5621" w:rsidRDefault="005568B1" w:rsidP="006C72AC">
            <w:pPr>
              <w:spacing w:after="0" w:line="276" w:lineRule="auto"/>
              <w:rPr>
                <w:rFonts w:ascii="Arial" w:hAnsi="Arial" w:cs="Arial"/>
                <w:lang w:eastAsia="sk-SK"/>
              </w:rPr>
            </w:pPr>
            <w:r w:rsidRPr="008C5621">
              <w:rPr>
                <w:rFonts w:ascii="Arial" w:hAnsi="Arial" w:cs="Arial"/>
                <w:lang w:eastAsia="sk-SK"/>
              </w:rPr>
              <w:t>peňažné toky z prevádzkovej činnosti</w:t>
            </w:r>
          </w:p>
        </w:tc>
        <w:tc>
          <w:tcPr>
            <w:tcW w:w="1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68B1" w:rsidRPr="008C5621" w:rsidRDefault="00280F5F" w:rsidP="006C72AC">
            <w:pPr>
              <w:spacing w:after="0" w:line="276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1 849 744</w:t>
            </w:r>
          </w:p>
        </w:tc>
      </w:tr>
      <w:tr w:rsidR="005568B1" w:rsidRPr="008C5621" w:rsidTr="005568B1">
        <w:trPr>
          <w:trHeight w:val="255"/>
        </w:trPr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568B1" w:rsidRPr="008C5621" w:rsidRDefault="005568B1" w:rsidP="006C72AC">
            <w:pPr>
              <w:spacing w:after="0" w:line="276" w:lineRule="auto"/>
              <w:rPr>
                <w:rFonts w:ascii="Arial" w:hAnsi="Arial" w:cs="Arial"/>
                <w:lang w:eastAsia="sk-SK"/>
              </w:rPr>
            </w:pPr>
            <w:r w:rsidRPr="008C5621">
              <w:rPr>
                <w:rFonts w:ascii="Arial" w:hAnsi="Arial" w:cs="Arial"/>
                <w:lang w:eastAsia="sk-SK"/>
              </w:rPr>
              <w:t>peňažné toky z investičnej činnosti</w:t>
            </w:r>
          </w:p>
        </w:tc>
        <w:tc>
          <w:tcPr>
            <w:tcW w:w="1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68B1" w:rsidRPr="008C5621" w:rsidRDefault="005568B1" w:rsidP="006C72AC">
            <w:pPr>
              <w:spacing w:after="0" w:line="276" w:lineRule="auto"/>
              <w:rPr>
                <w:rFonts w:ascii="Arial" w:hAnsi="Arial" w:cs="Arial"/>
                <w:lang w:eastAsia="sk-SK"/>
              </w:rPr>
            </w:pPr>
            <w:r w:rsidRPr="008C562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68B1" w:rsidRPr="008C5621" w:rsidRDefault="00280F5F" w:rsidP="006C72AC">
            <w:pPr>
              <w:spacing w:after="0" w:line="276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-994 334</w:t>
            </w:r>
          </w:p>
        </w:tc>
      </w:tr>
      <w:tr w:rsidR="005568B1" w:rsidRPr="008C5621" w:rsidTr="005568B1">
        <w:trPr>
          <w:trHeight w:val="255"/>
        </w:trPr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568B1" w:rsidRPr="008C5621" w:rsidRDefault="005568B1" w:rsidP="006C72AC">
            <w:pPr>
              <w:spacing w:after="0" w:line="276" w:lineRule="auto"/>
              <w:rPr>
                <w:rFonts w:ascii="Arial" w:hAnsi="Arial" w:cs="Arial"/>
                <w:lang w:eastAsia="sk-SK"/>
              </w:rPr>
            </w:pPr>
            <w:r w:rsidRPr="008C5621">
              <w:rPr>
                <w:rFonts w:ascii="Arial" w:hAnsi="Arial" w:cs="Arial"/>
                <w:lang w:eastAsia="sk-SK"/>
              </w:rPr>
              <w:t>peňažné toky z finančnej činnosti</w:t>
            </w:r>
          </w:p>
        </w:tc>
        <w:tc>
          <w:tcPr>
            <w:tcW w:w="1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68B1" w:rsidRPr="008C5621" w:rsidRDefault="005568B1" w:rsidP="006C72AC">
            <w:pPr>
              <w:spacing w:after="0" w:line="276" w:lineRule="auto"/>
              <w:rPr>
                <w:rFonts w:ascii="Arial" w:hAnsi="Arial" w:cs="Arial"/>
                <w:lang w:eastAsia="sk-SK"/>
              </w:rPr>
            </w:pPr>
            <w:r w:rsidRPr="008C562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68B1" w:rsidRPr="008C5621" w:rsidRDefault="00280F5F" w:rsidP="006C72AC">
            <w:pPr>
              <w:spacing w:after="0" w:line="276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-90 990</w:t>
            </w:r>
          </w:p>
        </w:tc>
      </w:tr>
      <w:tr w:rsidR="005568B1" w:rsidRPr="008C5621" w:rsidTr="005568B1">
        <w:trPr>
          <w:trHeight w:val="255"/>
        </w:trPr>
        <w:tc>
          <w:tcPr>
            <w:tcW w:w="38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68B1" w:rsidRPr="008C5621" w:rsidRDefault="005568B1" w:rsidP="00280F5F">
            <w:pPr>
              <w:spacing w:after="0" w:line="276" w:lineRule="auto"/>
              <w:rPr>
                <w:rFonts w:ascii="Arial" w:hAnsi="Arial" w:cs="Arial"/>
                <w:lang w:eastAsia="sk-SK"/>
              </w:rPr>
            </w:pPr>
            <w:r w:rsidRPr="008C5621">
              <w:rPr>
                <w:rFonts w:ascii="Arial" w:hAnsi="Arial" w:cs="Arial"/>
                <w:lang w:eastAsia="sk-SK"/>
              </w:rPr>
              <w:t xml:space="preserve">stav peňažných prostriedkov </w:t>
            </w:r>
            <w:r w:rsidRPr="008C5621">
              <w:rPr>
                <w:rFonts w:ascii="Arial" w:hAnsi="Arial" w:cs="Arial"/>
                <w:b/>
                <w:lang w:eastAsia="sk-SK"/>
              </w:rPr>
              <w:t>k 31.12.201</w:t>
            </w:r>
            <w:r w:rsidR="00280F5F">
              <w:rPr>
                <w:rFonts w:ascii="Arial" w:hAnsi="Arial" w:cs="Arial"/>
                <w:b/>
                <w:lang w:eastAsia="sk-SK"/>
              </w:rPr>
              <w:t>7</w:t>
            </w:r>
          </w:p>
        </w:tc>
        <w:tc>
          <w:tcPr>
            <w:tcW w:w="1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68B1" w:rsidRPr="008C5621" w:rsidRDefault="00F06B5E" w:rsidP="006C72AC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>1 748 089</w:t>
            </w:r>
          </w:p>
        </w:tc>
      </w:tr>
    </w:tbl>
    <w:p w:rsidR="005568B1" w:rsidRPr="008C5621" w:rsidRDefault="005568B1" w:rsidP="006C72AC">
      <w:pPr>
        <w:spacing w:line="276" w:lineRule="auto"/>
        <w:rPr>
          <w:rFonts w:ascii="MyriadPro-Regular" w:hAnsi="MyriadPro-Regular" w:cs="MyriadPro-Regular"/>
        </w:rPr>
      </w:pPr>
    </w:p>
    <w:p w:rsidR="005568B1" w:rsidRPr="008C5621" w:rsidRDefault="005568B1" w:rsidP="006C72AC">
      <w:pPr>
        <w:spacing w:line="276" w:lineRule="auto"/>
        <w:rPr>
          <w:rFonts w:ascii="Arial" w:hAnsi="Arial" w:cs="Arial"/>
        </w:rPr>
      </w:pPr>
      <w:r w:rsidRPr="008C5621">
        <w:rPr>
          <w:rFonts w:ascii="MyriadPro-Regular" w:hAnsi="MyriadPro-Regular" w:cs="MyriadPro-Regular"/>
        </w:rPr>
        <w:t>Údaje sú uvádzané v €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C5621">
        <w:rPr>
          <w:rFonts w:ascii="Arial" w:hAnsi="Arial" w:cs="Arial"/>
          <w:sz w:val="24"/>
          <w:szCs w:val="24"/>
        </w:rPr>
        <w:t>Výplatu kúpnej ceny za nadobudnuté vlastné akcie zahŕňajú peňažné toky z </w:t>
      </w:r>
      <w:r>
        <w:rPr>
          <w:rFonts w:ascii="Arial" w:hAnsi="Arial" w:cs="Arial"/>
          <w:sz w:val="24"/>
          <w:szCs w:val="24"/>
        </w:rPr>
        <w:t>finančnej</w:t>
      </w:r>
      <w:r w:rsidRPr="008C5621">
        <w:rPr>
          <w:rFonts w:ascii="Arial" w:hAnsi="Arial" w:cs="Arial"/>
          <w:sz w:val="24"/>
          <w:szCs w:val="24"/>
        </w:rPr>
        <w:t xml:space="preserve"> činnosti.</w:t>
      </w:r>
    </w:p>
    <w:p w:rsidR="00F06B5E" w:rsidRDefault="00F06B5E" w:rsidP="006C72AC">
      <w:pPr>
        <w:pStyle w:val="nadpisybytterm"/>
        <w:spacing w:line="276" w:lineRule="auto"/>
        <w:rPr>
          <w:rFonts w:ascii="Arial" w:hAnsi="Arial" w:cs="Arial"/>
          <w:b w:val="0"/>
          <w:smallCaps/>
          <w:color w:val="538135" w:themeColor="accent6" w:themeShade="BF"/>
        </w:rPr>
      </w:pPr>
    </w:p>
    <w:p w:rsidR="005568B1" w:rsidRPr="005258DD" w:rsidRDefault="00DD3BB7" w:rsidP="006C72AC">
      <w:pPr>
        <w:pStyle w:val="nadpisybytterm"/>
        <w:spacing w:line="276" w:lineRule="auto"/>
      </w:pPr>
      <w:r w:rsidRPr="00DD3BB7">
        <w:rPr>
          <w:rFonts w:ascii="Arial" w:hAnsi="Arial" w:cs="Arial"/>
          <w:b w:val="0"/>
          <w:smallCaps/>
          <w:color w:val="538135" w:themeColor="accent6" w:themeShade="BF"/>
        </w:rPr>
        <w:t>predpokladaný</w:t>
      </w:r>
      <w:r>
        <w:rPr>
          <w:rFonts w:ascii="Arial" w:hAnsi="Arial" w:cs="Arial"/>
          <w:b w:val="0"/>
          <w:smallCaps/>
          <w:color w:val="538135" w:themeColor="accent6" w:themeShade="BF"/>
        </w:rPr>
        <w:t xml:space="preserve"> budúci vývoj</w:t>
      </w:r>
    </w:p>
    <w:p w:rsidR="00C97472" w:rsidRPr="00C97472" w:rsidRDefault="00C97472" w:rsidP="00C97472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C97472">
        <w:rPr>
          <w:rFonts w:ascii="Arial" w:hAnsi="Arial" w:cs="Arial"/>
          <w:sz w:val="24"/>
          <w:szCs w:val="24"/>
        </w:rPr>
        <w:t xml:space="preserve">V roku 2018 v tepelnom hospodárstve Bytterm, a.s. budú hlavnými témami podpísanie Zmluvy o spolupráci pri vytesňovaní pary so Žilinskou teplárenskou a následne v roku 2019 pristúpenie k výmene technológie primárneho okruhu siedmych výmenníkových staníc na sídlisku Solinky. </w:t>
      </w:r>
    </w:p>
    <w:p w:rsidR="00C97472" w:rsidRPr="00C97472" w:rsidRDefault="00C97472" w:rsidP="00C97472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C97472">
        <w:rPr>
          <w:rFonts w:ascii="Arial" w:hAnsi="Arial" w:cs="Arial"/>
          <w:sz w:val="24"/>
          <w:szCs w:val="24"/>
        </w:rPr>
        <w:t xml:space="preserve">Ďalšou témou je pripájanie novej bytovej výstavby na dodávku ÚK a TÚV firmou BYTTERM, ako súčasti </w:t>
      </w:r>
      <w:r>
        <w:rPr>
          <w:rFonts w:ascii="Arial" w:hAnsi="Arial" w:cs="Arial"/>
          <w:sz w:val="24"/>
          <w:szCs w:val="24"/>
        </w:rPr>
        <w:t>centrálneho zásobovania teplom</w:t>
      </w:r>
      <w:r w:rsidRPr="00C97472">
        <w:rPr>
          <w:rFonts w:ascii="Arial" w:hAnsi="Arial" w:cs="Arial"/>
          <w:sz w:val="24"/>
          <w:szCs w:val="24"/>
        </w:rPr>
        <w:t xml:space="preserve"> , opierajúc   sa o nedávno prijatú energetickú koncepciu </w:t>
      </w:r>
      <w:r>
        <w:rPr>
          <w:rFonts w:ascii="Arial" w:hAnsi="Arial" w:cs="Arial"/>
          <w:sz w:val="24"/>
          <w:szCs w:val="24"/>
        </w:rPr>
        <w:t>m</w:t>
      </w:r>
      <w:r w:rsidRPr="00C97472">
        <w:rPr>
          <w:rFonts w:ascii="Arial" w:hAnsi="Arial" w:cs="Arial"/>
          <w:sz w:val="24"/>
          <w:szCs w:val="24"/>
        </w:rPr>
        <w:t>esta Žiliny. Začiatok projekčnej a zmluvnej fázy bude prebiehať prevažne v roku 2018, ale väčšia investičná a realizačná časť budovania nových výmenníkových staníc bude prebiehať v roku 2019. Táto činnosť nám pomôže vyrovnávať pokles regulačného príkonu spôsobeného zákonom definovaného hydraulického vyregulovania ÚK a zateplenia bytových domov</w:t>
      </w:r>
      <w:r>
        <w:rPr>
          <w:rFonts w:ascii="Arial" w:hAnsi="Arial" w:cs="Arial"/>
          <w:sz w:val="24"/>
          <w:szCs w:val="24"/>
        </w:rPr>
        <w:t>.</w:t>
      </w:r>
    </w:p>
    <w:p w:rsidR="00C97472" w:rsidRPr="00C97472" w:rsidRDefault="00C97472" w:rsidP="00C97472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C97472">
        <w:rPr>
          <w:rFonts w:ascii="Arial" w:hAnsi="Arial" w:cs="Arial"/>
          <w:sz w:val="24"/>
          <w:szCs w:val="24"/>
        </w:rPr>
        <w:t xml:space="preserve">V oblasti divízie správy majetku bude zásadné zabezpečiť podpísanie </w:t>
      </w:r>
      <w:r>
        <w:rPr>
          <w:rFonts w:ascii="Arial" w:hAnsi="Arial" w:cs="Arial"/>
          <w:sz w:val="24"/>
          <w:szCs w:val="24"/>
        </w:rPr>
        <w:t>d</w:t>
      </w:r>
      <w:r w:rsidRPr="00C97472">
        <w:rPr>
          <w:rFonts w:ascii="Arial" w:hAnsi="Arial" w:cs="Arial"/>
          <w:sz w:val="24"/>
          <w:szCs w:val="24"/>
        </w:rPr>
        <w:t>odatkov k zmluvám o výkone správy. Riziko nepodpísania  niektorých zmlúv, bude kompenzované prijatím novopostavených bytových domov do správy a.s. BYTTERM.</w:t>
      </w:r>
    </w:p>
    <w:p w:rsidR="00C97472" w:rsidRPr="00C97472" w:rsidRDefault="00C97472" w:rsidP="00C97472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C97472">
        <w:rPr>
          <w:rFonts w:ascii="Arial" w:hAnsi="Arial" w:cs="Arial"/>
          <w:sz w:val="24"/>
          <w:szCs w:val="24"/>
        </w:rPr>
        <w:t xml:space="preserve">Na základe legislatívy EÚ bude v roku 2020 zákonná povinnosť zavedenia diaľkových odpočtov vodomerov a PRVN. Následne v roku 2022 bude mať </w:t>
      </w:r>
      <w:r>
        <w:rPr>
          <w:rFonts w:ascii="Arial" w:hAnsi="Arial" w:cs="Arial"/>
          <w:sz w:val="24"/>
          <w:szCs w:val="24"/>
        </w:rPr>
        <w:t>správca</w:t>
      </w:r>
      <w:r w:rsidRPr="00C97472">
        <w:rPr>
          <w:rFonts w:ascii="Arial" w:hAnsi="Arial" w:cs="Arial"/>
          <w:sz w:val="24"/>
          <w:szCs w:val="24"/>
        </w:rPr>
        <w:t xml:space="preserve"> povinnosť zabezpečiť odpočty každé 2 mesiace. Na základe týchto skutočností pristúpi BYTTERM a.s. v roku 2018 k zavádzaniu diaľkových odpočtov a prenosu vodomerov súčasne s realizáciou výmeny rozvodov v bytových domoch a pri ciachu </w:t>
      </w:r>
      <w:r w:rsidRPr="00C97472">
        <w:rPr>
          <w:rFonts w:ascii="Arial" w:hAnsi="Arial" w:cs="Arial"/>
          <w:sz w:val="24"/>
          <w:szCs w:val="24"/>
        </w:rPr>
        <w:lastRenderedPageBreak/>
        <w:t xml:space="preserve">vodomerov. Následne  je potrebné zaviesť  </w:t>
      </w:r>
      <w:r>
        <w:rPr>
          <w:rFonts w:ascii="Arial" w:hAnsi="Arial" w:cs="Arial"/>
          <w:sz w:val="24"/>
          <w:szCs w:val="24"/>
        </w:rPr>
        <w:t>webovú</w:t>
      </w:r>
      <w:r w:rsidRPr="00C97472">
        <w:rPr>
          <w:rFonts w:ascii="Arial" w:hAnsi="Arial" w:cs="Arial"/>
          <w:sz w:val="24"/>
          <w:szCs w:val="24"/>
        </w:rPr>
        <w:t xml:space="preserve"> aplikáciu „POSCHODOCH“ na sprístupnenie týchto informácií ako služby pre obyvateľstvo.</w:t>
      </w:r>
    </w:p>
    <w:p w:rsidR="00C97472" w:rsidRPr="00C97472" w:rsidRDefault="00C97472" w:rsidP="00C97472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C97472">
        <w:rPr>
          <w:rFonts w:ascii="Arial" w:hAnsi="Arial" w:cs="Arial"/>
          <w:sz w:val="24"/>
          <w:szCs w:val="24"/>
        </w:rPr>
        <w:t>V roku 2018 musíme ďalej zaviesť  zvýšenie ochrany osobných údajov – GDPR definovaných smernicou EÚ.</w:t>
      </w:r>
    </w:p>
    <w:p w:rsidR="00C97472" w:rsidRPr="00C97472" w:rsidRDefault="00C97472" w:rsidP="00C97472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C97472">
        <w:rPr>
          <w:rFonts w:ascii="Arial" w:hAnsi="Arial" w:cs="Arial"/>
          <w:sz w:val="24"/>
          <w:szCs w:val="24"/>
        </w:rPr>
        <w:t>Divízia výroby</w:t>
      </w:r>
      <w:r>
        <w:rPr>
          <w:rFonts w:ascii="Arial" w:hAnsi="Arial" w:cs="Arial"/>
          <w:sz w:val="24"/>
          <w:szCs w:val="24"/>
        </w:rPr>
        <w:t xml:space="preserve"> a služieb</w:t>
      </w:r>
      <w:r w:rsidRPr="00C97472">
        <w:rPr>
          <w:rFonts w:ascii="Arial" w:hAnsi="Arial" w:cs="Arial"/>
          <w:sz w:val="24"/>
          <w:szCs w:val="24"/>
        </w:rPr>
        <w:t xml:space="preserve"> bude pokračovať v nastúpenom trende pri výmene rozvodov v bytových domoch </w:t>
      </w:r>
      <w:r>
        <w:rPr>
          <w:rFonts w:ascii="Arial" w:hAnsi="Arial" w:cs="Arial"/>
          <w:sz w:val="24"/>
          <w:szCs w:val="24"/>
        </w:rPr>
        <w:t xml:space="preserve">financovaných </w:t>
      </w:r>
      <w:r w:rsidRPr="00C97472">
        <w:rPr>
          <w:rFonts w:ascii="Arial" w:hAnsi="Arial" w:cs="Arial"/>
          <w:sz w:val="24"/>
          <w:szCs w:val="24"/>
        </w:rPr>
        <w:t>cez ŠFRB.</w:t>
      </w:r>
    </w:p>
    <w:p w:rsidR="00C97472" w:rsidRPr="00C97472" w:rsidRDefault="00C97472" w:rsidP="00C97472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C97472">
        <w:rPr>
          <w:rFonts w:ascii="Arial" w:hAnsi="Arial" w:cs="Arial"/>
          <w:sz w:val="24"/>
          <w:szCs w:val="24"/>
        </w:rPr>
        <w:t>Po odkúpení pozemku pod administratívnou budovou BYTTERM a.s. je nutné vysporiadať s </w:t>
      </w:r>
      <w:r>
        <w:rPr>
          <w:rFonts w:ascii="Arial" w:hAnsi="Arial" w:cs="Arial"/>
          <w:sz w:val="24"/>
          <w:szCs w:val="24"/>
        </w:rPr>
        <w:t>m</w:t>
      </w:r>
      <w:r w:rsidRPr="00C97472">
        <w:rPr>
          <w:rFonts w:ascii="Arial" w:hAnsi="Arial" w:cs="Arial"/>
          <w:sz w:val="24"/>
          <w:szCs w:val="24"/>
        </w:rPr>
        <w:t>estom Žilina adekvátnu majetkovú náhradu vzniknutej škody.</w:t>
      </w:r>
    </w:p>
    <w:p w:rsidR="00C97472" w:rsidRPr="00C97472" w:rsidRDefault="00C97472" w:rsidP="00C97472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C97472">
        <w:rPr>
          <w:rFonts w:ascii="Arial" w:hAnsi="Arial" w:cs="Arial"/>
          <w:sz w:val="24"/>
          <w:szCs w:val="24"/>
        </w:rPr>
        <w:t>Je dôležitá práca aj na nových rozvojových projektoch v súvislosti s využívaním potenciálu  nehnuteľného majetku a priestorov výmenníkových staníc po výmene ich technológie.</w:t>
      </w:r>
    </w:p>
    <w:p w:rsidR="005568B1" w:rsidRPr="00D036E7" w:rsidRDefault="005568B1" w:rsidP="00C97472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Default="005568B1" w:rsidP="006C72AC">
      <w:pPr>
        <w:spacing w:line="276" w:lineRule="auto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 w:rsidRPr="004D5EBF">
        <w:rPr>
          <w:rFonts w:ascii="Arial" w:hAnsi="Arial" w:cs="Arial"/>
          <w:smallCaps/>
          <w:color w:val="538135" w:themeColor="accent6" w:themeShade="BF"/>
          <w:sz w:val="36"/>
          <w:szCs w:val="36"/>
        </w:rPr>
        <w:t>doplňujúce informácie podľa § 20 zák. č. 431/2002 z.z. o</w:t>
      </w:r>
      <w:r>
        <w:rPr>
          <w:rFonts w:ascii="Arial" w:hAnsi="Arial" w:cs="Arial"/>
          <w:smallCaps/>
          <w:color w:val="538135" w:themeColor="accent6" w:themeShade="BF"/>
          <w:sz w:val="36"/>
          <w:szCs w:val="36"/>
        </w:rPr>
        <w:t> </w:t>
      </w:r>
      <w:r w:rsidRPr="004D5EBF">
        <w:rPr>
          <w:rFonts w:ascii="Arial" w:hAnsi="Arial" w:cs="Arial"/>
          <w:smallCaps/>
          <w:color w:val="538135" w:themeColor="accent6" w:themeShade="BF"/>
          <w:sz w:val="36"/>
          <w:szCs w:val="36"/>
        </w:rPr>
        <w:t>účtovníctve</w:t>
      </w:r>
    </w:p>
    <w:p w:rsidR="005568B1" w:rsidRPr="008C562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C5621">
        <w:rPr>
          <w:rFonts w:ascii="Arial" w:hAnsi="Arial" w:cs="Arial"/>
          <w:sz w:val="24"/>
          <w:szCs w:val="24"/>
        </w:rPr>
        <w:t>b) Od ukončenia účtovného obdobia, za ktoré sa vyhotovuje výročná správa, nenastali   v spoločnosti žiadne udalosti osobitného významu.</w:t>
      </w:r>
    </w:p>
    <w:p w:rsidR="005568B1" w:rsidRPr="008C562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C5621">
        <w:rPr>
          <w:rFonts w:ascii="Arial" w:hAnsi="Arial" w:cs="Arial"/>
          <w:sz w:val="24"/>
          <w:szCs w:val="24"/>
        </w:rPr>
        <w:t>d) Spoločnosť v účtovnom období 201</w:t>
      </w:r>
      <w:r w:rsidR="00C97472">
        <w:rPr>
          <w:rFonts w:ascii="Arial" w:hAnsi="Arial" w:cs="Arial"/>
          <w:sz w:val="24"/>
          <w:szCs w:val="24"/>
        </w:rPr>
        <w:t>7</w:t>
      </w:r>
      <w:r w:rsidRPr="008C5621">
        <w:rPr>
          <w:rFonts w:ascii="Arial" w:hAnsi="Arial" w:cs="Arial"/>
          <w:sz w:val="24"/>
          <w:szCs w:val="24"/>
        </w:rPr>
        <w:t xml:space="preserve"> neúčtovala o nákladoch na činnosti v oblasti výskumu a vývoja.</w:t>
      </w:r>
    </w:p>
    <w:p w:rsidR="005568B1" w:rsidRPr="008C562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C5621">
        <w:rPr>
          <w:rFonts w:ascii="Arial" w:hAnsi="Arial" w:cs="Arial"/>
          <w:sz w:val="24"/>
          <w:szCs w:val="24"/>
        </w:rPr>
        <w:t>e) V roku 201</w:t>
      </w:r>
      <w:r w:rsidR="00C97472">
        <w:rPr>
          <w:rFonts w:ascii="Arial" w:hAnsi="Arial" w:cs="Arial"/>
          <w:sz w:val="24"/>
          <w:szCs w:val="24"/>
        </w:rPr>
        <w:t>7</w:t>
      </w:r>
      <w:r w:rsidRPr="008C5621">
        <w:rPr>
          <w:rFonts w:ascii="Arial" w:hAnsi="Arial" w:cs="Arial"/>
          <w:sz w:val="24"/>
          <w:szCs w:val="24"/>
        </w:rPr>
        <w:t xml:space="preserve"> spoločnosť umorila </w:t>
      </w:r>
      <w:r w:rsidR="00C97472">
        <w:rPr>
          <w:rFonts w:ascii="Arial" w:hAnsi="Arial" w:cs="Arial"/>
          <w:sz w:val="24"/>
          <w:szCs w:val="24"/>
        </w:rPr>
        <w:t>2</w:t>
      </w:r>
      <w:r w:rsidRPr="008C5621">
        <w:rPr>
          <w:rFonts w:ascii="Arial" w:hAnsi="Arial" w:cs="Arial"/>
          <w:sz w:val="24"/>
          <w:szCs w:val="24"/>
        </w:rPr>
        <w:t xml:space="preserve"> ks vlastných akcií, čím znížila základné imanie  o</w:t>
      </w:r>
      <w:r>
        <w:rPr>
          <w:rFonts w:ascii="Arial" w:hAnsi="Arial" w:cs="Arial"/>
          <w:sz w:val="24"/>
          <w:szCs w:val="24"/>
        </w:rPr>
        <w:t> </w:t>
      </w:r>
      <w:r w:rsidR="00C97472">
        <w:rPr>
          <w:rFonts w:ascii="Arial" w:hAnsi="Arial" w:cs="Arial"/>
          <w:sz w:val="24"/>
          <w:szCs w:val="24"/>
        </w:rPr>
        <w:t>664</w:t>
      </w:r>
      <w:r w:rsidRPr="008C5621">
        <w:rPr>
          <w:rFonts w:ascii="Arial" w:hAnsi="Arial" w:cs="Arial"/>
          <w:sz w:val="24"/>
          <w:szCs w:val="24"/>
        </w:rPr>
        <w:t xml:space="preserve"> EUR . Okrem toho spoločnosť v účtovnom období 201</w:t>
      </w:r>
      <w:r w:rsidR="00562729">
        <w:rPr>
          <w:rFonts w:ascii="Arial" w:hAnsi="Arial" w:cs="Arial"/>
          <w:sz w:val="24"/>
          <w:szCs w:val="24"/>
        </w:rPr>
        <w:t>7</w:t>
      </w:r>
      <w:r w:rsidRPr="008C5621">
        <w:rPr>
          <w:rFonts w:ascii="Arial" w:hAnsi="Arial" w:cs="Arial"/>
          <w:sz w:val="24"/>
          <w:szCs w:val="24"/>
        </w:rPr>
        <w:t xml:space="preserve"> nadobudla od svojich akcionárov na základe zml</w:t>
      </w:r>
      <w:r>
        <w:rPr>
          <w:rFonts w:ascii="Arial" w:hAnsi="Arial" w:cs="Arial"/>
          <w:sz w:val="24"/>
          <w:szCs w:val="24"/>
        </w:rPr>
        <w:t>uvy</w:t>
      </w:r>
      <w:r w:rsidRPr="008C5621">
        <w:rPr>
          <w:rFonts w:ascii="Arial" w:hAnsi="Arial" w:cs="Arial"/>
          <w:sz w:val="24"/>
          <w:szCs w:val="24"/>
        </w:rPr>
        <w:t xml:space="preserve"> o prevode akcií  </w:t>
      </w:r>
      <w:r w:rsidR="00C97472">
        <w:rPr>
          <w:rFonts w:ascii="Arial" w:hAnsi="Arial" w:cs="Arial"/>
          <w:sz w:val="24"/>
          <w:szCs w:val="24"/>
        </w:rPr>
        <w:t xml:space="preserve">26 </w:t>
      </w:r>
      <w:r w:rsidRPr="008C5621">
        <w:rPr>
          <w:rFonts w:ascii="Arial" w:hAnsi="Arial" w:cs="Arial"/>
          <w:sz w:val="24"/>
          <w:szCs w:val="24"/>
        </w:rPr>
        <w:t>ks vlastných akcií, o ktorých k 31.12.201</w:t>
      </w:r>
      <w:r w:rsidR="00C97472">
        <w:rPr>
          <w:rFonts w:ascii="Arial" w:hAnsi="Arial" w:cs="Arial"/>
          <w:sz w:val="24"/>
          <w:szCs w:val="24"/>
        </w:rPr>
        <w:t>7</w:t>
      </w:r>
      <w:r w:rsidRPr="008C5621">
        <w:rPr>
          <w:rFonts w:ascii="Arial" w:hAnsi="Arial" w:cs="Arial"/>
          <w:sz w:val="24"/>
          <w:szCs w:val="24"/>
        </w:rPr>
        <w:t xml:space="preserve"> účtuje na účte 252-01 – Vlastné akcie. Odkúpené akcie spoločnosť v zmysle Stanov akciovej spoločnosti BYTTERM, a.s. </w:t>
      </w:r>
      <w:r w:rsidR="00C97472">
        <w:rPr>
          <w:rFonts w:ascii="Arial" w:hAnsi="Arial" w:cs="Arial"/>
          <w:sz w:val="24"/>
          <w:szCs w:val="24"/>
        </w:rPr>
        <w:t>od</w:t>
      </w:r>
      <w:r w:rsidRPr="008C5621">
        <w:rPr>
          <w:rFonts w:ascii="Arial" w:hAnsi="Arial" w:cs="Arial"/>
          <w:sz w:val="24"/>
          <w:szCs w:val="24"/>
        </w:rPr>
        <w:t xml:space="preserve">predá </w:t>
      </w:r>
      <w:r w:rsidR="00C97472">
        <w:rPr>
          <w:rFonts w:ascii="Arial" w:hAnsi="Arial" w:cs="Arial"/>
          <w:sz w:val="24"/>
          <w:szCs w:val="24"/>
        </w:rPr>
        <w:t xml:space="preserve">v roku 2018 za nominálnu hodnotu </w:t>
      </w:r>
      <w:r w:rsidRPr="008C5621">
        <w:rPr>
          <w:rFonts w:ascii="Arial" w:hAnsi="Arial" w:cs="Arial"/>
          <w:sz w:val="24"/>
          <w:szCs w:val="24"/>
        </w:rPr>
        <w:t>doterajším akcionárom.</w:t>
      </w:r>
    </w:p>
    <w:p w:rsidR="005568B1" w:rsidRPr="008C562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C5621">
        <w:rPr>
          <w:rFonts w:ascii="Arial" w:hAnsi="Arial" w:cs="Arial"/>
          <w:sz w:val="24"/>
          <w:szCs w:val="24"/>
        </w:rPr>
        <w:t>h) Spoločnosť nemá organizačnú zložku v zahraničí.</w:t>
      </w:r>
    </w:p>
    <w:p w:rsidR="005568B1" w:rsidRDefault="005568B1" w:rsidP="006C72A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4"/>
          <w:szCs w:val="24"/>
          <w:lang w:eastAsia="sk-SK"/>
        </w:rPr>
      </w:pPr>
    </w:p>
    <w:p w:rsidR="00AE1640" w:rsidRDefault="00AE1640" w:rsidP="006C72A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4"/>
          <w:szCs w:val="24"/>
          <w:lang w:eastAsia="sk-SK"/>
        </w:rPr>
      </w:pPr>
    </w:p>
    <w:p w:rsidR="005568B1" w:rsidRPr="008C5621" w:rsidRDefault="005568B1" w:rsidP="006C72A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8C5621">
        <w:rPr>
          <w:rFonts w:ascii="Arial" w:hAnsi="Arial" w:cs="Arial"/>
          <w:sz w:val="24"/>
          <w:szCs w:val="24"/>
          <w:lang w:eastAsia="sk-SK"/>
        </w:rPr>
        <w:t xml:space="preserve">V Žiline, </w:t>
      </w:r>
      <w:r w:rsidR="00C97472">
        <w:rPr>
          <w:rFonts w:ascii="Arial" w:hAnsi="Arial" w:cs="Arial"/>
          <w:sz w:val="24"/>
          <w:szCs w:val="24"/>
          <w:lang w:eastAsia="sk-SK"/>
        </w:rPr>
        <w:t>2</w:t>
      </w:r>
      <w:r w:rsidR="00DC44CE">
        <w:rPr>
          <w:rFonts w:ascii="Arial" w:hAnsi="Arial" w:cs="Arial"/>
          <w:sz w:val="24"/>
          <w:szCs w:val="24"/>
          <w:lang w:eastAsia="sk-SK"/>
        </w:rPr>
        <w:t>8</w:t>
      </w:r>
      <w:r w:rsidR="00C97472">
        <w:rPr>
          <w:rFonts w:ascii="Arial" w:hAnsi="Arial" w:cs="Arial"/>
          <w:sz w:val="24"/>
          <w:szCs w:val="24"/>
          <w:lang w:eastAsia="sk-SK"/>
        </w:rPr>
        <w:t>.3.2018</w:t>
      </w:r>
    </w:p>
    <w:p w:rsidR="005568B1" w:rsidRPr="008C5621" w:rsidRDefault="005568B1" w:rsidP="006C72AC">
      <w:pPr>
        <w:tabs>
          <w:tab w:val="left" w:pos="1680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Pr="008C5621" w:rsidRDefault="005568B1" w:rsidP="006C72AC">
      <w:pPr>
        <w:tabs>
          <w:tab w:val="left" w:pos="1680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Pr="008C5621" w:rsidRDefault="00DC44CE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</w:t>
      </w:r>
      <w:r w:rsidR="005568B1" w:rsidRPr="008C5621">
        <w:rPr>
          <w:rFonts w:ascii="Arial" w:hAnsi="Arial" w:cs="Arial"/>
          <w:sz w:val="24"/>
          <w:szCs w:val="24"/>
        </w:rPr>
        <w:t xml:space="preserve">Ing. Milan Kováč    </w:t>
      </w:r>
      <w:r w:rsidR="00C75130">
        <w:rPr>
          <w:rFonts w:ascii="Arial" w:hAnsi="Arial" w:cs="Arial"/>
          <w:sz w:val="24"/>
          <w:szCs w:val="24"/>
        </w:rPr>
        <w:t xml:space="preserve"> </w:t>
      </w:r>
      <w:r w:rsidR="005568B1" w:rsidRPr="008C562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Bc. Zuzana Klottonová</w:t>
      </w:r>
      <w:r w:rsidR="005568B1" w:rsidRPr="008C5621">
        <w:rPr>
          <w:rFonts w:ascii="Arial" w:hAnsi="Arial" w:cs="Arial"/>
          <w:sz w:val="24"/>
          <w:szCs w:val="24"/>
        </w:rPr>
        <w:t xml:space="preserve"> </w:t>
      </w:r>
      <w:r w:rsidR="00C75130">
        <w:rPr>
          <w:rFonts w:ascii="Arial" w:hAnsi="Arial" w:cs="Arial"/>
          <w:sz w:val="24"/>
          <w:szCs w:val="24"/>
        </w:rPr>
        <w:t xml:space="preserve">   </w:t>
      </w:r>
      <w:r w:rsidR="005568B1" w:rsidRPr="008C5621">
        <w:rPr>
          <w:rFonts w:ascii="Arial" w:hAnsi="Arial" w:cs="Arial"/>
          <w:sz w:val="24"/>
          <w:szCs w:val="24"/>
        </w:rPr>
        <w:t xml:space="preserve"> Ing. Richard Zelina  </w:t>
      </w:r>
    </w:p>
    <w:p w:rsidR="00AE1640" w:rsidRDefault="005568B1" w:rsidP="00224603">
      <w:pPr>
        <w:spacing w:line="276" w:lineRule="auto"/>
        <w:rPr>
          <w:rFonts w:ascii="Arial" w:hAnsi="Arial" w:cs="Arial"/>
          <w:sz w:val="24"/>
          <w:szCs w:val="24"/>
        </w:rPr>
      </w:pPr>
      <w:r w:rsidRPr="008C5621">
        <w:rPr>
          <w:rFonts w:ascii="Arial" w:hAnsi="Arial" w:cs="Arial"/>
          <w:sz w:val="24"/>
          <w:szCs w:val="24"/>
        </w:rPr>
        <w:tab/>
      </w:r>
      <w:r w:rsidRPr="008C5621">
        <w:rPr>
          <w:rFonts w:ascii="Arial" w:hAnsi="Arial" w:cs="Arial"/>
          <w:sz w:val="24"/>
          <w:szCs w:val="24"/>
        </w:rPr>
        <w:tab/>
      </w:r>
      <w:r w:rsidR="00DC44CE">
        <w:rPr>
          <w:rFonts w:ascii="Arial" w:hAnsi="Arial" w:cs="Arial"/>
          <w:sz w:val="24"/>
          <w:szCs w:val="24"/>
        </w:rPr>
        <w:t xml:space="preserve">    </w:t>
      </w:r>
      <w:r w:rsidRPr="008C5621">
        <w:rPr>
          <w:rFonts w:ascii="Arial" w:hAnsi="Arial" w:cs="Arial"/>
          <w:sz w:val="24"/>
          <w:szCs w:val="24"/>
        </w:rPr>
        <w:t xml:space="preserve">predseda predstav.  </w:t>
      </w:r>
      <w:r w:rsidR="00DC44CE">
        <w:rPr>
          <w:rFonts w:ascii="Arial" w:hAnsi="Arial" w:cs="Arial"/>
          <w:sz w:val="24"/>
          <w:szCs w:val="24"/>
        </w:rPr>
        <w:t>podpredseda</w:t>
      </w:r>
      <w:r w:rsidRPr="008C5621">
        <w:rPr>
          <w:rFonts w:ascii="Arial" w:hAnsi="Arial" w:cs="Arial"/>
          <w:sz w:val="24"/>
          <w:szCs w:val="24"/>
        </w:rPr>
        <w:t xml:space="preserve"> predstav.</w:t>
      </w:r>
      <w:r>
        <w:rPr>
          <w:rFonts w:ascii="Arial" w:hAnsi="Arial" w:cs="Arial"/>
          <w:sz w:val="24"/>
          <w:szCs w:val="24"/>
        </w:rPr>
        <w:tab/>
      </w:r>
      <w:r w:rsidR="00DC44CE">
        <w:rPr>
          <w:rFonts w:ascii="Arial" w:hAnsi="Arial" w:cs="Arial"/>
          <w:sz w:val="24"/>
          <w:szCs w:val="24"/>
        </w:rPr>
        <w:t xml:space="preserve">    </w:t>
      </w:r>
      <w:r w:rsidRPr="008C5621">
        <w:rPr>
          <w:rFonts w:ascii="Arial" w:hAnsi="Arial" w:cs="Arial"/>
          <w:sz w:val="24"/>
          <w:szCs w:val="24"/>
        </w:rPr>
        <w:t>člen</w:t>
      </w:r>
      <w:r w:rsidR="00DC44CE">
        <w:rPr>
          <w:rFonts w:ascii="Arial" w:hAnsi="Arial" w:cs="Arial"/>
          <w:sz w:val="24"/>
          <w:szCs w:val="24"/>
        </w:rPr>
        <w:t xml:space="preserve"> p</w:t>
      </w:r>
      <w:r w:rsidRPr="008C5621">
        <w:rPr>
          <w:rFonts w:ascii="Arial" w:hAnsi="Arial" w:cs="Arial"/>
          <w:sz w:val="24"/>
          <w:szCs w:val="24"/>
        </w:rPr>
        <w:t>redstavenstva</w:t>
      </w:r>
    </w:p>
    <w:p w:rsidR="009D33BC" w:rsidRPr="00224603" w:rsidRDefault="009D33BC" w:rsidP="00224603">
      <w:pPr>
        <w:spacing w:line="276" w:lineRule="auto"/>
        <w:rPr>
          <w:rFonts w:ascii="Myriad Pro" w:hAnsi="Myriad Pro" w:cs="Arial"/>
          <w:b/>
          <w:smallCaps/>
          <w:color w:val="385623" w:themeColor="accent6" w:themeShade="80"/>
          <w:sz w:val="32"/>
          <w:szCs w:val="32"/>
        </w:rPr>
      </w:pPr>
    </w:p>
    <w:sectPr w:rsidR="009D33BC" w:rsidRPr="00224603" w:rsidSect="00606585">
      <w:headerReference w:type="default" r:id="rId38"/>
      <w:pgSz w:w="11906" w:h="16838"/>
      <w:pgMar w:top="1134" w:right="1418" w:bottom="1418" w:left="1418" w:header="136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44E5" w:rsidRDefault="001244E5" w:rsidP="00D92749">
      <w:pPr>
        <w:spacing w:after="0" w:line="240" w:lineRule="auto"/>
      </w:pPr>
      <w:r>
        <w:separator/>
      </w:r>
    </w:p>
  </w:endnote>
  <w:endnote w:type="continuationSeparator" w:id="0">
    <w:p w:rsidR="001244E5" w:rsidRDefault="001244E5" w:rsidP="00D927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vinio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yriad Pro">
    <w:altName w:val="Times New Roman"/>
    <w:panose1 w:val="00000000000000000000"/>
    <w:charset w:val="00"/>
    <w:family w:val="roman"/>
    <w:notTrueType/>
    <w:pitch w:val="default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yriadPro-Regular"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Schoolbook">
    <w:altName w:val="Century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02815600"/>
      <w:docPartObj>
        <w:docPartGallery w:val="Page Numbers (Bottom of Page)"/>
        <w:docPartUnique/>
      </w:docPartObj>
    </w:sdtPr>
    <w:sdtEndPr>
      <w:rPr>
        <w:color w:val="008445"/>
      </w:rPr>
    </w:sdtEndPr>
    <w:sdtContent>
      <w:p w:rsidR="006A0EE8" w:rsidRPr="00C75130" w:rsidRDefault="006A0EE8" w:rsidP="00C75130">
        <w:pPr>
          <w:pStyle w:val="Pta"/>
          <w:jc w:val="center"/>
          <w:rPr>
            <w:color w:val="008445"/>
          </w:rPr>
        </w:pPr>
        <w:r w:rsidRPr="00C75130">
          <w:rPr>
            <w:color w:val="008445"/>
          </w:rPr>
          <w:fldChar w:fldCharType="begin"/>
        </w:r>
        <w:r w:rsidRPr="00C75130">
          <w:rPr>
            <w:color w:val="008445"/>
          </w:rPr>
          <w:instrText>PAGE   \* MERGEFORMAT</w:instrText>
        </w:r>
        <w:r w:rsidRPr="00C75130">
          <w:rPr>
            <w:color w:val="008445"/>
          </w:rPr>
          <w:fldChar w:fldCharType="separate"/>
        </w:r>
        <w:r w:rsidR="00142378">
          <w:rPr>
            <w:noProof/>
            <w:color w:val="008445"/>
          </w:rPr>
          <w:t>26</w:t>
        </w:r>
        <w:r w:rsidRPr="00C75130">
          <w:rPr>
            <w:color w:val="008445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44E5" w:rsidRDefault="001244E5" w:rsidP="00D92749">
      <w:pPr>
        <w:spacing w:after="0" w:line="240" w:lineRule="auto"/>
      </w:pPr>
      <w:r>
        <w:separator/>
      </w:r>
    </w:p>
  </w:footnote>
  <w:footnote w:type="continuationSeparator" w:id="0">
    <w:p w:rsidR="001244E5" w:rsidRDefault="001244E5" w:rsidP="00D927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0EE8" w:rsidRDefault="006A0EE8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page">
            <wp:posOffset>-9525</wp:posOffset>
          </wp:positionH>
          <wp:positionV relativeFrom="paragraph">
            <wp:posOffset>-1099184</wp:posOffset>
          </wp:positionV>
          <wp:extent cx="7600160" cy="10750548"/>
          <wp:effectExtent l="0" t="0" r="1270" b="0"/>
          <wp:wrapNone/>
          <wp:docPr id="28" name="Obrázok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YTTERM_vyrocna_sprava_obalka_02_2015_0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600160" cy="1075054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6A0EE8" w:rsidRDefault="006A0EE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0EE8" w:rsidRDefault="006A0EE8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0</wp:posOffset>
          </wp:positionH>
          <wp:positionV relativeFrom="paragraph">
            <wp:posOffset>-806450</wp:posOffset>
          </wp:positionV>
          <wp:extent cx="7562850" cy="609600"/>
          <wp:effectExtent l="0" t="0" r="0" b="0"/>
          <wp:wrapThrough wrapText="bothSides">
            <wp:wrapPolygon edited="0">
              <wp:start x="0" y="0"/>
              <wp:lineTo x="0" y="20925"/>
              <wp:lineTo x="21546" y="20925"/>
              <wp:lineTo x="21546" y="0"/>
              <wp:lineTo x="0" y="0"/>
            </wp:wrapPolygon>
          </wp:wrapThrough>
          <wp:docPr id="18" name="Obrázok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Hnusnik\AppData\Local\Microsoft\Windows\INetCache\Content.Word\BYTTERM_vyrocna_sprava_obalka_04_2017_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D66AB8"/>
    <w:multiLevelType w:val="hybridMultilevel"/>
    <w:tmpl w:val="A184D854"/>
    <w:lvl w:ilvl="0" w:tplc="D994A4C8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C5221BDC">
      <w:start w:val="1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82504C2"/>
    <w:multiLevelType w:val="hybridMultilevel"/>
    <w:tmpl w:val="1EE495C2"/>
    <w:lvl w:ilvl="0" w:tplc="B3F8A4BA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F97E19"/>
    <w:multiLevelType w:val="hybridMultilevel"/>
    <w:tmpl w:val="94F04A68"/>
    <w:lvl w:ilvl="0" w:tplc="E8BE690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538135" w:themeColor="accent6" w:themeShade="BF"/>
      </w:rPr>
    </w:lvl>
    <w:lvl w:ilvl="1" w:tplc="6F78DF9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215D1A"/>
    <w:multiLevelType w:val="hybridMultilevel"/>
    <w:tmpl w:val="0504B2F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CD3BC9"/>
    <w:multiLevelType w:val="hybridMultilevel"/>
    <w:tmpl w:val="9028E724"/>
    <w:lvl w:ilvl="0" w:tplc="C5221BDC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E7B2B27"/>
    <w:multiLevelType w:val="hybridMultilevel"/>
    <w:tmpl w:val="2600452C"/>
    <w:lvl w:ilvl="0" w:tplc="35AA0224">
      <w:start w:val="1"/>
      <w:numFmt w:val="bullet"/>
      <w:lvlText w:val=""/>
      <w:lvlJc w:val="left"/>
      <w:pPr>
        <w:tabs>
          <w:tab w:val="num" w:pos="460"/>
        </w:tabs>
        <w:ind w:left="460" w:hanging="360"/>
      </w:pPr>
      <w:rPr>
        <w:rFonts w:ascii="Wingdings" w:hAnsi="Wingdings" w:hint="default"/>
        <w:color w:val="538135" w:themeColor="accent6" w:themeShade="BF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C23E2"/>
    <w:rsid w:val="00026E1F"/>
    <w:rsid w:val="000347B1"/>
    <w:rsid w:val="00045CA7"/>
    <w:rsid w:val="000464E3"/>
    <w:rsid w:val="000516C5"/>
    <w:rsid w:val="00052CD4"/>
    <w:rsid w:val="00064AEC"/>
    <w:rsid w:val="000834E9"/>
    <w:rsid w:val="00086FEE"/>
    <w:rsid w:val="00093D19"/>
    <w:rsid w:val="000A6975"/>
    <w:rsid w:val="000C6D7B"/>
    <w:rsid w:val="000D2CF7"/>
    <w:rsid w:val="0010201F"/>
    <w:rsid w:val="001050AA"/>
    <w:rsid w:val="00106CE5"/>
    <w:rsid w:val="00106E7D"/>
    <w:rsid w:val="00110802"/>
    <w:rsid w:val="00115DE0"/>
    <w:rsid w:val="001244E5"/>
    <w:rsid w:val="00124667"/>
    <w:rsid w:val="00124C8B"/>
    <w:rsid w:val="00142378"/>
    <w:rsid w:val="001622B2"/>
    <w:rsid w:val="0016723A"/>
    <w:rsid w:val="00183224"/>
    <w:rsid w:val="00194520"/>
    <w:rsid w:val="00197F17"/>
    <w:rsid w:val="001A0449"/>
    <w:rsid w:val="0020799E"/>
    <w:rsid w:val="002140AF"/>
    <w:rsid w:val="002241D9"/>
    <w:rsid w:val="00224603"/>
    <w:rsid w:val="00230D88"/>
    <w:rsid w:val="0023353C"/>
    <w:rsid w:val="00261786"/>
    <w:rsid w:val="00280F5F"/>
    <w:rsid w:val="002960B1"/>
    <w:rsid w:val="002E24EB"/>
    <w:rsid w:val="003462BB"/>
    <w:rsid w:val="00347D62"/>
    <w:rsid w:val="00370242"/>
    <w:rsid w:val="003956EC"/>
    <w:rsid w:val="003A7175"/>
    <w:rsid w:val="003C37D9"/>
    <w:rsid w:val="003E2E47"/>
    <w:rsid w:val="003F183D"/>
    <w:rsid w:val="004106CF"/>
    <w:rsid w:val="00415071"/>
    <w:rsid w:val="004169C7"/>
    <w:rsid w:val="004278DA"/>
    <w:rsid w:val="004304D3"/>
    <w:rsid w:val="004D2880"/>
    <w:rsid w:val="004F047B"/>
    <w:rsid w:val="004F6B62"/>
    <w:rsid w:val="005215DD"/>
    <w:rsid w:val="005258DD"/>
    <w:rsid w:val="00531A5F"/>
    <w:rsid w:val="005568B1"/>
    <w:rsid w:val="00561532"/>
    <w:rsid w:val="00562729"/>
    <w:rsid w:val="005A2DFF"/>
    <w:rsid w:val="00606585"/>
    <w:rsid w:val="00645EC1"/>
    <w:rsid w:val="0065727F"/>
    <w:rsid w:val="00660DD9"/>
    <w:rsid w:val="006A066F"/>
    <w:rsid w:val="006A0EE8"/>
    <w:rsid w:val="006A5F8C"/>
    <w:rsid w:val="006B693C"/>
    <w:rsid w:val="006C72AC"/>
    <w:rsid w:val="006E1C0E"/>
    <w:rsid w:val="006F2D0F"/>
    <w:rsid w:val="00700F0C"/>
    <w:rsid w:val="00736BEA"/>
    <w:rsid w:val="0075283C"/>
    <w:rsid w:val="00774B9F"/>
    <w:rsid w:val="007C231F"/>
    <w:rsid w:val="007D7142"/>
    <w:rsid w:val="007E4B3E"/>
    <w:rsid w:val="007F752F"/>
    <w:rsid w:val="0081223B"/>
    <w:rsid w:val="00822288"/>
    <w:rsid w:val="00842887"/>
    <w:rsid w:val="00843077"/>
    <w:rsid w:val="00867683"/>
    <w:rsid w:val="00890B79"/>
    <w:rsid w:val="008C23E2"/>
    <w:rsid w:val="008C4FBF"/>
    <w:rsid w:val="008E3D3F"/>
    <w:rsid w:val="008F3DFC"/>
    <w:rsid w:val="008F6EA3"/>
    <w:rsid w:val="00901386"/>
    <w:rsid w:val="00927808"/>
    <w:rsid w:val="0093151B"/>
    <w:rsid w:val="00961AA5"/>
    <w:rsid w:val="009640A6"/>
    <w:rsid w:val="009B5319"/>
    <w:rsid w:val="009D33BC"/>
    <w:rsid w:val="009D3693"/>
    <w:rsid w:val="00A15C76"/>
    <w:rsid w:val="00A30A9B"/>
    <w:rsid w:val="00A465F7"/>
    <w:rsid w:val="00A62093"/>
    <w:rsid w:val="00AA0EF4"/>
    <w:rsid w:val="00AB665D"/>
    <w:rsid w:val="00AE1640"/>
    <w:rsid w:val="00AE5CC4"/>
    <w:rsid w:val="00AE65BA"/>
    <w:rsid w:val="00AF11FE"/>
    <w:rsid w:val="00AF4234"/>
    <w:rsid w:val="00B240E0"/>
    <w:rsid w:val="00B2491E"/>
    <w:rsid w:val="00B54BF2"/>
    <w:rsid w:val="00B63D45"/>
    <w:rsid w:val="00B657D3"/>
    <w:rsid w:val="00B66E60"/>
    <w:rsid w:val="00B80F6C"/>
    <w:rsid w:val="00B81D07"/>
    <w:rsid w:val="00BA1F67"/>
    <w:rsid w:val="00BA47DC"/>
    <w:rsid w:val="00BB7DF7"/>
    <w:rsid w:val="00BC7833"/>
    <w:rsid w:val="00C04A43"/>
    <w:rsid w:val="00C221A9"/>
    <w:rsid w:val="00C24799"/>
    <w:rsid w:val="00C2747E"/>
    <w:rsid w:val="00C344CA"/>
    <w:rsid w:val="00C56C9C"/>
    <w:rsid w:val="00C729F8"/>
    <w:rsid w:val="00C75130"/>
    <w:rsid w:val="00C7667A"/>
    <w:rsid w:val="00C930DD"/>
    <w:rsid w:val="00C95997"/>
    <w:rsid w:val="00C97472"/>
    <w:rsid w:val="00CA6305"/>
    <w:rsid w:val="00CE1C82"/>
    <w:rsid w:val="00CE4EFA"/>
    <w:rsid w:val="00CF5165"/>
    <w:rsid w:val="00D2102A"/>
    <w:rsid w:val="00D36574"/>
    <w:rsid w:val="00D369BD"/>
    <w:rsid w:val="00D451AE"/>
    <w:rsid w:val="00D764FC"/>
    <w:rsid w:val="00D85394"/>
    <w:rsid w:val="00D925A2"/>
    <w:rsid w:val="00D92749"/>
    <w:rsid w:val="00DB5A23"/>
    <w:rsid w:val="00DB5D57"/>
    <w:rsid w:val="00DC44CE"/>
    <w:rsid w:val="00DD3BB7"/>
    <w:rsid w:val="00DE0F7B"/>
    <w:rsid w:val="00E316A1"/>
    <w:rsid w:val="00E33E3D"/>
    <w:rsid w:val="00E62423"/>
    <w:rsid w:val="00E75E7A"/>
    <w:rsid w:val="00E83195"/>
    <w:rsid w:val="00EC51D8"/>
    <w:rsid w:val="00ED0DE2"/>
    <w:rsid w:val="00EE6C4B"/>
    <w:rsid w:val="00F06B5E"/>
    <w:rsid w:val="00F12512"/>
    <w:rsid w:val="00F1277C"/>
    <w:rsid w:val="00F26BA1"/>
    <w:rsid w:val="00F37361"/>
    <w:rsid w:val="00F60067"/>
    <w:rsid w:val="00F75A00"/>
    <w:rsid w:val="00F83780"/>
    <w:rsid w:val="00F8642E"/>
    <w:rsid w:val="00F94C73"/>
    <w:rsid w:val="00FA5359"/>
    <w:rsid w:val="00FC527D"/>
    <w:rsid w:val="00FD436F"/>
    <w:rsid w:val="00FE797D"/>
    <w:rsid w:val="00FF0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DF88EAFC-F72E-456B-A44F-64F88A6AA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4B3E"/>
  </w:style>
  <w:style w:type="paragraph" w:styleId="Nadpis2">
    <w:name w:val="heading 2"/>
    <w:basedOn w:val="Normlny"/>
    <w:next w:val="Normlny"/>
    <w:link w:val="Nadpis2Char"/>
    <w:qFormat/>
    <w:rsid w:val="005568B1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5568B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D927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92749"/>
  </w:style>
  <w:style w:type="paragraph" w:styleId="Pta">
    <w:name w:val="footer"/>
    <w:basedOn w:val="Normlny"/>
    <w:link w:val="PtaChar"/>
    <w:uiPriority w:val="99"/>
    <w:unhideWhenUsed/>
    <w:rsid w:val="00D927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92749"/>
  </w:style>
  <w:style w:type="paragraph" w:styleId="Nzov">
    <w:name w:val="Title"/>
    <w:basedOn w:val="Normlny"/>
    <w:next w:val="Normlny"/>
    <w:link w:val="NzovChar"/>
    <w:uiPriority w:val="10"/>
    <w:qFormat/>
    <w:rsid w:val="005568B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568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ecimalAligned">
    <w:name w:val="Decimal Aligned"/>
    <w:basedOn w:val="Normlny"/>
    <w:uiPriority w:val="40"/>
    <w:qFormat/>
    <w:rsid w:val="005568B1"/>
    <w:pPr>
      <w:tabs>
        <w:tab w:val="decimal" w:pos="360"/>
      </w:tabs>
      <w:spacing w:after="200" w:line="276" w:lineRule="auto"/>
    </w:pPr>
    <w:rPr>
      <w:rFonts w:eastAsiaTheme="minorEastAsia" w:cs="Times New Roman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5568B1"/>
    <w:pPr>
      <w:spacing w:after="0" w:line="240" w:lineRule="auto"/>
    </w:pPr>
    <w:rPr>
      <w:rFonts w:eastAsiaTheme="minorEastAsia" w:cs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5568B1"/>
    <w:rPr>
      <w:rFonts w:eastAsiaTheme="minorEastAsia" w:cs="Times New Roman"/>
      <w:sz w:val="20"/>
      <w:szCs w:val="20"/>
      <w:lang w:eastAsia="sk-SK"/>
    </w:rPr>
  </w:style>
  <w:style w:type="character" w:styleId="Jemnzvraznenie">
    <w:name w:val="Subtle Emphasis"/>
    <w:basedOn w:val="Predvolenpsmoodseku"/>
    <w:uiPriority w:val="19"/>
    <w:qFormat/>
    <w:rsid w:val="005568B1"/>
    <w:rPr>
      <w:i/>
      <w:iCs/>
    </w:rPr>
  </w:style>
  <w:style w:type="paragraph" w:customStyle="1" w:styleId="Import38">
    <w:name w:val="Import 38"/>
    <w:rsid w:val="005568B1"/>
    <w:pPr>
      <w:tabs>
        <w:tab w:val="left" w:pos="792"/>
        <w:tab w:val="left" w:pos="1656"/>
        <w:tab w:val="left" w:pos="2520"/>
        <w:tab w:val="left" w:pos="3384"/>
        <w:tab w:val="left" w:pos="4248"/>
        <w:tab w:val="left" w:pos="5112"/>
        <w:tab w:val="left" w:pos="5976"/>
        <w:tab w:val="left" w:pos="6840"/>
        <w:tab w:val="left" w:pos="7704"/>
        <w:tab w:val="left" w:pos="8568"/>
      </w:tabs>
      <w:spacing w:after="0" w:line="240" w:lineRule="auto"/>
    </w:pPr>
    <w:rPr>
      <w:rFonts w:ascii="Avinion" w:eastAsia="Times New Roman" w:hAnsi="Avinion" w:cs="Times New Roman"/>
      <w:sz w:val="24"/>
      <w:szCs w:val="20"/>
      <w:lang w:val="en-US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68B1"/>
    <w:rPr>
      <w:rFonts w:ascii="Segoe UI" w:hAnsi="Segoe UI" w:cs="Segoe UI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568B1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Zarkazkladnhotextu">
    <w:name w:val="Body Text Indent"/>
    <w:basedOn w:val="Normlny"/>
    <w:link w:val="ZarkazkladnhotextuChar"/>
    <w:rsid w:val="005568B1"/>
    <w:pPr>
      <w:spacing w:after="0" w:line="240" w:lineRule="auto"/>
      <w:ind w:left="340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5568B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5568B1"/>
    <w:pPr>
      <w:spacing w:after="0" w:line="240" w:lineRule="auto"/>
      <w:ind w:left="340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5568B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5568B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568B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ormlnywebov">
    <w:name w:val="Normal (Web)"/>
    <w:basedOn w:val="Normlny"/>
    <w:rsid w:val="005568B1"/>
    <w:pPr>
      <w:spacing w:before="150" w:after="225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adpisybytterm">
    <w:name w:val="nadpisy bytterm"/>
    <w:basedOn w:val="Normlny"/>
    <w:link w:val="nadpisybyttermChar"/>
    <w:qFormat/>
    <w:rsid w:val="006A5F8C"/>
    <w:pPr>
      <w:spacing w:after="120" w:line="400" w:lineRule="exact"/>
    </w:pPr>
    <w:rPr>
      <w:rFonts w:ascii="Myriad Pro" w:hAnsi="Myriad Pro"/>
      <w:b/>
      <w:color w:val="008445"/>
      <w:sz w:val="36"/>
      <w:szCs w:val="36"/>
    </w:rPr>
  </w:style>
  <w:style w:type="character" w:customStyle="1" w:styleId="nadpisybyttermChar">
    <w:name w:val="nadpisy bytterm Char"/>
    <w:basedOn w:val="Predvolenpsmoodseku"/>
    <w:link w:val="nadpisybytterm"/>
    <w:rsid w:val="006A5F8C"/>
    <w:rPr>
      <w:rFonts w:ascii="Myriad Pro" w:hAnsi="Myriad Pro"/>
      <w:b/>
      <w:color w:val="008445"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27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1923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956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588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9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78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diagramColors" Target="diagrams/colors1.xml"/><Relationship Id="rId18" Type="http://schemas.openxmlformats.org/officeDocument/2006/relationships/image" Target="media/image5.emf"/><Relationship Id="rId26" Type="http://schemas.openxmlformats.org/officeDocument/2006/relationships/image" Target="media/image13.emf"/><Relationship Id="rId39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8.png"/><Relationship Id="rId34" Type="http://schemas.openxmlformats.org/officeDocument/2006/relationships/image" Target="media/image20.emf"/><Relationship Id="rId7" Type="http://schemas.openxmlformats.org/officeDocument/2006/relationships/endnotes" Target="endnotes.xml"/><Relationship Id="rId12" Type="http://schemas.openxmlformats.org/officeDocument/2006/relationships/diagramQuickStyle" Target="diagrams/quickStyle1.xml"/><Relationship Id="rId17" Type="http://schemas.openxmlformats.org/officeDocument/2006/relationships/image" Target="media/image4.png"/><Relationship Id="rId25" Type="http://schemas.openxmlformats.org/officeDocument/2006/relationships/image" Target="media/image12.emf"/><Relationship Id="rId33" Type="http://schemas.openxmlformats.org/officeDocument/2006/relationships/image" Target="media/image19.png"/><Relationship Id="rId38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7.png"/><Relationship Id="rId29" Type="http://schemas.openxmlformats.org/officeDocument/2006/relationships/image" Target="media/image16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Layout" Target="diagrams/layout1.xml"/><Relationship Id="rId24" Type="http://schemas.openxmlformats.org/officeDocument/2006/relationships/image" Target="media/image11.emf"/><Relationship Id="rId32" Type="http://schemas.openxmlformats.org/officeDocument/2006/relationships/image" Target="media/image18.emf"/><Relationship Id="rId37" Type="http://schemas.openxmlformats.org/officeDocument/2006/relationships/image" Target="media/image23.png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23" Type="http://schemas.openxmlformats.org/officeDocument/2006/relationships/image" Target="media/image10.png"/><Relationship Id="rId28" Type="http://schemas.openxmlformats.org/officeDocument/2006/relationships/image" Target="media/image15.png"/><Relationship Id="rId36" Type="http://schemas.openxmlformats.org/officeDocument/2006/relationships/image" Target="media/image22.png"/><Relationship Id="rId10" Type="http://schemas.openxmlformats.org/officeDocument/2006/relationships/diagramData" Target="diagrams/data1.xml"/><Relationship Id="rId19" Type="http://schemas.openxmlformats.org/officeDocument/2006/relationships/image" Target="media/image6.png"/><Relationship Id="rId31" Type="http://schemas.openxmlformats.org/officeDocument/2006/relationships/image" Target="media/image17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diagramDrawing" Target="diagrams/drawing1.xml"/><Relationship Id="rId22" Type="http://schemas.openxmlformats.org/officeDocument/2006/relationships/image" Target="media/image9.png"/><Relationship Id="rId27" Type="http://schemas.openxmlformats.org/officeDocument/2006/relationships/image" Target="media/image14.png"/><Relationship Id="rId30" Type="http://schemas.openxmlformats.org/officeDocument/2006/relationships/chart" Target="charts/chart1.xml"/><Relationship Id="rId35" Type="http://schemas.openxmlformats.org/officeDocument/2006/relationships/image" Target="media/image21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4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artorisova.BYTTERMZA\Documents\ine%20dokumenty\VYM&#193;HANIE%20POH&#317;AD&#193;VOK\pohladavkySuvaha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4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sk-SK"/>
              <a:t>Vývoj tržieb a pridanej hodnoty 2015 - 2017</a:t>
            </a:r>
          </a:p>
        </c:rich>
      </c:tx>
      <c:layout>
        <c:manualLayout>
          <c:xMode val="edge"/>
          <c:yMode val="edge"/>
          <c:x val="0.14932265966754155"/>
          <c:y val="3.2407407407407413E-2"/>
        </c:manualLayout>
      </c:layout>
      <c:overlay val="0"/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v>čistý obrat (tržby)</c:v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invertIfNegative val="0"/>
          <c:dLbls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00" b="0" i="0" u="none" strike="noStrike" baseline="0">
                    <a:solidFill>
                      <a:srgbClr val="333333"/>
                    </a:solidFill>
                    <a:latin typeface="Calibri"/>
                    <a:ea typeface="Calibri"/>
                    <a:cs typeface="Calibri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'Výkaz ZaS'!$C$2:$E$2</c:f>
              <c:numCache>
                <c:formatCode>d/m/yyyy;@</c:formatCode>
                <c:ptCount val="3"/>
                <c:pt idx="0">
                  <c:v>43100</c:v>
                </c:pt>
                <c:pt idx="1">
                  <c:v>42735</c:v>
                </c:pt>
                <c:pt idx="2">
                  <c:v>42369</c:v>
                </c:pt>
              </c:numCache>
            </c:numRef>
          </c:cat>
          <c:val>
            <c:numRef>
              <c:f>'Výkaz ZaS'!$C$3:$E$3</c:f>
              <c:numCache>
                <c:formatCode>#,##0.00</c:formatCode>
                <c:ptCount val="3"/>
                <c:pt idx="0">
                  <c:v>16955330.32</c:v>
                </c:pt>
                <c:pt idx="1">
                  <c:v>17274726.670000006</c:v>
                </c:pt>
                <c:pt idx="2">
                  <c:v>16799830.969999995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AB3-41CE-B2DC-F86F5C4D408D}"/>
            </c:ext>
          </c:extLst>
        </c:ser>
        <c:ser>
          <c:idx val="1"/>
          <c:order val="1"/>
          <c:tx>
            <c:v>pridaná hodnota</c:v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invertIfNegative val="0"/>
          <c:dLbls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000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val>
            <c:numRef>
              <c:f>'Výkaz ZaS'!$C$21:$E$21</c:f>
              <c:numCache>
                <c:formatCode>#,##0.00</c:formatCode>
                <c:ptCount val="3"/>
                <c:pt idx="0">
                  <c:v>4616226.6700000037</c:v>
                </c:pt>
                <c:pt idx="1">
                  <c:v>4456945.8400000036</c:v>
                </c:pt>
                <c:pt idx="2">
                  <c:v>4402442.68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4AB3-41CE-B2DC-F86F5C4D408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91011208"/>
        <c:axId val="391015128"/>
      </c:barChart>
      <c:catAx>
        <c:axId val="391011208"/>
        <c:scaling>
          <c:orientation val="maxMin"/>
        </c:scaling>
        <c:delete val="0"/>
        <c:axPos val="b"/>
        <c:numFmt formatCode="d/m/yyyy;@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vert="horz"/>
          <a:lstStyle/>
          <a:p>
            <a:pPr>
              <a:defRPr sz="900" b="0" i="0" u="none" strike="noStrike" baseline="0">
                <a:solidFill>
                  <a:srgbClr val="333333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391015128"/>
        <c:crosses val="autoZero"/>
        <c:auto val="0"/>
        <c:lblAlgn val="ctr"/>
        <c:lblOffset val="100"/>
        <c:noMultiLvlLbl val="0"/>
      </c:catAx>
      <c:valAx>
        <c:axId val="391015128"/>
        <c:scaling>
          <c:orientation val="minMax"/>
        </c:scaling>
        <c:delete val="0"/>
        <c:axPos val="r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.00" sourceLinked="1"/>
        <c:majorTickMark val="none"/>
        <c:minorTickMark val="none"/>
        <c:tickLblPos val="nextTo"/>
        <c:spPr>
          <a:ln w="6350">
            <a:noFill/>
          </a:ln>
        </c:spPr>
        <c:txPr>
          <a:bodyPr rot="0" vert="horz"/>
          <a:lstStyle/>
          <a:p>
            <a:pPr>
              <a:defRPr sz="900" b="0" i="0" u="none" strike="noStrike" baseline="0">
                <a:solidFill>
                  <a:srgbClr val="333333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391011208"/>
        <c:crosses val="autoZero"/>
        <c:crossBetween val="between"/>
      </c:valAx>
      <c:spPr>
        <a:noFill/>
        <a:ln w="25400">
          <a:noFill/>
        </a:ln>
      </c:spPr>
    </c:plotArea>
    <c:legend>
      <c:legendPos val="t"/>
      <c:overlay val="0"/>
      <c:spPr>
        <a:noFill/>
        <a:ln w="25400">
          <a:noFill/>
        </a:ln>
      </c:spPr>
      <c:txPr>
        <a:bodyPr/>
        <a:lstStyle/>
        <a:p>
          <a:pPr>
            <a:defRPr sz="630" b="0" i="0" u="none" strike="noStrike" baseline="0">
              <a:solidFill>
                <a:srgbClr val="333333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C25FA9F-C9A7-44DE-BC7A-D0ED8F0ADEEB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</dgm:pt>
    <dgm:pt modelId="{D4B9FEFA-5287-4953-88F0-FD846EEC2CA4}">
      <dgm:prSet/>
      <dgm:spPr>
        <a:noFill/>
        <a:ln>
          <a:solidFill>
            <a:schemeClr val="tx1"/>
          </a:solidFill>
        </a:ln>
      </dgm:spPr>
      <dgm:t>
        <a:bodyPr/>
        <a:lstStyle/>
        <a:p>
          <a:pPr marR="0" algn="ctr" rtl="0"/>
          <a:r>
            <a:rPr lang="sk-SK" b="1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Generálny riaditeľ</a:t>
          </a:r>
          <a:endParaRPr lang="sk-SK" b="1"/>
        </a:p>
      </dgm:t>
    </dgm:pt>
    <dgm:pt modelId="{9D6126CC-288E-4741-B56D-DD4BCA227FCE}" type="parTrans" cxnId="{3A22D9B7-C5A5-4A90-B4E1-2AB1D0AC97E7}">
      <dgm:prSet/>
      <dgm:spPr/>
      <dgm:t>
        <a:bodyPr/>
        <a:lstStyle/>
        <a:p>
          <a:endParaRPr lang="sk-SK"/>
        </a:p>
      </dgm:t>
    </dgm:pt>
    <dgm:pt modelId="{759E12F5-5239-4611-8FEA-DF41302F797C}" type="sibTrans" cxnId="{3A22D9B7-C5A5-4A90-B4E1-2AB1D0AC97E7}">
      <dgm:prSet/>
      <dgm:spPr/>
      <dgm:t>
        <a:bodyPr/>
        <a:lstStyle/>
        <a:p>
          <a:endParaRPr lang="sk-SK"/>
        </a:p>
      </dgm:t>
    </dgm:pt>
    <dgm:pt modelId="{F3641164-AB57-4B10-96C5-7A41A0616DA1}">
      <dgm:prSet/>
      <dgm:spPr>
        <a:solidFill>
          <a:schemeClr val="accent3">
            <a:lumMod val="75000"/>
          </a:schemeClr>
        </a:solidFill>
      </dgm:spPr>
      <dgm:t>
        <a:bodyPr/>
        <a:lstStyle/>
        <a:p>
          <a:pPr marR="0" algn="ctr" rtl="0"/>
          <a:r>
            <a:rPr lang="sk-SK" b="1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Útvar GR    (14 zam.)</a:t>
          </a:r>
          <a:endParaRPr lang="sk-SK" b="1"/>
        </a:p>
      </dgm:t>
    </dgm:pt>
    <dgm:pt modelId="{85B542A1-DD2B-4203-A1B2-23653B574FEB}" type="parTrans" cxnId="{68D51E36-1DEC-415B-9F23-9CE16D247B5D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5DC0FF26-4C8D-43ED-9A2D-AED65F347FBE}" type="sibTrans" cxnId="{68D51E36-1DEC-415B-9F23-9CE16D247B5D}">
      <dgm:prSet/>
      <dgm:spPr/>
      <dgm:t>
        <a:bodyPr/>
        <a:lstStyle/>
        <a:p>
          <a:endParaRPr lang="sk-SK"/>
        </a:p>
      </dgm:t>
    </dgm:pt>
    <dgm:pt modelId="{41831708-CA58-42D6-B491-19CE8D1160A4}">
      <dgm:prSet/>
      <dgm:spPr>
        <a:solidFill>
          <a:schemeClr val="bg1">
            <a:lumMod val="65000"/>
          </a:schemeClr>
        </a:solidFill>
      </dgm:spPr>
      <dgm:t>
        <a:bodyPr/>
        <a:lstStyle/>
        <a:p>
          <a:pPr marR="0" algn="ctr" rtl="0"/>
          <a:r>
            <a:rPr lang="sk-SK" b="1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Právne</a:t>
          </a:r>
          <a:endParaRPr lang="sk-SK" b="1"/>
        </a:p>
      </dgm:t>
    </dgm:pt>
    <dgm:pt modelId="{533426E3-9C8D-4FBD-84E8-33AF7DBDC872}" type="parTrans" cxnId="{8589EC2F-4CFC-403B-98D6-CCD0E3E67718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1B318769-559E-43CC-9D13-13AB31880EDD}" type="sibTrans" cxnId="{8589EC2F-4CFC-403B-98D6-CCD0E3E67718}">
      <dgm:prSet/>
      <dgm:spPr/>
      <dgm:t>
        <a:bodyPr/>
        <a:lstStyle/>
        <a:p>
          <a:endParaRPr lang="sk-SK"/>
        </a:p>
      </dgm:t>
    </dgm:pt>
    <dgm:pt modelId="{312E1243-1432-42F7-AB1B-C22A376341BA}">
      <dgm:prSet/>
      <dgm:spPr>
        <a:solidFill>
          <a:schemeClr val="bg1">
            <a:lumMod val="65000"/>
          </a:schemeClr>
        </a:solidFill>
      </dgm:spPr>
      <dgm:t>
        <a:bodyPr/>
        <a:lstStyle/>
        <a:p>
          <a:pPr marR="0" algn="ctr" rtl="0"/>
          <a:r>
            <a:rPr lang="sk-SK" b="1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Energetika</a:t>
          </a:r>
          <a:endParaRPr lang="sk-SK" b="1"/>
        </a:p>
      </dgm:t>
    </dgm:pt>
    <dgm:pt modelId="{9E043AC6-38D1-4E32-8E07-2BB9470C27C1}" type="parTrans" cxnId="{2E050867-D079-40E1-92DB-44B6D1E5BCB9}">
      <dgm:prSet/>
      <dgm:spPr/>
      <dgm:t>
        <a:bodyPr/>
        <a:lstStyle/>
        <a:p>
          <a:endParaRPr lang="sk-SK"/>
        </a:p>
      </dgm:t>
    </dgm:pt>
    <dgm:pt modelId="{55A190CF-81FB-4926-A68A-5C08637F9421}" type="sibTrans" cxnId="{2E050867-D079-40E1-92DB-44B6D1E5BCB9}">
      <dgm:prSet/>
      <dgm:spPr/>
      <dgm:t>
        <a:bodyPr/>
        <a:lstStyle/>
        <a:p>
          <a:endParaRPr lang="sk-SK"/>
        </a:p>
      </dgm:t>
    </dgm:pt>
    <dgm:pt modelId="{10A25E27-9FD4-4943-9587-BC0DF6CC13C7}">
      <dgm:prSet/>
      <dgm:spPr>
        <a:solidFill>
          <a:schemeClr val="bg1">
            <a:lumMod val="65000"/>
          </a:schemeClr>
        </a:solidFill>
      </dgm:spPr>
      <dgm:t>
        <a:bodyPr/>
        <a:lstStyle/>
        <a:p>
          <a:pPr marR="0" algn="ctr" rtl="0"/>
          <a:r>
            <a:rPr lang="sk-SK" b="1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Analýza, obchod, marketing</a:t>
          </a:r>
          <a:endParaRPr lang="sk-SK" b="1"/>
        </a:p>
      </dgm:t>
    </dgm:pt>
    <dgm:pt modelId="{7D61DED4-931E-4EBC-9B90-C373D06707ED}" type="parTrans" cxnId="{2E14820F-FCBC-4A36-8B79-F5308F62D44F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2301E720-4604-4411-B171-54429AE4362F}" type="sibTrans" cxnId="{2E14820F-FCBC-4A36-8B79-F5308F62D44F}">
      <dgm:prSet/>
      <dgm:spPr/>
      <dgm:t>
        <a:bodyPr/>
        <a:lstStyle/>
        <a:p>
          <a:endParaRPr lang="sk-SK"/>
        </a:p>
      </dgm:t>
    </dgm:pt>
    <dgm:pt modelId="{52060DF1-1684-431F-BB01-97DAE3F6B1A5}">
      <dgm:prSet/>
      <dgm:spPr>
        <a:solidFill>
          <a:schemeClr val="bg1">
            <a:lumMod val="65000"/>
          </a:schemeClr>
        </a:solidFill>
      </dgm:spPr>
      <dgm:t>
        <a:bodyPr/>
        <a:lstStyle/>
        <a:p>
          <a:pPr marR="0" algn="ctr" rtl="0"/>
          <a:r>
            <a:rPr lang="sk-SK" b="1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Správa útvaru GR</a:t>
          </a:r>
          <a:endParaRPr lang="sk-SK" b="1"/>
        </a:p>
      </dgm:t>
    </dgm:pt>
    <dgm:pt modelId="{151B3988-40EB-44CB-82D8-FCE8606ACCFB}" type="parTrans" cxnId="{D6BD679D-642F-4AB1-9165-8EFD584EB0F5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79F7544D-4147-467F-B9DF-EE88F615D398}" type="sibTrans" cxnId="{D6BD679D-642F-4AB1-9165-8EFD584EB0F5}">
      <dgm:prSet/>
      <dgm:spPr/>
      <dgm:t>
        <a:bodyPr/>
        <a:lstStyle/>
        <a:p>
          <a:endParaRPr lang="sk-SK"/>
        </a:p>
      </dgm:t>
    </dgm:pt>
    <dgm:pt modelId="{E69A44FA-528B-4AD3-A940-3C49E4596464}">
      <dgm:prSet/>
      <dgm:spPr>
        <a:solidFill>
          <a:schemeClr val="accent6">
            <a:lumMod val="75000"/>
          </a:schemeClr>
        </a:solidFill>
      </dgm:spPr>
      <dgm:t>
        <a:bodyPr/>
        <a:lstStyle/>
        <a:p>
          <a:pPr marR="0" algn="ctr" rtl="0"/>
          <a:r>
            <a:rPr lang="sk-SK" b="1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Divízie</a:t>
          </a:r>
          <a:endParaRPr lang="sk-SK" b="1"/>
        </a:p>
      </dgm:t>
    </dgm:pt>
    <dgm:pt modelId="{AAEE6262-F76A-4D4C-9A91-601191C99486}" type="parTrans" cxnId="{C48C2531-7849-4D57-96B5-375D652F9869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89BC49F2-9C52-4C8D-B8E6-49535848D9BE}" type="sibTrans" cxnId="{C48C2531-7849-4D57-96B5-375D652F9869}">
      <dgm:prSet/>
      <dgm:spPr/>
      <dgm:t>
        <a:bodyPr/>
        <a:lstStyle/>
        <a:p>
          <a:endParaRPr lang="sk-SK"/>
        </a:p>
      </dgm:t>
    </dgm:pt>
    <dgm:pt modelId="{EA02727D-C4A3-402E-B80B-735122172B2D}">
      <dgm:prSet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pPr marR="0" algn="ctr" rtl="0"/>
          <a:r>
            <a:rPr lang="sk-SK" b="0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Ekonomická (13 zam.)</a:t>
          </a:r>
          <a:endParaRPr lang="sk-SK"/>
        </a:p>
      </dgm:t>
    </dgm:pt>
    <dgm:pt modelId="{2D05762E-75D5-4DD7-B36B-EDD9DEF793AB}" type="parTrans" cxnId="{DD43539A-8D58-4ED3-A7BB-9B0A2C2E265B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D9D37D71-F095-4834-AD10-A9A2781C9D72}" type="sibTrans" cxnId="{DD43539A-8D58-4ED3-A7BB-9B0A2C2E265B}">
      <dgm:prSet/>
      <dgm:spPr/>
      <dgm:t>
        <a:bodyPr/>
        <a:lstStyle/>
        <a:p>
          <a:endParaRPr lang="sk-SK"/>
        </a:p>
      </dgm:t>
    </dgm:pt>
    <dgm:pt modelId="{198AC646-5269-43F7-8FAA-E652DF3451B8}">
      <dgm:prSet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pPr marR="0" algn="ctr" rtl="0"/>
          <a:r>
            <a:rPr lang="sk-SK" b="0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Správy majetku       (34 zam.)</a:t>
          </a:r>
          <a:endParaRPr lang="sk-SK"/>
        </a:p>
      </dgm:t>
    </dgm:pt>
    <dgm:pt modelId="{C3B7D76D-10F1-4CD3-B592-DEC87402D533}" type="parTrans" cxnId="{56A3503E-13AF-4B9A-B2CE-A94D57B3A2F3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535D7424-8948-4253-8B04-028DD82836E7}" type="sibTrans" cxnId="{56A3503E-13AF-4B9A-B2CE-A94D57B3A2F3}">
      <dgm:prSet/>
      <dgm:spPr/>
      <dgm:t>
        <a:bodyPr/>
        <a:lstStyle/>
        <a:p>
          <a:endParaRPr lang="sk-SK"/>
        </a:p>
      </dgm:t>
    </dgm:pt>
    <dgm:pt modelId="{CF04E7DF-C021-4A6D-9C48-099414B0A9AF}">
      <dgm:prSet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pPr marR="0" algn="ctr" rtl="0"/>
          <a:r>
            <a:rPr lang="sk-SK" b="0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Výroby a služieb         (48 zam.)</a:t>
          </a:r>
          <a:endParaRPr lang="sk-SK"/>
        </a:p>
      </dgm:t>
    </dgm:pt>
    <dgm:pt modelId="{71C88D83-E96F-45EF-BADA-B355CD8E0C3E}" type="parTrans" cxnId="{B86424B4-FC65-440D-A480-3E34D44C09E3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29E5F53B-19F3-4F10-A390-7EB7B1D6FBA8}" type="sibTrans" cxnId="{B86424B4-FC65-440D-A480-3E34D44C09E3}">
      <dgm:prSet/>
      <dgm:spPr/>
      <dgm:t>
        <a:bodyPr/>
        <a:lstStyle/>
        <a:p>
          <a:endParaRPr lang="sk-SK"/>
        </a:p>
      </dgm:t>
    </dgm:pt>
    <dgm:pt modelId="{A5EA9753-05B8-4EC0-88E6-E335D784DE1F}">
      <dgm:prSet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pPr marR="0" algn="ctr" rtl="0"/>
          <a:r>
            <a:rPr lang="sk-SK" b="0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Technická    (13 zam.)</a:t>
          </a:r>
          <a:endParaRPr lang="sk-SK"/>
        </a:p>
      </dgm:t>
    </dgm:pt>
    <dgm:pt modelId="{A86DA287-59D3-49F6-A4A8-BF68E94B9EDD}" type="parTrans" cxnId="{9C9933D9-2130-44C3-A5EB-AF85C3380A81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731D247A-1F84-4464-932F-0A2623BD16E8}" type="sibTrans" cxnId="{9C9933D9-2130-44C3-A5EB-AF85C3380A81}">
      <dgm:prSet/>
      <dgm:spPr/>
      <dgm:t>
        <a:bodyPr/>
        <a:lstStyle/>
        <a:p>
          <a:endParaRPr lang="sk-SK"/>
        </a:p>
      </dgm:t>
    </dgm:pt>
    <dgm:pt modelId="{AC47E562-7628-41DB-A904-672698DB4430}">
      <dgm:prSet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pPr marR="0" algn="ctr" rtl="0"/>
          <a:r>
            <a:rPr lang="sk-SK" b="0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Tepelného hospodárstva (48 zam.)</a:t>
          </a:r>
          <a:endParaRPr lang="sk-SK"/>
        </a:p>
      </dgm:t>
    </dgm:pt>
    <dgm:pt modelId="{10CA994C-AE87-4B5D-AEBE-0D672D75861A}" type="parTrans" cxnId="{E9F1136B-F3CB-4640-9AA5-CE10D45B935E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6C092404-AFFB-4BAC-AAB2-C945D75D4F10}" type="sibTrans" cxnId="{E9F1136B-F3CB-4640-9AA5-CE10D45B935E}">
      <dgm:prSet/>
      <dgm:spPr/>
      <dgm:t>
        <a:bodyPr/>
        <a:lstStyle/>
        <a:p>
          <a:endParaRPr lang="sk-SK"/>
        </a:p>
      </dgm:t>
    </dgm:pt>
    <dgm:pt modelId="{30C45E26-E25A-4A93-A107-6A22E82AF2A9}" type="pres">
      <dgm:prSet presAssocID="{6C25FA9F-C9A7-44DE-BC7A-D0ED8F0ADEEB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BFDA7B4F-5DA3-48EB-90E9-80CCEF8A65C0}" type="pres">
      <dgm:prSet presAssocID="{D4B9FEFA-5287-4953-88F0-FD846EEC2CA4}" presName="hierRoot1" presStyleCnt="0">
        <dgm:presLayoutVars>
          <dgm:hierBranch/>
        </dgm:presLayoutVars>
      </dgm:prSet>
      <dgm:spPr/>
    </dgm:pt>
    <dgm:pt modelId="{D988D5D1-0EBD-4ED0-82BD-E7DBC187C6FB}" type="pres">
      <dgm:prSet presAssocID="{D4B9FEFA-5287-4953-88F0-FD846EEC2CA4}" presName="rootComposite1" presStyleCnt="0"/>
      <dgm:spPr/>
    </dgm:pt>
    <dgm:pt modelId="{1B3E4EA8-888F-425B-85D5-C157098E82F6}" type="pres">
      <dgm:prSet presAssocID="{D4B9FEFA-5287-4953-88F0-FD846EEC2CA4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34AF410-DFBB-47E1-9FD6-BCBC18DCEF92}" type="pres">
      <dgm:prSet presAssocID="{D4B9FEFA-5287-4953-88F0-FD846EEC2CA4}" presName="rootConnector1" presStyleLbl="node1" presStyleIdx="0" presStyleCnt="0"/>
      <dgm:spPr/>
      <dgm:t>
        <a:bodyPr/>
        <a:lstStyle/>
        <a:p>
          <a:endParaRPr lang="sk-SK"/>
        </a:p>
      </dgm:t>
    </dgm:pt>
    <dgm:pt modelId="{FA7C2C6C-F45F-46AC-A6B0-8CA8100CA6AD}" type="pres">
      <dgm:prSet presAssocID="{D4B9FEFA-5287-4953-88F0-FD846EEC2CA4}" presName="hierChild2" presStyleCnt="0"/>
      <dgm:spPr/>
    </dgm:pt>
    <dgm:pt modelId="{9DFA5548-1A1A-4A21-A24A-12A0E15ED902}" type="pres">
      <dgm:prSet presAssocID="{85B542A1-DD2B-4203-A1B2-23653B574FEB}" presName="Name35" presStyleLbl="parChTrans1D2" presStyleIdx="0" presStyleCnt="2"/>
      <dgm:spPr/>
      <dgm:t>
        <a:bodyPr/>
        <a:lstStyle/>
        <a:p>
          <a:endParaRPr lang="sk-SK"/>
        </a:p>
      </dgm:t>
    </dgm:pt>
    <dgm:pt modelId="{682D7D52-A800-4943-80A3-B8E571485F7B}" type="pres">
      <dgm:prSet presAssocID="{F3641164-AB57-4B10-96C5-7A41A0616DA1}" presName="hierRoot2" presStyleCnt="0">
        <dgm:presLayoutVars>
          <dgm:hierBranch/>
        </dgm:presLayoutVars>
      </dgm:prSet>
      <dgm:spPr/>
    </dgm:pt>
    <dgm:pt modelId="{1CCBE809-8E06-467D-A987-2C7A65567A7A}" type="pres">
      <dgm:prSet presAssocID="{F3641164-AB57-4B10-96C5-7A41A0616DA1}" presName="rootComposite" presStyleCnt="0"/>
      <dgm:spPr/>
    </dgm:pt>
    <dgm:pt modelId="{1E28682F-52AC-43C2-ABB7-C79162D52BED}" type="pres">
      <dgm:prSet presAssocID="{F3641164-AB57-4B10-96C5-7A41A0616DA1}" presName="rootText" presStyleLbl="node2" presStyleIdx="0" presStyleCnt="2" custLinFactNeighborX="-5826" custLinFactNeighborY="-276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236C20B-643B-4B57-9186-D6C14364F5E9}" type="pres">
      <dgm:prSet presAssocID="{F3641164-AB57-4B10-96C5-7A41A0616DA1}" presName="rootConnector" presStyleLbl="node2" presStyleIdx="0" presStyleCnt="2"/>
      <dgm:spPr/>
      <dgm:t>
        <a:bodyPr/>
        <a:lstStyle/>
        <a:p>
          <a:endParaRPr lang="sk-SK"/>
        </a:p>
      </dgm:t>
    </dgm:pt>
    <dgm:pt modelId="{E04435A1-08C0-42AB-8889-1CC49E468967}" type="pres">
      <dgm:prSet presAssocID="{F3641164-AB57-4B10-96C5-7A41A0616DA1}" presName="hierChild4" presStyleCnt="0"/>
      <dgm:spPr/>
    </dgm:pt>
    <dgm:pt modelId="{D3F2DED7-FC9E-4E4F-ACAB-A3BE23FD7955}" type="pres">
      <dgm:prSet presAssocID="{533426E3-9C8D-4FBD-84E8-33AF7DBDC872}" presName="Name35" presStyleLbl="parChTrans1D3" presStyleIdx="0" presStyleCnt="9"/>
      <dgm:spPr/>
      <dgm:t>
        <a:bodyPr/>
        <a:lstStyle/>
        <a:p>
          <a:endParaRPr lang="sk-SK"/>
        </a:p>
      </dgm:t>
    </dgm:pt>
    <dgm:pt modelId="{41CD8DA5-BF5B-419B-92EE-CE4D856E9394}" type="pres">
      <dgm:prSet presAssocID="{41831708-CA58-42D6-B491-19CE8D1160A4}" presName="hierRoot2" presStyleCnt="0">
        <dgm:presLayoutVars>
          <dgm:hierBranch/>
        </dgm:presLayoutVars>
      </dgm:prSet>
      <dgm:spPr/>
    </dgm:pt>
    <dgm:pt modelId="{05C6DDE6-FCD3-49A9-BA23-A1DCA7EBC7F7}" type="pres">
      <dgm:prSet presAssocID="{41831708-CA58-42D6-B491-19CE8D1160A4}" presName="rootComposite" presStyleCnt="0"/>
      <dgm:spPr/>
    </dgm:pt>
    <dgm:pt modelId="{ABB9D037-8796-460B-96A0-6AAF36EF2F9F}" type="pres">
      <dgm:prSet presAssocID="{41831708-CA58-42D6-B491-19CE8D1160A4}" presName="rootText" presStyleLbl="node3" presStyleIdx="0" presStyleCnt="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8654CC7-4852-4ADF-8354-4A390A815DFA}" type="pres">
      <dgm:prSet presAssocID="{41831708-CA58-42D6-B491-19CE8D1160A4}" presName="rootConnector" presStyleLbl="node3" presStyleIdx="0" presStyleCnt="9"/>
      <dgm:spPr/>
      <dgm:t>
        <a:bodyPr/>
        <a:lstStyle/>
        <a:p>
          <a:endParaRPr lang="sk-SK"/>
        </a:p>
      </dgm:t>
    </dgm:pt>
    <dgm:pt modelId="{A0E841DE-652E-413F-ACEC-B40056F8C788}" type="pres">
      <dgm:prSet presAssocID="{41831708-CA58-42D6-B491-19CE8D1160A4}" presName="hierChild4" presStyleCnt="0"/>
      <dgm:spPr/>
    </dgm:pt>
    <dgm:pt modelId="{A4A5DEAD-6306-4F2B-B497-B0C6098DBB3D}" type="pres">
      <dgm:prSet presAssocID="{41831708-CA58-42D6-B491-19CE8D1160A4}" presName="hierChild5" presStyleCnt="0"/>
      <dgm:spPr/>
    </dgm:pt>
    <dgm:pt modelId="{2AEDF909-23B6-4F59-A5ED-1E2ED8518C1A}" type="pres">
      <dgm:prSet presAssocID="{9E043AC6-38D1-4E32-8E07-2BB9470C27C1}" presName="Name35" presStyleLbl="parChTrans1D3" presStyleIdx="1" presStyleCnt="9"/>
      <dgm:spPr/>
      <dgm:t>
        <a:bodyPr/>
        <a:lstStyle/>
        <a:p>
          <a:endParaRPr lang="sk-SK"/>
        </a:p>
      </dgm:t>
    </dgm:pt>
    <dgm:pt modelId="{2F0FE92B-4D9F-42D3-A3B7-11CC22BD75B9}" type="pres">
      <dgm:prSet presAssocID="{312E1243-1432-42F7-AB1B-C22A376341BA}" presName="hierRoot2" presStyleCnt="0">
        <dgm:presLayoutVars>
          <dgm:hierBranch/>
        </dgm:presLayoutVars>
      </dgm:prSet>
      <dgm:spPr/>
    </dgm:pt>
    <dgm:pt modelId="{8C736026-1299-4196-9A7C-F12FD3740A87}" type="pres">
      <dgm:prSet presAssocID="{312E1243-1432-42F7-AB1B-C22A376341BA}" presName="rootComposite" presStyleCnt="0"/>
      <dgm:spPr/>
    </dgm:pt>
    <dgm:pt modelId="{05515057-879F-4D32-B1FD-AC1C515D5335}" type="pres">
      <dgm:prSet presAssocID="{312E1243-1432-42F7-AB1B-C22A376341BA}" presName="rootText" presStyleLbl="node3" presStyleIdx="1" presStyleCnt="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DBF7480-E326-4BF3-B412-09A0CCA5288E}" type="pres">
      <dgm:prSet presAssocID="{312E1243-1432-42F7-AB1B-C22A376341BA}" presName="rootConnector" presStyleLbl="node3" presStyleIdx="1" presStyleCnt="9"/>
      <dgm:spPr/>
      <dgm:t>
        <a:bodyPr/>
        <a:lstStyle/>
        <a:p>
          <a:endParaRPr lang="sk-SK"/>
        </a:p>
      </dgm:t>
    </dgm:pt>
    <dgm:pt modelId="{B30A9599-8546-4E6E-BA6D-D16329E64769}" type="pres">
      <dgm:prSet presAssocID="{312E1243-1432-42F7-AB1B-C22A376341BA}" presName="hierChild4" presStyleCnt="0"/>
      <dgm:spPr/>
    </dgm:pt>
    <dgm:pt modelId="{DA1E4F69-C32C-4403-B03E-1E931D9D489B}" type="pres">
      <dgm:prSet presAssocID="{312E1243-1432-42F7-AB1B-C22A376341BA}" presName="hierChild5" presStyleCnt="0"/>
      <dgm:spPr/>
    </dgm:pt>
    <dgm:pt modelId="{B37BD691-E19F-4907-8CAD-315DB76B54FB}" type="pres">
      <dgm:prSet presAssocID="{7D61DED4-931E-4EBC-9B90-C373D06707ED}" presName="Name35" presStyleLbl="parChTrans1D3" presStyleIdx="2" presStyleCnt="9"/>
      <dgm:spPr/>
      <dgm:t>
        <a:bodyPr/>
        <a:lstStyle/>
        <a:p>
          <a:endParaRPr lang="sk-SK"/>
        </a:p>
      </dgm:t>
    </dgm:pt>
    <dgm:pt modelId="{A08177EE-711E-41E5-8626-80604034D64F}" type="pres">
      <dgm:prSet presAssocID="{10A25E27-9FD4-4943-9587-BC0DF6CC13C7}" presName="hierRoot2" presStyleCnt="0">
        <dgm:presLayoutVars>
          <dgm:hierBranch/>
        </dgm:presLayoutVars>
      </dgm:prSet>
      <dgm:spPr/>
    </dgm:pt>
    <dgm:pt modelId="{E0D4A5CD-4C13-4FD0-8A51-B8F825DF724F}" type="pres">
      <dgm:prSet presAssocID="{10A25E27-9FD4-4943-9587-BC0DF6CC13C7}" presName="rootComposite" presStyleCnt="0"/>
      <dgm:spPr/>
    </dgm:pt>
    <dgm:pt modelId="{744FB36E-E12F-45F4-A124-2F6FA6A2574F}" type="pres">
      <dgm:prSet presAssocID="{10A25E27-9FD4-4943-9587-BC0DF6CC13C7}" presName="rootText" presStyleLbl="node3" presStyleIdx="2" presStyleCnt="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9EBD14B-ECE0-4DC3-859E-405BD49D78B6}" type="pres">
      <dgm:prSet presAssocID="{10A25E27-9FD4-4943-9587-BC0DF6CC13C7}" presName="rootConnector" presStyleLbl="node3" presStyleIdx="2" presStyleCnt="9"/>
      <dgm:spPr/>
      <dgm:t>
        <a:bodyPr/>
        <a:lstStyle/>
        <a:p>
          <a:endParaRPr lang="sk-SK"/>
        </a:p>
      </dgm:t>
    </dgm:pt>
    <dgm:pt modelId="{2AFAB427-F4B4-4D2B-A390-403F99C1FAB8}" type="pres">
      <dgm:prSet presAssocID="{10A25E27-9FD4-4943-9587-BC0DF6CC13C7}" presName="hierChild4" presStyleCnt="0"/>
      <dgm:spPr/>
    </dgm:pt>
    <dgm:pt modelId="{C04239BF-C36B-475A-89BF-15137352AF6A}" type="pres">
      <dgm:prSet presAssocID="{10A25E27-9FD4-4943-9587-BC0DF6CC13C7}" presName="hierChild5" presStyleCnt="0"/>
      <dgm:spPr/>
    </dgm:pt>
    <dgm:pt modelId="{E6CDE11D-F6BE-4B15-92B5-33A9EA5E9BD0}" type="pres">
      <dgm:prSet presAssocID="{151B3988-40EB-44CB-82D8-FCE8606ACCFB}" presName="Name35" presStyleLbl="parChTrans1D3" presStyleIdx="3" presStyleCnt="9"/>
      <dgm:spPr/>
      <dgm:t>
        <a:bodyPr/>
        <a:lstStyle/>
        <a:p>
          <a:endParaRPr lang="sk-SK"/>
        </a:p>
      </dgm:t>
    </dgm:pt>
    <dgm:pt modelId="{C11D0BEE-5010-4131-B654-4D48C7E3C18F}" type="pres">
      <dgm:prSet presAssocID="{52060DF1-1684-431F-BB01-97DAE3F6B1A5}" presName="hierRoot2" presStyleCnt="0">
        <dgm:presLayoutVars>
          <dgm:hierBranch/>
        </dgm:presLayoutVars>
      </dgm:prSet>
      <dgm:spPr/>
    </dgm:pt>
    <dgm:pt modelId="{6FFCC8BA-76E5-4714-8CEF-5A754694CA32}" type="pres">
      <dgm:prSet presAssocID="{52060DF1-1684-431F-BB01-97DAE3F6B1A5}" presName="rootComposite" presStyleCnt="0"/>
      <dgm:spPr/>
    </dgm:pt>
    <dgm:pt modelId="{99F8C092-F51A-4F34-92D9-4E8BDC051C7D}" type="pres">
      <dgm:prSet presAssocID="{52060DF1-1684-431F-BB01-97DAE3F6B1A5}" presName="rootText" presStyleLbl="node3" presStyleIdx="3" presStyleCnt="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B1B5205-9015-4658-8774-A042A0067816}" type="pres">
      <dgm:prSet presAssocID="{52060DF1-1684-431F-BB01-97DAE3F6B1A5}" presName="rootConnector" presStyleLbl="node3" presStyleIdx="3" presStyleCnt="9"/>
      <dgm:spPr/>
      <dgm:t>
        <a:bodyPr/>
        <a:lstStyle/>
        <a:p>
          <a:endParaRPr lang="sk-SK"/>
        </a:p>
      </dgm:t>
    </dgm:pt>
    <dgm:pt modelId="{6862B5B2-5F9B-4BE7-BBC9-6E75C96EE790}" type="pres">
      <dgm:prSet presAssocID="{52060DF1-1684-431F-BB01-97DAE3F6B1A5}" presName="hierChild4" presStyleCnt="0"/>
      <dgm:spPr/>
    </dgm:pt>
    <dgm:pt modelId="{1BEB2079-3B95-4370-9299-C9B958F91072}" type="pres">
      <dgm:prSet presAssocID="{52060DF1-1684-431F-BB01-97DAE3F6B1A5}" presName="hierChild5" presStyleCnt="0"/>
      <dgm:spPr/>
    </dgm:pt>
    <dgm:pt modelId="{429E14FF-8A0A-4E02-A891-01FB2357F631}" type="pres">
      <dgm:prSet presAssocID="{F3641164-AB57-4B10-96C5-7A41A0616DA1}" presName="hierChild5" presStyleCnt="0"/>
      <dgm:spPr/>
    </dgm:pt>
    <dgm:pt modelId="{160A687B-F52D-4ECC-84D7-778803A55C2F}" type="pres">
      <dgm:prSet presAssocID="{AAEE6262-F76A-4D4C-9A91-601191C99486}" presName="Name35" presStyleLbl="parChTrans1D2" presStyleIdx="1" presStyleCnt="2"/>
      <dgm:spPr/>
      <dgm:t>
        <a:bodyPr/>
        <a:lstStyle/>
        <a:p>
          <a:endParaRPr lang="sk-SK"/>
        </a:p>
      </dgm:t>
    </dgm:pt>
    <dgm:pt modelId="{58A40BAD-DB21-4244-B11C-F96FA5D53454}" type="pres">
      <dgm:prSet presAssocID="{E69A44FA-528B-4AD3-A940-3C49E4596464}" presName="hierRoot2" presStyleCnt="0">
        <dgm:presLayoutVars>
          <dgm:hierBranch val="r"/>
        </dgm:presLayoutVars>
      </dgm:prSet>
      <dgm:spPr/>
    </dgm:pt>
    <dgm:pt modelId="{3575EF1C-FD4A-4943-AE15-12136D1F8D75}" type="pres">
      <dgm:prSet presAssocID="{E69A44FA-528B-4AD3-A940-3C49E4596464}" presName="rootComposite" presStyleCnt="0"/>
      <dgm:spPr/>
    </dgm:pt>
    <dgm:pt modelId="{1555B2B0-29B0-434E-A2CA-52294FACCBD2}" type="pres">
      <dgm:prSet presAssocID="{E69A44FA-528B-4AD3-A940-3C49E4596464}" presName="rootText" presStyleLbl="node2" presStyleIdx="1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E609DD9-901C-4CFC-9B7C-847129D6F8EE}" type="pres">
      <dgm:prSet presAssocID="{E69A44FA-528B-4AD3-A940-3C49E4596464}" presName="rootConnector" presStyleLbl="node2" presStyleIdx="1" presStyleCnt="2"/>
      <dgm:spPr/>
      <dgm:t>
        <a:bodyPr/>
        <a:lstStyle/>
        <a:p>
          <a:endParaRPr lang="sk-SK"/>
        </a:p>
      </dgm:t>
    </dgm:pt>
    <dgm:pt modelId="{F8E9B394-B996-4BDE-BE47-FF40F9049B4E}" type="pres">
      <dgm:prSet presAssocID="{E69A44FA-528B-4AD3-A940-3C49E4596464}" presName="hierChild4" presStyleCnt="0"/>
      <dgm:spPr/>
    </dgm:pt>
    <dgm:pt modelId="{9F64B4C7-08C2-4F6C-B527-EE2F2E561C0D}" type="pres">
      <dgm:prSet presAssocID="{2D05762E-75D5-4DD7-B36B-EDD9DEF793AB}" presName="Name50" presStyleLbl="parChTrans1D3" presStyleIdx="4" presStyleCnt="9"/>
      <dgm:spPr/>
      <dgm:t>
        <a:bodyPr/>
        <a:lstStyle/>
        <a:p>
          <a:endParaRPr lang="sk-SK"/>
        </a:p>
      </dgm:t>
    </dgm:pt>
    <dgm:pt modelId="{19CF98C0-2F4A-40C9-A551-418A2C0F7B43}" type="pres">
      <dgm:prSet presAssocID="{EA02727D-C4A3-402E-B80B-735122172B2D}" presName="hierRoot2" presStyleCnt="0">
        <dgm:presLayoutVars>
          <dgm:hierBranch val="r"/>
        </dgm:presLayoutVars>
      </dgm:prSet>
      <dgm:spPr/>
    </dgm:pt>
    <dgm:pt modelId="{7D7995DD-409B-469B-9FE2-0972F2F275B0}" type="pres">
      <dgm:prSet presAssocID="{EA02727D-C4A3-402E-B80B-735122172B2D}" presName="rootComposite" presStyleCnt="0"/>
      <dgm:spPr/>
    </dgm:pt>
    <dgm:pt modelId="{96936B64-CA0D-4811-9939-4915B8AA7DB9}" type="pres">
      <dgm:prSet presAssocID="{EA02727D-C4A3-402E-B80B-735122172B2D}" presName="rootText" presStyleLbl="node3" presStyleIdx="4" presStyleCnt="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8689CA0-8D2E-4942-BCB7-2701D398C3F4}" type="pres">
      <dgm:prSet presAssocID="{EA02727D-C4A3-402E-B80B-735122172B2D}" presName="rootConnector" presStyleLbl="node3" presStyleIdx="4" presStyleCnt="9"/>
      <dgm:spPr/>
      <dgm:t>
        <a:bodyPr/>
        <a:lstStyle/>
        <a:p>
          <a:endParaRPr lang="sk-SK"/>
        </a:p>
      </dgm:t>
    </dgm:pt>
    <dgm:pt modelId="{C54432A1-0D14-4AD4-BDAE-A1F94AFAD097}" type="pres">
      <dgm:prSet presAssocID="{EA02727D-C4A3-402E-B80B-735122172B2D}" presName="hierChild4" presStyleCnt="0"/>
      <dgm:spPr/>
    </dgm:pt>
    <dgm:pt modelId="{66246212-08A3-4412-9C87-E27ECC59ADF1}" type="pres">
      <dgm:prSet presAssocID="{EA02727D-C4A3-402E-B80B-735122172B2D}" presName="hierChild5" presStyleCnt="0"/>
      <dgm:spPr/>
    </dgm:pt>
    <dgm:pt modelId="{A87CD187-2D44-45DF-9425-B838B007328D}" type="pres">
      <dgm:prSet presAssocID="{C3B7D76D-10F1-4CD3-B592-DEC87402D533}" presName="Name50" presStyleLbl="parChTrans1D3" presStyleIdx="5" presStyleCnt="9"/>
      <dgm:spPr/>
      <dgm:t>
        <a:bodyPr/>
        <a:lstStyle/>
        <a:p>
          <a:endParaRPr lang="sk-SK"/>
        </a:p>
      </dgm:t>
    </dgm:pt>
    <dgm:pt modelId="{C3077A0F-6BE3-430A-989B-BAFC098A62E4}" type="pres">
      <dgm:prSet presAssocID="{198AC646-5269-43F7-8FAA-E652DF3451B8}" presName="hierRoot2" presStyleCnt="0">
        <dgm:presLayoutVars>
          <dgm:hierBranch val="r"/>
        </dgm:presLayoutVars>
      </dgm:prSet>
      <dgm:spPr/>
    </dgm:pt>
    <dgm:pt modelId="{1E3EFD99-08E8-4CBE-8D54-24294296558D}" type="pres">
      <dgm:prSet presAssocID="{198AC646-5269-43F7-8FAA-E652DF3451B8}" presName="rootComposite" presStyleCnt="0"/>
      <dgm:spPr/>
    </dgm:pt>
    <dgm:pt modelId="{2D75D107-2F00-45E5-B669-EF8F07C24287}" type="pres">
      <dgm:prSet presAssocID="{198AC646-5269-43F7-8FAA-E652DF3451B8}" presName="rootText" presStyleLbl="node3" presStyleIdx="5" presStyleCnt="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7CC547D-99BC-4E1D-B4A0-45060BD9D2A7}" type="pres">
      <dgm:prSet presAssocID="{198AC646-5269-43F7-8FAA-E652DF3451B8}" presName="rootConnector" presStyleLbl="node3" presStyleIdx="5" presStyleCnt="9"/>
      <dgm:spPr/>
      <dgm:t>
        <a:bodyPr/>
        <a:lstStyle/>
        <a:p>
          <a:endParaRPr lang="sk-SK"/>
        </a:p>
      </dgm:t>
    </dgm:pt>
    <dgm:pt modelId="{64D1FC97-C80F-4E50-A18C-76EAB2C41941}" type="pres">
      <dgm:prSet presAssocID="{198AC646-5269-43F7-8FAA-E652DF3451B8}" presName="hierChild4" presStyleCnt="0"/>
      <dgm:spPr/>
    </dgm:pt>
    <dgm:pt modelId="{FC08497A-A698-48C0-8F7B-505C6A78550F}" type="pres">
      <dgm:prSet presAssocID="{198AC646-5269-43F7-8FAA-E652DF3451B8}" presName="hierChild5" presStyleCnt="0"/>
      <dgm:spPr/>
    </dgm:pt>
    <dgm:pt modelId="{3FDF4BA8-72F4-41C1-A973-28182216429F}" type="pres">
      <dgm:prSet presAssocID="{71C88D83-E96F-45EF-BADA-B355CD8E0C3E}" presName="Name50" presStyleLbl="parChTrans1D3" presStyleIdx="6" presStyleCnt="9"/>
      <dgm:spPr/>
      <dgm:t>
        <a:bodyPr/>
        <a:lstStyle/>
        <a:p>
          <a:endParaRPr lang="sk-SK"/>
        </a:p>
      </dgm:t>
    </dgm:pt>
    <dgm:pt modelId="{91374A1F-E642-4DE8-AF94-B4464BF157FC}" type="pres">
      <dgm:prSet presAssocID="{CF04E7DF-C021-4A6D-9C48-099414B0A9AF}" presName="hierRoot2" presStyleCnt="0">
        <dgm:presLayoutVars>
          <dgm:hierBranch val="r"/>
        </dgm:presLayoutVars>
      </dgm:prSet>
      <dgm:spPr/>
    </dgm:pt>
    <dgm:pt modelId="{1B652140-ED05-44B5-83C8-370E98344B51}" type="pres">
      <dgm:prSet presAssocID="{CF04E7DF-C021-4A6D-9C48-099414B0A9AF}" presName="rootComposite" presStyleCnt="0"/>
      <dgm:spPr/>
    </dgm:pt>
    <dgm:pt modelId="{20152BF7-67C9-485D-9159-22D20F9A13E1}" type="pres">
      <dgm:prSet presAssocID="{CF04E7DF-C021-4A6D-9C48-099414B0A9AF}" presName="rootText" presStyleLbl="node3" presStyleIdx="6" presStyleCnt="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A11AB61-B626-4239-8180-699C32BA77BD}" type="pres">
      <dgm:prSet presAssocID="{CF04E7DF-C021-4A6D-9C48-099414B0A9AF}" presName="rootConnector" presStyleLbl="node3" presStyleIdx="6" presStyleCnt="9"/>
      <dgm:spPr/>
      <dgm:t>
        <a:bodyPr/>
        <a:lstStyle/>
        <a:p>
          <a:endParaRPr lang="sk-SK"/>
        </a:p>
      </dgm:t>
    </dgm:pt>
    <dgm:pt modelId="{922768CE-F651-4E75-9711-CD47F71A46EF}" type="pres">
      <dgm:prSet presAssocID="{CF04E7DF-C021-4A6D-9C48-099414B0A9AF}" presName="hierChild4" presStyleCnt="0"/>
      <dgm:spPr/>
    </dgm:pt>
    <dgm:pt modelId="{48FFB42C-D6DD-43A2-8626-4192B03802D6}" type="pres">
      <dgm:prSet presAssocID="{CF04E7DF-C021-4A6D-9C48-099414B0A9AF}" presName="hierChild5" presStyleCnt="0"/>
      <dgm:spPr/>
    </dgm:pt>
    <dgm:pt modelId="{D303C0BA-5A1C-47C3-A39D-4F4E1BD8F6F5}" type="pres">
      <dgm:prSet presAssocID="{A86DA287-59D3-49F6-A4A8-BF68E94B9EDD}" presName="Name50" presStyleLbl="parChTrans1D3" presStyleIdx="7" presStyleCnt="9"/>
      <dgm:spPr/>
      <dgm:t>
        <a:bodyPr/>
        <a:lstStyle/>
        <a:p>
          <a:endParaRPr lang="sk-SK"/>
        </a:p>
      </dgm:t>
    </dgm:pt>
    <dgm:pt modelId="{43BA02E0-B448-4456-9000-9198C07E8EAB}" type="pres">
      <dgm:prSet presAssocID="{A5EA9753-05B8-4EC0-88E6-E335D784DE1F}" presName="hierRoot2" presStyleCnt="0">
        <dgm:presLayoutVars>
          <dgm:hierBranch val="r"/>
        </dgm:presLayoutVars>
      </dgm:prSet>
      <dgm:spPr/>
    </dgm:pt>
    <dgm:pt modelId="{1DE3445B-D404-40B9-9F38-F02CC625B63F}" type="pres">
      <dgm:prSet presAssocID="{A5EA9753-05B8-4EC0-88E6-E335D784DE1F}" presName="rootComposite" presStyleCnt="0"/>
      <dgm:spPr/>
    </dgm:pt>
    <dgm:pt modelId="{92AD38E5-660E-4B2A-B6D2-C43F8FCBF38E}" type="pres">
      <dgm:prSet presAssocID="{A5EA9753-05B8-4EC0-88E6-E335D784DE1F}" presName="rootText" presStyleLbl="node3" presStyleIdx="7" presStyleCnt="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5EAAEE3-2037-47D7-8F7F-8CEEA2305D56}" type="pres">
      <dgm:prSet presAssocID="{A5EA9753-05B8-4EC0-88E6-E335D784DE1F}" presName="rootConnector" presStyleLbl="node3" presStyleIdx="7" presStyleCnt="9"/>
      <dgm:spPr/>
      <dgm:t>
        <a:bodyPr/>
        <a:lstStyle/>
        <a:p>
          <a:endParaRPr lang="sk-SK"/>
        </a:p>
      </dgm:t>
    </dgm:pt>
    <dgm:pt modelId="{10B1B8AB-F09B-49C2-B9F1-86E234E468A9}" type="pres">
      <dgm:prSet presAssocID="{A5EA9753-05B8-4EC0-88E6-E335D784DE1F}" presName="hierChild4" presStyleCnt="0"/>
      <dgm:spPr/>
    </dgm:pt>
    <dgm:pt modelId="{A5F6D24E-09C9-4E81-A6A3-451457E8957E}" type="pres">
      <dgm:prSet presAssocID="{A5EA9753-05B8-4EC0-88E6-E335D784DE1F}" presName="hierChild5" presStyleCnt="0"/>
      <dgm:spPr/>
    </dgm:pt>
    <dgm:pt modelId="{C6679017-1444-4DA5-9AD1-8E3FAF926A86}" type="pres">
      <dgm:prSet presAssocID="{10CA994C-AE87-4B5D-AEBE-0D672D75861A}" presName="Name50" presStyleLbl="parChTrans1D3" presStyleIdx="8" presStyleCnt="9"/>
      <dgm:spPr/>
      <dgm:t>
        <a:bodyPr/>
        <a:lstStyle/>
        <a:p>
          <a:endParaRPr lang="sk-SK"/>
        </a:p>
      </dgm:t>
    </dgm:pt>
    <dgm:pt modelId="{6C57D3FA-57BE-4BAC-A634-C6F828B04D2E}" type="pres">
      <dgm:prSet presAssocID="{AC47E562-7628-41DB-A904-672698DB4430}" presName="hierRoot2" presStyleCnt="0">
        <dgm:presLayoutVars>
          <dgm:hierBranch val="r"/>
        </dgm:presLayoutVars>
      </dgm:prSet>
      <dgm:spPr/>
    </dgm:pt>
    <dgm:pt modelId="{818979A8-886E-435C-9C97-32B9108BD436}" type="pres">
      <dgm:prSet presAssocID="{AC47E562-7628-41DB-A904-672698DB4430}" presName="rootComposite" presStyleCnt="0"/>
      <dgm:spPr/>
    </dgm:pt>
    <dgm:pt modelId="{5DFA9135-E288-456F-BC6E-88CDBCF553F0}" type="pres">
      <dgm:prSet presAssocID="{AC47E562-7628-41DB-A904-672698DB4430}" presName="rootText" presStyleLbl="node3" presStyleIdx="8" presStyleCnt="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C812C6B-36EF-48DE-B36E-5B30A434F78B}" type="pres">
      <dgm:prSet presAssocID="{AC47E562-7628-41DB-A904-672698DB4430}" presName="rootConnector" presStyleLbl="node3" presStyleIdx="8" presStyleCnt="9"/>
      <dgm:spPr/>
      <dgm:t>
        <a:bodyPr/>
        <a:lstStyle/>
        <a:p>
          <a:endParaRPr lang="sk-SK"/>
        </a:p>
      </dgm:t>
    </dgm:pt>
    <dgm:pt modelId="{609DE73F-B650-4BCD-8C44-A0CB3E93E1EA}" type="pres">
      <dgm:prSet presAssocID="{AC47E562-7628-41DB-A904-672698DB4430}" presName="hierChild4" presStyleCnt="0"/>
      <dgm:spPr/>
    </dgm:pt>
    <dgm:pt modelId="{18B6A6CB-890A-4977-967B-9726C81896A2}" type="pres">
      <dgm:prSet presAssocID="{AC47E562-7628-41DB-A904-672698DB4430}" presName="hierChild5" presStyleCnt="0"/>
      <dgm:spPr/>
    </dgm:pt>
    <dgm:pt modelId="{49731F93-6205-43C4-83EA-9A39BAC6E481}" type="pres">
      <dgm:prSet presAssocID="{E69A44FA-528B-4AD3-A940-3C49E4596464}" presName="hierChild5" presStyleCnt="0"/>
      <dgm:spPr/>
    </dgm:pt>
    <dgm:pt modelId="{E03FD790-8D60-4E2B-A6DF-70F0E270AD8F}" type="pres">
      <dgm:prSet presAssocID="{D4B9FEFA-5287-4953-88F0-FD846EEC2CA4}" presName="hierChild3" presStyleCnt="0"/>
      <dgm:spPr/>
    </dgm:pt>
  </dgm:ptLst>
  <dgm:cxnLst>
    <dgm:cxn modelId="{66380765-4483-4688-A33B-F5EC443EB3AA}" type="presOf" srcId="{533426E3-9C8D-4FBD-84E8-33AF7DBDC872}" destId="{D3F2DED7-FC9E-4E4F-ACAB-A3BE23FD7955}" srcOrd="0" destOrd="0" presId="urn:microsoft.com/office/officeart/2005/8/layout/orgChart1"/>
    <dgm:cxn modelId="{9CDC187C-1312-421B-8BF1-8DE74FA7D8AA}" type="presOf" srcId="{A5EA9753-05B8-4EC0-88E6-E335D784DE1F}" destId="{92AD38E5-660E-4B2A-B6D2-C43F8FCBF38E}" srcOrd="0" destOrd="0" presId="urn:microsoft.com/office/officeart/2005/8/layout/orgChart1"/>
    <dgm:cxn modelId="{E993C1F9-B8A2-4806-B0E8-A76897C43A03}" type="presOf" srcId="{AC47E562-7628-41DB-A904-672698DB4430}" destId="{5DFA9135-E288-456F-BC6E-88CDBCF553F0}" srcOrd="0" destOrd="0" presId="urn:microsoft.com/office/officeart/2005/8/layout/orgChart1"/>
    <dgm:cxn modelId="{3B29A43E-F9F0-40FA-B0E2-FDD1317D8A8D}" type="presOf" srcId="{312E1243-1432-42F7-AB1B-C22A376341BA}" destId="{05515057-879F-4D32-B1FD-AC1C515D5335}" srcOrd="0" destOrd="0" presId="urn:microsoft.com/office/officeart/2005/8/layout/orgChart1"/>
    <dgm:cxn modelId="{C8887C94-EAD1-4AAF-BC83-E993F67EC231}" type="presOf" srcId="{EA02727D-C4A3-402E-B80B-735122172B2D}" destId="{96936B64-CA0D-4811-9939-4915B8AA7DB9}" srcOrd="0" destOrd="0" presId="urn:microsoft.com/office/officeart/2005/8/layout/orgChart1"/>
    <dgm:cxn modelId="{9FD80629-D462-4606-9F7C-BC4E9F98DC7A}" type="presOf" srcId="{10A25E27-9FD4-4943-9587-BC0DF6CC13C7}" destId="{09EBD14B-ECE0-4DC3-859E-405BD49D78B6}" srcOrd="1" destOrd="0" presId="urn:microsoft.com/office/officeart/2005/8/layout/orgChart1"/>
    <dgm:cxn modelId="{1F025EF4-DE95-4225-868C-C7285C2B0D35}" type="presOf" srcId="{52060DF1-1684-431F-BB01-97DAE3F6B1A5}" destId="{99F8C092-F51A-4F34-92D9-4E8BDC051C7D}" srcOrd="0" destOrd="0" presId="urn:microsoft.com/office/officeart/2005/8/layout/orgChart1"/>
    <dgm:cxn modelId="{8589EC2F-4CFC-403B-98D6-CCD0E3E67718}" srcId="{F3641164-AB57-4B10-96C5-7A41A0616DA1}" destId="{41831708-CA58-42D6-B491-19CE8D1160A4}" srcOrd="0" destOrd="0" parTransId="{533426E3-9C8D-4FBD-84E8-33AF7DBDC872}" sibTransId="{1B318769-559E-43CC-9D13-13AB31880EDD}"/>
    <dgm:cxn modelId="{53AFADC5-1C1B-45BE-A4CA-8548A891CA77}" type="presOf" srcId="{D4B9FEFA-5287-4953-88F0-FD846EEC2CA4}" destId="{1B3E4EA8-888F-425B-85D5-C157098E82F6}" srcOrd="0" destOrd="0" presId="urn:microsoft.com/office/officeart/2005/8/layout/orgChart1"/>
    <dgm:cxn modelId="{8F9DFAAD-E728-4E18-97F1-DA27E29BC86B}" type="presOf" srcId="{CF04E7DF-C021-4A6D-9C48-099414B0A9AF}" destId="{20152BF7-67C9-485D-9159-22D20F9A13E1}" srcOrd="0" destOrd="0" presId="urn:microsoft.com/office/officeart/2005/8/layout/orgChart1"/>
    <dgm:cxn modelId="{AFAAF9CF-8348-44CC-BC92-337AA496137F}" type="presOf" srcId="{AC47E562-7628-41DB-A904-672698DB4430}" destId="{2C812C6B-36EF-48DE-B36E-5B30A434F78B}" srcOrd="1" destOrd="0" presId="urn:microsoft.com/office/officeart/2005/8/layout/orgChart1"/>
    <dgm:cxn modelId="{EAC5EF73-343D-4042-8D69-A5868919FCCD}" type="presOf" srcId="{E69A44FA-528B-4AD3-A940-3C49E4596464}" destId="{5E609DD9-901C-4CFC-9B7C-847129D6F8EE}" srcOrd="1" destOrd="0" presId="urn:microsoft.com/office/officeart/2005/8/layout/orgChart1"/>
    <dgm:cxn modelId="{E75E8420-2109-4DDA-B753-8A7DA611CB94}" type="presOf" srcId="{151B3988-40EB-44CB-82D8-FCE8606ACCFB}" destId="{E6CDE11D-F6BE-4B15-92B5-33A9EA5E9BD0}" srcOrd="0" destOrd="0" presId="urn:microsoft.com/office/officeart/2005/8/layout/orgChart1"/>
    <dgm:cxn modelId="{C48C2531-7849-4D57-96B5-375D652F9869}" srcId="{D4B9FEFA-5287-4953-88F0-FD846EEC2CA4}" destId="{E69A44FA-528B-4AD3-A940-3C49E4596464}" srcOrd="1" destOrd="0" parTransId="{AAEE6262-F76A-4D4C-9A91-601191C99486}" sibTransId="{89BC49F2-9C52-4C8D-B8E6-49535848D9BE}"/>
    <dgm:cxn modelId="{D079899D-65BF-4F38-BD95-280009E7B74B}" type="presOf" srcId="{2D05762E-75D5-4DD7-B36B-EDD9DEF793AB}" destId="{9F64B4C7-08C2-4F6C-B527-EE2F2E561C0D}" srcOrd="0" destOrd="0" presId="urn:microsoft.com/office/officeart/2005/8/layout/orgChart1"/>
    <dgm:cxn modelId="{D6BD679D-642F-4AB1-9165-8EFD584EB0F5}" srcId="{F3641164-AB57-4B10-96C5-7A41A0616DA1}" destId="{52060DF1-1684-431F-BB01-97DAE3F6B1A5}" srcOrd="3" destOrd="0" parTransId="{151B3988-40EB-44CB-82D8-FCE8606ACCFB}" sibTransId="{79F7544D-4147-467F-B9DF-EE88F615D398}"/>
    <dgm:cxn modelId="{DD43539A-8D58-4ED3-A7BB-9B0A2C2E265B}" srcId="{E69A44FA-528B-4AD3-A940-3C49E4596464}" destId="{EA02727D-C4A3-402E-B80B-735122172B2D}" srcOrd="0" destOrd="0" parTransId="{2D05762E-75D5-4DD7-B36B-EDD9DEF793AB}" sibTransId="{D9D37D71-F095-4834-AD10-A9A2781C9D72}"/>
    <dgm:cxn modelId="{A1960E5C-7450-4B47-B619-68AC3A2EFB82}" type="presOf" srcId="{312E1243-1432-42F7-AB1B-C22A376341BA}" destId="{0DBF7480-E326-4BF3-B412-09A0CCA5288E}" srcOrd="1" destOrd="0" presId="urn:microsoft.com/office/officeart/2005/8/layout/orgChart1"/>
    <dgm:cxn modelId="{289669B5-9DBD-4E7B-BF82-5BDA78007D14}" type="presOf" srcId="{85B542A1-DD2B-4203-A1B2-23653B574FEB}" destId="{9DFA5548-1A1A-4A21-A24A-12A0E15ED902}" srcOrd="0" destOrd="0" presId="urn:microsoft.com/office/officeart/2005/8/layout/orgChart1"/>
    <dgm:cxn modelId="{CE8AD3CE-5E96-467B-A030-92B3CC7995F5}" type="presOf" srcId="{10CA994C-AE87-4B5D-AEBE-0D672D75861A}" destId="{C6679017-1444-4DA5-9AD1-8E3FAF926A86}" srcOrd="0" destOrd="0" presId="urn:microsoft.com/office/officeart/2005/8/layout/orgChart1"/>
    <dgm:cxn modelId="{1F49AB5C-BCBF-403D-9B8C-829F75855EFD}" type="presOf" srcId="{198AC646-5269-43F7-8FAA-E652DF3451B8}" destId="{77CC547D-99BC-4E1D-B4A0-45060BD9D2A7}" srcOrd="1" destOrd="0" presId="urn:microsoft.com/office/officeart/2005/8/layout/orgChart1"/>
    <dgm:cxn modelId="{5943583D-0168-45F4-9CBF-6E104B0C035F}" type="presOf" srcId="{52060DF1-1684-431F-BB01-97DAE3F6B1A5}" destId="{EB1B5205-9015-4658-8774-A042A0067816}" srcOrd="1" destOrd="0" presId="urn:microsoft.com/office/officeart/2005/8/layout/orgChart1"/>
    <dgm:cxn modelId="{0A0916DE-0324-4C33-BA95-5BEE212E3816}" type="presOf" srcId="{9E043AC6-38D1-4E32-8E07-2BB9470C27C1}" destId="{2AEDF909-23B6-4F59-A5ED-1E2ED8518C1A}" srcOrd="0" destOrd="0" presId="urn:microsoft.com/office/officeart/2005/8/layout/orgChart1"/>
    <dgm:cxn modelId="{7A94AEB7-30E5-44F6-9293-3D8707E15D60}" type="presOf" srcId="{CF04E7DF-C021-4A6D-9C48-099414B0A9AF}" destId="{4A11AB61-B626-4239-8180-699C32BA77BD}" srcOrd="1" destOrd="0" presId="urn:microsoft.com/office/officeart/2005/8/layout/orgChart1"/>
    <dgm:cxn modelId="{A27A2D12-4203-425D-92E9-6889E34C7BE6}" type="presOf" srcId="{7D61DED4-931E-4EBC-9B90-C373D06707ED}" destId="{B37BD691-E19F-4907-8CAD-315DB76B54FB}" srcOrd="0" destOrd="0" presId="urn:microsoft.com/office/officeart/2005/8/layout/orgChart1"/>
    <dgm:cxn modelId="{EBACACB0-7FD6-4224-A00B-0CAB62EBB0B9}" type="presOf" srcId="{A86DA287-59D3-49F6-A4A8-BF68E94B9EDD}" destId="{D303C0BA-5A1C-47C3-A39D-4F4E1BD8F6F5}" srcOrd="0" destOrd="0" presId="urn:microsoft.com/office/officeart/2005/8/layout/orgChart1"/>
    <dgm:cxn modelId="{B86424B4-FC65-440D-A480-3E34D44C09E3}" srcId="{E69A44FA-528B-4AD3-A940-3C49E4596464}" destId="{CF04E7DF-C021-4A6D-9C48-099414B0A9AF}" srcOrd="2" destOrd="0" parTransId="{71C88D83-E96F-45EF-BADA-B355CD8E0C3E}" sibTransId="{29E5F53B-19F3-4F10-A390-7EB7B1D6FBA8}"/>
    <dgm:cxn modelId="{C26FD9BC-DFC5-45D4-98C2-526C5EB5FE28}" type="presOf" srcId="{EA02727D-C4A3-402E-B80B-735122172B2D}" destId="{18689CA0-8D2E-4942-BCB7-2701D398C3F4}" srcOrd="1" destOrd="0" presId="urn:microsoft.com/office/officeart/2005/8/layout/orgChart1"/>
    <dgm:cxn modelId="{8AD358BB-5C9A-4502-A0CC-65853DFB88C4}" type="presOf" srcId="{F3641164-AB57-4B10-96C5-7A41A0616DA1}" destId="{9236C20B-643B-4B57-9186-D6C14364F5E9}" srcOrd="1" destOrd="0" presId="urn:microsoft.com/office/officeart/2005/8/layout/orgChart1"/>
    <dgm:cxn modelId="{E9F1136B-F3CB-4640-9AA5-CE10D45B935E}" srcId="{E69A44FA-528B-4AD3-A940-3C49E4596464}" destId="{AC47E562-7628-41DB-A904-672698DB4430}" srcOrd="4" destOrd="0" parTransId="{10CA994C-AE87-4B5D-AEBE-0D672D75861A}" sibTransId="{6C092404-AFFB-4BAC-AAB2-C945D75D4F10}"/>
    <dgm:cxn modelId="{8D51DA8B-8E34-4FAE-960E-0558AD7E3322}" type="presOf" srcId="{10A25E27-9FD4-4943-9587-BC0DF6CC13C7}" destId="{744FB36E-E12F-45F4-A124-2F6FA6A2574F}" srcOrd="0" destOrd="0" presId="urn:microsoft.com/office/officeart/2005/8/layout/orgChart1"/>
    <dgm:cxn modelId="{984670CB-3BFE-439A-8426-7BE40A40A7B4}" type="presOf" srcId="{F3641164-AB57-4B10-96C5-7A41A0616DA1}" destId="{1E28682F-52AC-43C2-ABB7-C79162D52BED}" srcOrd="0" destOrd="0" presId="urn:microsoft.com/office/officeart/2005/8/layout/orgChart1"/>
    <dgm:cxn modelId="{AB32B100-491F-4206-B081-361DAC19F4DC}" type="presOf" srcId="{E69A44FA-528B-4AD3-A940-3C49E4596464}" destId="{1555B2B0-29B0-434E-A2CA-52294FACCBD2}" srcOrd="0" destOrd="0" presId="urn:microsoft.com/office/officeart/2005/8/layout/orgChart1"/>
    <dgm:cxn modelId="{56A3503E-13AF-4B9A-B2CE-A94D57B3A2F3}" srcId="{E69A44FA-528B-4AD3-A940-3C49E4596464}" destId="{198AC646-5269-43F7-8FAA-E652DF3451B8}" srcOrd="1" destOrd="0" parTransId="{C3B7D76D-10F1-4CD3-B592-DEC87402D533}" sibTransId="{535D7424-8948-4253-8B04-028DD82836E7}"/>
    <dgm:cxn modelId="{72718372-D10F-48DD-A32F-2333BDA89F49}" type="presOf" srcId="{198AC646-5269-43F7-8FAA-E652DF3451B8}" destId="{2D75D107-2F00-45E5-B669-EF8F07C24287}" srcOrd="0" destOrd="0" presId="urn:microsoft.com/office/officeart/2005/8/layout/orgChart1"/>
    <dgm:cxn modelId="{82BF5631-E5B5-427F-B3F1-4FEB0B6B9BD0}" type="presOf" srcId="{41831708-CA58-42D6-B491-19CE8D1160A4}" destId="{ABB9D037-8796-460B-96A0-6AAF36EF2F9F}" srcOrd="0" destOrd="0" presId="urn:microsoft.com/office/officeart/2005/8/layout/orgChart1"/>
    <dgm:cxn modelId="{FA7DC873-9A62-4A63-8C8E-1CE62B13AF79}" type="presOf" srcId="{6C25FA9F-C9A7-44DE-BC7A-D0ED8F0ADEEB}" destId="{30C45E26-E25A-4A93-A107-6A22E82AF2A9}" srcOrd="0" destOrd="0" presId="urn:microsoft.com/office/officeart/2005/8/layout/orgChart1"/>
    <dgm:cxn modelId="{9C9933D9-2130-44C3-A5EB-AF85C3380A81}" srcId="{E69A44FA-528B-4AD3-A940-3C49E4596464}" destId="{A5EA9753-05B8-4EC0-88E6-E335D784DE1F}" srcOrd="3" destOrd="0" parTransId="{A86DA287-59D3-49F6-A4A8-BF68E94B9EDD}" sibTransId="{731D247A-1F84-4464-932F-0A2623BD16E8}"/>
    <dgm:cxn modelId="{952AD93D-0E1C-4804-B088-52CBD63D7B2F}" type="presOf" srcId="{A5EA9753-05B8-4EC0-88E6-E335D784DE1F}" destId="{D5EAAEE3-2037-47D7-8F7F-8CEEA2305D56}" srcOrd="1" destOrd="0" presId="urn:microsoft.com/office/officeart/2005/8/layout/orgChart1"/>
    <dgm:cxn modelId="{68D51E36-1DEC-415B-9F23-9CE16D247B5D}" srcId="{D4B9FEFA-5287-4953-88F0-FD846EEC2CA4}" destId="{F3641164-AB57-4B10-96C5-7A41A0616DA1}" srcOrd="0" destOrd="0" parTransId="{85B542A1-DD2B-4203-A1B2-23653B574FEB}" sibTransId="{5DC0FF26-4C8D-43ED-9A2D-AED65F347FBE}"/>
    <dgm:cxn modelId="{AA03D3E4-B619-4E41-9666-F6ADC4C668FB}" type="presOf" srcId="{AAEE6262-F76A-4D4C-9A91-601191C99486}" destId="{160A687B-F52D-4ECC-84D7-778803A55C2F}" srcOrd="0" destOrd="0" presId="urn:microsoft.com/office/officeart/2005/8/layout/orgChart1"/>
    <dgm:cxn modelId="{09C1A931-991B-42D8-9B88-CD568466CE56}" type="presOf" srcId="{41831708-CA58-42D6-B491-19CE8D1160A4}" destId="{A8654CC7-4852-4ADF-8354-4A390A815DFA}" srcOrd="1" destOrd="0" presId="urn:microsoft.com/office/officeart/2005/8/layout/orgChart1"/>
    <dgm:cxn modelId="{3A22D9B7-C5A5-4A90-B4E1-2AB1D0AC97E7}" srcId="{6C25FA9F-C9A7-44DE-BC7A-D0ED8F0ADEEB}" destId="{D4B9FEFA-5287-4953-88F0-FD846EEC2CA4}" srcOrd="0" destOrd="0" parTransId="{9D6126CC-288E-4741-B56D-DD4BCA227FCE}" sibTransId="{759E12F5-5239-4611-8FEA-DF41302F797C}"/>
    <dgm:cxn modelId="{9A93E4C1-F974-4D5E-A1B2-25F6BBB3A684}" type="presOf" srcId="{71C88D83-E96F-45EF-BADA-B355CD8E0C3E}" destId="{3FDF4BA8-72F4-41C1-A973-28182216429F}" srcOrd="0" destOrd="0" presId="urn:microsoft.com/office/officeart/2005/8/layout/orgChart1"/>
    <dgm:cxn modelId="{2E14820F-FCBC-4A36-8B79-F5308F62D44F}" srcId="{F3641164-AB57-4B10-96C5-7A41A0616DA1}" destId="{10A25E27-9FD4-4943-9587-BC0DF6CC13C7}" srcOrd="2" destOrd="0" parTransId="{7D61DED4-931E-4EBC-9B90-C373D06707ED}" sibTransId="{2301E720-4604-4411-B171-54429AE4362F}"/>
    <dgm:cxn modelId="{2E050867-D079-40E1-92DB-44B6D1E5BCB9}" srcId="{F3641164-AB57-4B10-96C5-7A41A0616DA1}" destId="{312E1243-1432-42F7-AB1B-C22A376341BA}" srcOrd="1" destOrd="0" parTransId="{9E043AC6-38D1-4E32-8E07-2BB9470C27C1}" sibTransId="{55A190CF-81FB-4926-A68A-5C08637F9421}"/>
    <dgm:cxn modelId="{1B4B0ED8-F9A2-4918-85AE-6DA7AF772A41}" type="presOf" srcId="{C3B7D76D-10F1-4CD3-B592-DEC87402D533}" destId="{A87CD187-2D44-45DF-9425-B838B007328D}" srcOrd="0" destOrd="0" presId="urn:microsoft.com/office/officeart/2005/8/layout/orgChart1"/>
    <dgm:cxn modelId="{5A97D0FE-F000-43BC-A33A-92304AFE28C6}" type="presOf" srcId="{D4B9FEFA-5287-4953-88F0-FD846EEC2CA4}" destId="{134AF410-DFBB-47E1-9FD6-BCBC18DCEF92}" srcOrd="1" destOrd="0" presId="urn:microsoft.com/office/officeart/2005/8/layout/orgChart1"/>
    <dgm:cxn modelId="{1AD7F5A6-F824-463F-BB1C-002DEC8DB2FD}" type="presParOf" srcId="{30C45E26-E25A-4A93-A107-6A22E82AF2A9}" destId="{BFDA7B4F-5DA3-48EB-90E9-80CCEF8A65C0}" srcOrd="0" destOrd="0" presId="urn:microsoft.com/office/officeart/2005/8/layout/orgChart1"/>
    <dgm:cxn modelId="{F6317E37-03D5-48F1-A057-FF5E7C6EC1F6}" type="presParOf" srcId="{BFDA7B4F-5DA3-48EB-90E9-80CCEF8A65C0}" destId="{D988D5D1-0EBD-4ED0-82BD-E7DBC187C6FB}" srcOrd="0" destOrd="0" presId="urn:microsoft.com/office/officeart/2005/8/layout/orgChart1"/>
    <dgm:cxn modelId="{C9815D87-2A51-4771-A26B-0B3240B8136E}" type="presParOf" srcId="{D988D5D1-0EBD-4ED0-82BD-E7DBC187C6FB}" destId="{1B3E4EA8-888F-425B-85D5-C157098E82F6}" srcOrd="0" destOrd="0" presId="urn:microsoft.com/office/officeart/2005/8/layout/orgChart1"/>
    <dgm:cxn modelId="{4D315604-BA6E-4DD5-8997-DA1F074B1531}" type="presParOf" srcId="{D988D5D1-0EBD-4ED0-82BD-E7DBC187C6FB}" destId="{134AF410-DFBB-47E1-9FD6-BCBC18DCEF92}" srcOrd="1" destOrd="0" presId="urn:microsoft.com/office/officeart/2005/8/layout/orgChart1"/>
    <dgm:cxn modelId="{79976BCA-B5F3-4913-9309-4224EB84F292}" type="presParOf" srcId="{BFDA7B4F-5DA3-48EB-90E9-80CCEF8A65C0}" destId="{FA7C2C6C-F45F-46AC-A6B0-8CA8100CA6AD}" srcOrd="1" destOrd="0" presId="urn:microsoft.com/office/officeart/2005/8/layout/orgChart1"/>
    <dgm:cxn modelId="{419DCD5F-2F13-49B4-B9CA-7FCEE3B96DF9}" type="presParOf" srcId="{FA7C2C6C-F45F-46AC-A6B0-8CA8100CA6AD}" destId="{9DFA5548-1A1A-4A21-A24A-12A0E15ED902}" srcOrd="0" destOrd="0" presId="urn:microsoft.com/office/officeart/2005/8/layout/orgChart1"/>
    <dgm:cxn modelId="{688EE31B-A1CB-490D-B36C-75FAFEF6F515}" type="presParOf" srcId="{FA7C2C6C-F45F-46AC-A6B0-8CA8100CA6AD}" destId="{682D7D52-A800-4943-80A3-B8E571485F7B}" srcOrd="1" destOrd="0" presId="urn:microsoft.com/office/officeart/2005/8/layout/orgChart1"/>
    <dgm:cxn modelId="{B36D71BE-886A-4AA4-8612-38A9A86BC554}" type="presParOf" srcId="{682D7D52-A800-4943-80A3-B8E571485F7B}" destId="{1CCBE809-8E06-467D-A987-2C7A65567A7A}" srcOrd="0" destOrd="0" presId="urn:microsoft.com/office/officeart/2005/8/layout/orgChart1"/>
    <dgm:cxn modelId="{A2983632-9091-4E07-A227-EEAD431A56B2}" type="presParOf" srcId="{1CCBE809-8E06-467D-A987-2C7A65567A7A}" destId="{1E28682F-52AC-43C2-ABB7-C79162D52BED}" srcOrd="0" destOrd="0" presId="urn:microsoft.com/office/officeart/2005/8/layout/orgChart1"/>
    <dgm:cxn modelId="{C6369C9C-0F5B-4722-A5C1-43500AEB9497}" type="presParOf" srcId="{1CCBE809-8E06-467D-A987-2C7A65567A7A}" destId="{9236C20B-643B-4B57-9186-D6C14364F5E9}" srcOrd="1" destOrd="0" presId="urn:microsoft.com/office/officeart/2005/8/layout/orgChart1"/>
    <dgm:cxn modelId="{281E63CB-5752-4D0E-9C1F-A4992F9C09BC}" type="presParOf" srcId="{682D7D52-A800-4943-80A3-B8E571485F7B}" destId="{E04435A1-08C0-42AB-8889-1CC49E468967}" srcOrd="1" destOrd="0" presId="urn:microsoft.com/office/officeart/2005/8/layout/orgChart1"/>
    <dgm:cxn modelId="{B1C14A78-E20C-485F-A61D-7F58A272D204}" type="presParOf" srcId="{E04435A1-08C0-42AB-8889-1CC49E468967}" destId="{D3F2DED7-FC9E-4E4F-ACAB-A3BE23FD7955}" srcOrd="0" destOrd="0" presId="urn:microsoft.com/office/officeart/2005/8/layout/orgChart1"/>
    <dgm:cxn modelId="{07E4F088-AEA6-4AAD-8C6F-916F902B1C30}" type="presParOf" srcId="{E04435A1-08C0-42AB-8889-1CC49E468967}" destId="{41CD8DA5-BF5B-419B-92EE-CE4D856E9394}" srcOrd="1" destOrd="0" presId="urn:microsoft.com/office/officeart/2005/8/layout/orgChart1"/>
    <dgm:cxn modelId="{FE58D53E-F032-4AED-B255-43F69C648620}" type="presParOf" srcId="{41CD8DA5-BF5B-419B-92EE-CE4D856E9394}" destId="{05C6DDE6-FCD3-49A9-BA23-A1DCA7EBC7F7}" srcOrd="0" destOrd="0" presId="urn:microsoft.com/office/officeart/2005/8/layout/orgChart1"/>
    <dgm:cxn modelId="{D6A1AE3C-ECB5-445E-BAC8-73FFF5363E99}" type="presParOf" srcId="{05C6DDE6-FCD3-49A9-BA23-A1DCA7EBC7F7}" destId="{ABB9D037-8796-460B-96A0-6AAF36EF2F9F}" srcOrd="0" destOrd="0" presId="urn:microsoft.com/office/officeart/2005/8/layout/orgChart1"/>
    <dgm:cxn modelId="{F95BDFA8-2AEA-4B6D-8D09-4FE6FC498616}" type="presParOf" srcId="{05C6DDE6-FCD3-49A9-BA23-A1DCA7EBC7F7}" destId="{A8654CC7-4852-4ADF-8354-4A390A815DFA}" srcOrd="1" destOrd="0" presId="urn:microsoft.com/office/officeart/2005/8/layout/orgChart1"/>
    <dgm:cxn modelId="{4481E903-48A1-4C44-87D0-A0A18E01C1DF}" type="presParOf" srcId="{41CD8DA5-BF5B-419B-92EE-CE4D856E9394}" destId="{A0E841DE-652E-413F-ACEC-B40056F8C788}" srcOrd="1" destOrd="0" presId="urn:microsoft.com/office/officeart/2005/8/layout/orgChart1"/>
    <dgm:cxn modelId="{CA3ADD83-8AF4-4B49-A3FA-6305BB58F04C}" type="presParOf" srcId="{41CD8DA5-BF5B-419B-92EE-CE4D856E9394}" destId="{A4A5DEAD-6306-4F2B-B497-B0C6098DBB3D}" srcOrd="2" destOrd="0" presId="urn:microsoft.com/office/officeart/2005/8/layout/orgChart1"/>
    <dgm:cxn modelId="{C9D55437-79D3-4CFC-8849-71C748DC1876}" type="presParOf" srcId="{E04435A1-08C0-42AB-8889-1CC49E468967}" destId="{2AEDF909-23B6-4F59-A5ED-1E2ED8518C1A}" srcOrd="2" destOrd="0" presId="urn:microsoft.com/office/officeart/2005/8/layout/orgChart1"/>
    <dgm:cxn modelId="{53903470-E2F0-4FE3-94A5-62295B14046F}" type="presParOf" srcId="{E04435A1-08C0-42AB-8889-1CC49E468967}" destId="{2F0FE92B-4D9F-42D3-A3B7-11CC22BD75B9}" srcOrd="3" destOrd="0" presId="urn:microsoft.com/office/officeart/2005/8/layout/orgChart1"/>
    <dgm:cxn modelId="{CEA43E78-0D2E-4895-9AF3-F4956927824A}" type="presParOf" srcId="{2F0FE92B-4D9F-42D3-A3B7-11CC22BD75B9}" destId="{8C736026-1299-4196-9A7C-F12FD3740A87}" srcOrd="0" destOrd="0" presId="urn:microsoft.com/office/officeart/2005/8/layout/orgChart1"/>
    <dgm:cxn modelId="{51F95672-4B2F-456C-84F8-B326A372F0A7}" type="presParOf" srcId="{8C736026-1299-4196-9A7C-F12FD3740A87}" destId="{05515057-879F-4D32-B1FD-AC1C515D5335}" srcOrd="0" destOrd="0" presId="urn:microsoft.com/office/officeart/2005/8/layout/orgChart1"/>
    <dgm:cxn modelId="{AC646B0D-3C9B-4159-A0CE-3F0AF3E88383}" type="presParOf" srcId="{8C736026-1299-4196-9A7C-F12FD3740A87}" destId="{0DBF7480-E326-4BF3-B412-09A0CCA5288E}" srcOrd="1" destOrd="0" presId="urn:microsoft.com/office/officeart/2005/8/layout/orgChart1"/>
    <dgm:cxn modelId="{0EBD09E7-6646-4582-825F-1345790E3EC9}" type="presParOf" srcId="{2F0FE92B-4D9F-42D3-A3B7-11CC22BD75B9}" destId="{B30A9599-8546-4E6E-BA6D-D16329E64769}" srcOrd="1" destOrd="0" presId="urn:microsoft.com/office/officeart/2005/8/layout/orgChart1"/>
    <dgm:cxn modelId="{AC3C7D94-7FA3-4AEB-8065-3F1EB5A906DB}" type="presParOf" srcId="{2F0FE92B-4D9F-42D3-A3B7-11CC22BD75B9}" destId="{DA1E4F69-C32C-4403-B03E-1E931D9D489B}" srcOrd="2" destOrd="0" presId="urn:microsoft.com/office/officeart/2005/8/layout/orgChart1"/>
    <dgm:cxn modelId="{80A07E81-1A90-4E75-90BE-C4604CE00CD2}" type="presParOf" srcId="{E04435A1-08C0-42AB-8889-1CC49E468967}" destId="{B37BD691-E19F-4907-8CAD-315DB76B54FB}" srcOrd="4" destOrd="0" presId="urn:microsoft.com/office/officeart/2005/8/layout/orgChart1"/>
    <dgm:cxn modelId="{9000B3F5-2C7D-4496-9EF9-BCE8BDA9092D}" type="presParOf" srcId="{E04435A1-08C0-42AB-8889-1CC49E468967}" destId="{A08177EE-711E-41E5-8626-80604034D64F}" srcOrd="5" destOrd="0" presId="urn:microsoft.com/office/officeart/2005/8/layout/orgChart1"/>
    <dgm:cxn modelId="{921F746F-6542-4B2A-9B5F-72ED3C723696}" type="presParOf" srcId="{A08177EE-711E-41E5-8626-80604034D64F}" destId="{E0D4A5CD-4C13-4FD0-8A51-B8F825DF724F}" srcOrd="0" destOrd="0" presId="urn:microsoft.com/office/officeart/2005/8/layout/orgChart1"/>
    <dgm:cxn modelId="{76E47ACA-AF66-4B1C-9E23-C0F205FCEA05}" type="presParOf" srcId="{E0D4A5CD-4C13-4FD0-8A51-B8F825DF724F}" destId="{744FB36E-E12F-45F4-A124-2F6FA6A2574F}" srcOrd="0" destOrd="0" presId="urn:microsoft.com/office/officeart/2005/8/layout/orgChart1"/>
    <dgm:cxn modelId="{74C57559-F253-4B38-A9BA-1E7506087B7A}" type="presParOf" srcId="{E0D4A5CD-4C13-4FD0-8A51-B8F825DF724F}" destId="{09EBD14B-ECE0-4DC3-859E-405BD49D78B6}" srcOrd="1" destOrd="0" presId="urn:microsoft.com/office/officeart/2005/8/layout/orgChart1"/>
    <dgm:cxn modelId="{5FE69106-CE2C-4B6E-A67C-35C8B6FD5E0C}" type="presParOf" srcId="{A08177EE-711E-41E5-8626-80604034D64F}" destId="{2AFAB427-F4B4-4D2B-A390-403F99C1FAB8}" srcOrd="1" destOrd="0" presId="urn:microsoft.com/office/officeart/2005/8/layout/orgChart1"/>
    <dgm:cxn modelId="{D8316F18-7EE4-4E26-81DD-8877CA7EAD5B}" type="presParOf" srcId="{A08177EE-711E-41E5-8626-80604034D64F}" destId="{C04239BF-C36B-475A-89BF-15137352AF6A}" srcOrd="2" destOrd="0" presId="urn:microsoft.com/office/officeart/2005/8/layout/orgChart1"/>
    <dgm:cxn modelId="{BFC9EDAD-18FE-448A-8ECB-D997DDECD349}" type="presParOf" srcId="{E04435A1-08C0-42AB-8889-1CC49E468967}" destId="{E6CDE11D-F6BE-4B15-92B5-33A9EA5E9BD0}" srcOrd="6" destOrd="0" presId="urn:microsoft.com/office/officeart/2005/8/layout/orgChart1"/>
    <dgm:cxn modelId="{D52493DE-3E9A-4FB0-A62D-1F1D4D5E43DE}" type="presParOf" srcId="{E04435A1-08C0-42AB-8889-1CC49E468967}" destId="{C11D0BEE-5010-4131-B654-4D48C7E3C18F}" srcOrd="7" destOrd="0" presId="urn:microsoft.com/office/officeart/2005/8/layout/orgChart1"/>
    <dgm:cxn modelId="{E14E7192-C5B6-40C1-A53C-AD0B4EC246FF}" type="presParOf" srcId="{C11D0BEE-5010-4131-B654-4D48C7E3C18F}" destId="{6FFCC8BA-76E5-4714-8CEF-5A754694CA32}" srcOrd="0" destOrd="0" presId="urn:microsoft.com/office/officeart/2005/8/layout/orgChart1"/>
    <dgm:cxn modelId="{366C6D54-854E-49C7-93DA-E96310027DD9}" type="presParOf" srcId="{6FFCC8BA-76E5-4714-8CEF-5A754694CA32}" destId="{99F8C092-F51A-4F34-92D9-4E8BDC051C7D}" srcOrd="0" destOrd="0" presId="urn:microsoft.com/office/officeart/2005/8/layout/orgChart1"/>
    <dgm:cxn modelId="{A83FBB93-E53F-4BFA-B592-5B6EF4C16C3E}" type="presParOf" srcId="{6FFCC8BA-76E5-4714-8CEF-5A754694CA32}" destId="{EB1B5205-9015-4658-8774-A042A0067816}" srcOrd="1" destOrd="0" presId="urn:microsoft.com/office/officeart/2005/8/layout/orgChart1"/>
    <dgm:cxn modelId="{4BE74C20-3D6A-44BB-845E-FB7A74AED094}" type="presParOf" srcId="{C11D0BEE-5010-4131-B654-4D48C7E3C18F}" destId="{6862B5B2-5F9B-4BE7-BBC9-6E75C96EE790}" srcOrd="1" destOrd="0" presId="urn:microsoft.com/office/officeart/2005/8/layout/orgChart1"/>
    <dgm:cxn modelId="{51301376-B81F-42B1-9ABB-C993410D2BA4}" type="presParOf" srcId="{C11D0BEE-5010-4131-B654-4D48C7E3C18F}" destId="{1BEB2079-3B95-4370-9299-C9B958F91072}" srcOrd="2" destOrd="0" presId="urn:microsoft.com/office/officeart/2005/8/layout/orgChart1"/>
    <dgm:cxn modelId="{A647923D-3A53-4D8D-BA6A-120B5C3B8F89}" type="presParOf" srcId="{682D7D52-A800-4943-80A3-B8E571485F7B}" destId="{429E14FF-8A0A-4E02-A891-01FB2357F631}" srcOrd="2" destOrd="0" presId="urn:microsoft.com/office/officeart/2005/8/layout/orgChart1"/>
    <dgm:cxn modelId="{973B4A3B-4A98-4211-B508-36D42E062F15}" type="presParOf" srcId="{FA7C2C6C-F45F-46AC-A6B0-8CA8100CA6AD}" destId="{160A687B-F52D-4ECC-84D7-778803A55C2F}" srcOrd="2" destOrd="0" presId="urn:microsoft.com/office/officeart/2005/8/layout/orgChart1"/>
    <dgm:cxn modelId="{1FE61CC4-53A1-4F93-ACDB-FED3DA152F27}" type="presParOf" srcId="{FA7C2C6C-F45F-46AC-A6B0-8CA8100CA6AD}" destId="{58A40BAD-DB21-4244-B11C-F96FA5D53454}" srcOrd="3" destOrd="0" presId="urn:microsoft.com/office/officeart/2005/8/layout/orgChart1"/>
    <dgm:cxn modelId="{971D0C0D-FAC8-4EC3-97A0-B25CC17EF1CB}" type="presParOf" srcId="{58A40BAD-DB21-4244-B11C-F96FA5D53454}" destId="{3575EF1C-FD4A-4943-AE15-12136D1F8D75}" srcOrd="0" destOrd="0" presId="urn:microsoft.com/office/officeart/2005/8/layout/orgChart1"/>
    <dgm:cxn modelId="{BB5582F0-8F72-4210-8AB0-EA31C6B66D70}" type="presParOf" srcId="{3575EF1C-FD4A-4943-AE15-12136D1F8D75}" destId="{1555B2B0-29B0-434E-A2CA-52294FACCBD2}" srcOrd="0" destOrd="0" presId="urn:microsoft.com/office/officeart/2005/8/layout/orgChart1"/>
    <dgm:cxn modelId="{9BDE42E7-D1D9-415C-9D15-D3B54083D17A}" type="presParOf" srcId="{3575EF1C-FD4A-4943-AE15-12136D1F8D75}" destId="{5E609DD9-901C-4CFC-9B7C-847129D6F8EE}" srcOrd="1" destOrd="0" presId="urn:microsoft.com/office/officeart/2005/8/layout/orgChart1"/>
    <dgm:cxn modelId="{A1400279-2A1B-48BA-B226-CC4AB3BD13F4}" type="presParOf" srcId="{58A40BAD-DB21-4244-B11C-F96FA5D53454}" destId="{F8E9B394-B996-4BDE-BE47-FF40F9049B4E}" srcOrd="1" destOrd="0" presId="urn:microsoft.com/office/officeart/2005/8/layout/orgChart1"/>
    <dgm:cxn modelId="{8A678782-3701-4BE1-9676-CDE6E2B2634C}" type="presParOf" srcId="{F8E9B394-B996-4BDE-BE47-FF40F9049B4E}" destId="{9F64B4C7-08C2-4F6C-B527-EE2F2E561C0D}" srcOrd="0" destOrd="0" presId="urn:microsoft.com/office/officeart/2005/8/layout/orgChart1"/>
    <dgm:cxn modelId="{BBC14B16-82ED-4548-8CDB-9BE78AEBF55C}" type="presParOf" srcId="{F8E9B394-B996-4BDE-BE47-FF40F9049B4E}" destId="{19CF98C0-2F4A-40C9-A551-418A2C0F7B43}" srcOrd="1" destOrd="0" presId="urn:microsoft.com/office/officeart/2005/8/layout/orgChart1"/>
    <dgm:cxn modelId="{012E632E-9AA9-4138-A1CF-4AEDA30A558E}" type="presParOf" srcId="{19CF98C0-2F4A-40C9-A551-418A2C0F7B43}" destId="{7D7995DD-409B-469B-9FE2-0972F2F275B0}" srcOrd="0" destOrd="0" presId="urn:microsoft.com/office/officeart/2005/8/layout/orgChart1"/>
    <dgm:cxn modelId="{39D05CF6-0263-43E1-9591-6BEC99037DA1}" type="presParOf" srcId="{7D7995DD-409B-469B-9FE2-0972F2F275B0}" destId="{96936B64-CA0D-4811-9939-4915B8AA7DB9}" srcOrd="0" destOrd="0" presId="urn:microsoft.com/office/officeart/2005/8/layout/orgChart1"/>
    <dgm:cxn modelId="{3D2B2BD3-1A97-455E-A4A8-3FB1AE42A642}" type="presParOf" srcId="{7D7995DD-409B-469B-9FE2-0972F2F275B0}" destId="{18689CA0-8D2E-4942-BCB7-2701D398C3F4}" srcOrd="1" destOrd="0" presId="urn:microsoft.com/office/officeart/2005/8/layout/orgChart1"/>
    <dgm:cxn modelId="{3C1FB912-24AB-4F50-A827-B5B18B6D469F}" type="presParOf" srcId="{19CF98C0-2F4A-40C9-A551-418A2C0F7B43}" destId="{C54432A1-0D14-4AD4-BDAE-A1F94AFAD097}" srcOrd="1" destOrd="0" presId="urn:microsoft.com/office/officeart/2005/8/layout/orgChart1"/>
    <dgm:cxn modelId="{DA74A872-20C7-4A12-950E-AC626A0F02F2}" type="presParOf" srcId="{19CF98C0-2F4A-40C9-A551-418A2C0F7B43}" destId="{66246212-08A3-4412-9C87-E27ECC59ADF1}" srcOrd="2" destOrd="0" presId="urn:microsoft.com/office/officeart/2005/8/layout/orgChart1"/>
    <dgm:cxn modelId="{CACCABEF-1A57-4364-9FF8-F743BF11722B}" type="presParOf" srcId="{F8E9B394-B996-4BDE-BE47-FF40F9049B4E}" destId="{A87CD187-2D44-45DF-9425-B838B007328D}" srcOrd="2" destOrd="0" presId="urn:microsoft.com/office/officeart/2005/8/layout/orgChart1"/>
    <dgm:cxn modelId="{330BE26B-7C6A-4146-9A28-FFC5B1324208}" type="presParOf" srcId="{F8E9B394-B996-4BDE-BE47-FF40F9049B4E}" destId="{C3077A0F-6BE3-430A-989B-BAFC098A62E4}" srcOrd="3" destOrd="0" presId="urn:microsoft.com/office/officeart/2005/8/layout/orgChart1"/>
    <dgm:cxn modelId="{D8F34303-7E69-4EBE-8979-8D86FCF84AC6}" type="presParOf" srcId="{C3077A0F-6BE3-430A-989B-BAFC098A62E4}" destId="{1E3EFD99-08E8-4CBE-8D54-24294296558D}" srcOrd="0" destOrd="0" presId="urn:microsoft.com/office/officeart/2005/8/layout/orgChart1"/>
    <dgm:cxn modelId="{0E878005-49D6-4A3E-B17A-FF1476093225}" type="presParOf" srcId="{1E3EFD99-08E8-4CBE-8D54-24294296558D}" destId="{2D75D107-2F00-45E5-B669-EF8F07C24287}" srcOrd="0" destOrd="0" presId="urn:microsoft.com/office/officeart/2005/8/layout/orgChart1"/>
    <dgm:cxn modelId="{E328CE3F-F5F8-4AA2-AC78-FED9368A7B58}" type="presParOf" srcId="{1E3EFD99-08E8-4CBE-8D54-24294296558D}" destId="{77CC547D-99BC-4E1D-B4A0-45060BD9D2A7}" srcOrd="1" destOrd="0" presId="urn:microsoft.com/office/officeart/2005/8/layout/orgChart1"/>
    <dgm:cxn modelId="{95EFE10E-5B55-4875-BE1A-83E5E6907646}" type="presParOf" srcId="{C3077A0F-6BE3-430A-989B-BAFC098A62E4}" destId="{64D1FC97-C80F-4E50-A18C-76EAB2C41941}" srcOrd="1" destOrd="0" presId="urn:microsoft.com/office/officeart/2005/8/layout/orgChart1"/>
    <dgm:cxn modelId="{25A5AF0A-4F07-404C-BBB2-DBFBD1AB9AD9}" type="presParOf" srcId="{C3077A0F-6BE3-430A-989B-BAFC098A62E4}" destId="{FC08497A-A698-48C0-8F7B-505C6A78550F}" srcOrd="2" destOrd="0" presId="urn:microsoft.com/office/officeart/2005/8/layout/orgChart1"/>
    <dgm:cxn modelId="{C1B5B5EC-7B35-41C4-B146-6D117190C1E1}" type="presParOf" srcId="{F8E9B394-B996-4BDE-BE47-FF40F9049B4E}" destId="{3FDF4BA8-72F4-41C1-A973-28182216429F}" srcOrd="4" destOrd="0" presId="urn:microsoft.com/office/officeart/2005/8/layout/orgChart1"/>
    <dgm:cxn modelId="{86D53A05-ADC6-4146-9487-548BDBDE58D0}" type="presParOf" srcId="{F8E9B394-B996-4BDE-BE47-FF40F9049B4E}" destId="{91374A1F-E642-4DE8-AF94-B4464BF157FC}" srcOrd="5" destOrd="0" presId="urn:microsoft.com/office/officeart/2005/8/layout/orgChart1"/>
    <dgm:cxn modelId="{2AA35AF3-D75B-4314-BD3D-5CF2DC25E402}" type="presParOf" srcId="{91374A1F-E642-4DE8-AF94-B4464BF157FC}" destId="{1B652140-ED05-44B5-83C8-370E98344B51}" srcOrd="0" destOrd="0" presId="urn:microsoft.com/office/officeart/2005/8/layout/orgChart1"/>
    <dgm:cxn modelId="{718E9388-ABB7-4F60-ABDA-8941E6517628}" type="presParOf" srcId="{1B652140-ED05-44B5-83C8-370E98344B51}" destId="{20152BF7-67C9-485D-9159-22D20F9A13E1}" srcOrd="0" destOrd="0" presId="urn:microsoft.com/office/officeart/2005/8/layout/orgChart1"/>
    <dgm:cxn modelId="{B78081DA-47B2-4141-BD9C-E7B108F2A0DB}" type="presParOf" srcId="{1B652140-ED05-44B5-83C8-370E98344B51}" destId="{4A11AB61-B626-4239-8180-699C32BA77BD}" srcOrd="1" destOrd="0" presId="urn:microsoft.com/office/officeart/2005/8/layout/orgChart1"/>
    <dgm:cxn modelId="{961F3071-4428-4611-B5FF-CD87D739BA88}" type="presParOf" srcId="{91374A1F-E642-4DE8-AF94-B4464BF157FC}" destId="{922768CE-F651-4E75-9711-CD47F71A46EF}" srcOrd="1" destOrd="0" presId="urn:microsoft.com/office/officeart/2005/8/layout/orgChart1"/>
    <dgm:cxn modelId="{A2BAC2FF-230E-4086-B95E-16B11D1FFF8F}" type="presParOf" srcId="{91374A1F-E642-4DE8-AF94-B4464BF157FC}" destId="{48FFB42C-D6DD-43A2-8626-4192B03802D6}" srcOrd="2" destOrd="0" presId="urn:microsoft.com/office/officeart/2005/8/layout/orgChart1"/>
    <dgm:cxn modelId="{E6B486A9-6C04-4983-A331-AA9D379A3704}" type="presParOf" srcId="{F8E9B394-B996-4BDE-BE47-FF40F9049B4E}" destId="{D303C0BA-5A1C-47C3-A39D-4F4E1BD8F6F5}" srcOrd="6" destOrd="0" presId="urn:microsoft.com/office/officeart/2005/8/layout/orgChart1"/>
    <dgm:cxn modelId="{2D32CB5A-7D1C-4DF2-9A53-5D52EF3609EF}" type="presParOf" srcId="{F8E9B394-B996-4BDE-BE47-FF40F9049B4E}" destId="{43BA02E0-B448-4456-9000-9198C07E8EAB}" srcOrd="7" destOrd="0" presId="urn:microsoft.com/office/officeart/2005/8/layout/orgChart1"/>
    <dgm:cxn modelId="{C8E7CE2D-8403-41DC-9A4A-B3EC652AFD5F}" type="presParOf" srcId="{43BA02E0-B448-4456-9000-9198C07E8EAB}" destId="{1DE3445B-D404-40B9-9F38-F02CC625B63F}" srcOrd="0" destOrd="0" presId="urn:microsoft.com/office/officeart/2005/8/layout/orgChart1"/>
    <dgm:cxn modelId="{33EED2DC-AD5E-4760-88F4-2C69EA3D42C5}" type="presParOf" srcId="{1DE3445B-D404-40B9-9F38-F02CC625B63F}" destId="{92AD38E5-660E-4B2A-B6D2-C43F8FCBF38E}" srcOrd="0" destOrd="0" presId="urn:microsoft.com/office/officeart/2005/8/layout/orgChart1"/>
    <dgm:cxn modelId="{82064D32-52AF-4D38-A28E-D33D471036CF}" type="presParOf" srcId="{1DE3445B-D404-40B9-9F38-F02CC625B63F}" destId="{D5EAAEE3-2037-47D7-8F7F-8CEEA2305D56}" srcOrd="1" destOrd="0" presId="urn:microsoft.com/office/officeart/2005/8/layout/orgChart1"/>
    <dgm:cxn modelId="{37F68021-E1C9-4CC0-8293-843393F01B2D}" type="presParOf" srcId="{43BA02E0-B448-4456-9000-9198C07E8EAB}" destId="{10B1B8AB-F09B-49C2-B9F1-86E234E468A9}" srcOrd="1" destOrd="0" presId="urn:microsoft.com/office/officeart/2005/8/layout/orgChart1"/>
    <dgm:cxn modelId="{59DB8533-EF49-43C0-A627-FC40FE0A8665}" type="presParOf" srcId="{43BA02E0-B448-4456-9000-9198C07E8EAB}" destId="{A5F6D24E-09C9-4E81-A6A3-451457E8957E}" srcOrd="2" destOrd="0" presId="urn:microsoft.com/office/officeart/2005/8/layout/orgChart1"/>
    <dgm:cxn modelId="{75A930A5-5C48-49FA-A926-DA5DF083DF03}" type="presParOf" srcId="{F8E9B394-B996-4BDE-BE47-FF40F9049B4E}" destId="{C6679017-1444-4DA5-9AD1-8E3FAF926A86}" srcOrd="8" destOrd="0" presId="urn:microsoft.com/office/officeart/2005/8/layout/orgChart1"/>
    <dgm:cxn modelId="{B4843CF8-FFDB-4905-82E5-272DCC1D6598}" type="presParOf" srcId="{F8E9B394-B996-4BDE-BE47-FF40F9049B4E}" destId="{6C57D3FA-57BE-4BAC-A634-C6F828B04D2E}" srcOrd="9" destOrd="0" presId="urn:microsoft.com/office/officeart/2005/8/layout/orgChart1"/>
    <dgm:cxn modelId="{ECF334DF-ED2C-4D5D-9FFE-8D84342776F1}" type="presParOf" srcId="{6C57D3FA-57BE-4BAC-A634-C6F828B04D2E}" destId="{818979A8-886E-435C-9C97-32B9108BD436}" srcOrd="0" destOrd="0" presId="urn:microsoft.com/office/officeart/2005/8/layout/orgChart1"/>
    <dgm:cxn modelId="{2897A5BD-55CE-4A8B-AE79-1C18153D23E1}" type="presParOf" srcId="{818979A8-886E-435C-9C97-32B9108BD436}" destId="{5DFA9135-E288-456F-BC6E-88CDBCF553F0}" srcOrd="0" destOrd="0" presId="urn:microsoft.com/office/officeart/2005/8/layout/orgChart1"/>
    <dgm:cxn modelId="{76AA8F49-2B6B-41A2-8AC9-7F285A980295}" type="presParOf" srcId="{818979A8-886E-435C-9C97-32B9108BD436}" destId="{2C812C6B-36EF-48DE-B36E-5B30A434F78B}" srcOrd="1" destOrd="0" presId="urn:microsoft.com/office/officeart/2005/8/layout/orgChart1"/>
    <dgm:cxn modelId="{DCF73F8D-3101-4827-B41A-205A836FC285}" type="presParOf" srcId="{6C57D3FA-57BE-4BAC-A634-C6F828B04D2E}" destId="{609DE73F-B650-4BCD-8C44-A0CB3E93E1EA}" srcOrd="1" destOrd="0" presId="urn:microsoft.com/office/officeart/2005/8/layout/orgChart1"/>
    <dgm:cxn modelId="{CB7231EA-7789-4A6E-ACF8-56AA0F7BEDE9}" type="presParOf" srcId="{6C57D3FA-57BE-4BAC-A634-C6F828B04D2E}" destId="{18B6A6CB-890A-4977-967B-9726C81896A2}" srcOrd="2" destOrd="0" presId="urn:microsoft.com/office/officeart/2005/8/layout/orgChart1"/>
    <dgm:cxn modelId="{70708B50-8242-4BAE-B357-733CB20AD06F}" type="presParOf" srcId="{58A40BAD-DB21-4244-B11C-F96FA5D53454}" destId="{49731F93-6205-43C4-83EA-9A39BAC6E481}" srcOrd="2" destOrd="0" presId="urn:microsoft.com/office/officeart/2005/8/layout/orgChart1"/>
    <dgm:cxn modelId="{06AD4AD8-EB51-470E-8AC6-EC41770C5763}" type="presParOf" srcId="{BFDA7B4F-5DA3-48EB-90E9-80CCEF8A65C0}" destId="{E03FD790-8D60-4E2B-A6DF-70F0E270AD8F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C6679017-1444-4DA5-9AD1-8E3FAF926A86}">
      <dsp:nvSpPr>
        <dsp:cNvPr id="0" name=""/>
        <dsp:cNvSpPr/>
      </dsp:nvSpPr>
      <dsp:spPr>
        <a:xfrm>
          <a:off x="4580626" y="961558"/>
          <a:ext cx="118959" cy="261710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617107"/>
              </a:lnTo>
              <a:lnTo>
                <a:pt x="118959" y="2617107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303C0BA-5A1C-47C3-A39D-4F4E1BD8F6F5}">
      <dsp:nvSpPr>
        <dsp:cNvPr id="0" name=""/>
        <dsp:cNvSpPr/>
      </dsp:nvSpPr>
      <dsp:spPr>
        <a:xfrm>
          <a:off x="4580626" y="961558"/>
          <a:ext cx="118959" cy="205403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054032"/>
              </a:lnTo>
              <a:lnTo>
                <a:pt x="118959" y="2054032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DF4BA8-72F4-41C1-A973-28182216429F}">
      <dsp:nvSpPr>
        <dsp:cNvPr id="0" name=""/>
        <dsp:cNvSpPr/>
      </dsp:nvSpPr>
      <dsp:spPr>
        <a:xfrm>
          <a:off x="4580626" y="961558"/>
          <a:ext cx="118959" cy="149095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90958"/>
              </a:lnTo>
              <a:lnTo>
                <a:pt x="118959" y="1490958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87CD187-2D44-45DF-9425-B838B007328D}">
      <dsp:nvSpPr>
        <dsp:cNvPr id="0" name=""/>
        <dsp:cNvSpPr/>
      </dsp:nvSpPr>
      <dsp:spPr>
        <a:xfrm>
          <a:off x="4580626" y="961558"/>
          <a:ext cx="118959" cy="92788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27883"/>
              </a:lnTo>
              <a:lnTo>
                <a:pt x="118959" y="927883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F64B4C7-08C2-4F6C-B527-EE2F2E561C0D}">
      <dsp:nvSpPr>
        <dsp:cNvPr id="0" name=""/>
        <dsp:cNvSpPr/>
      </dsp:nvSpPr>
      <dsp:spPr>
        <a:xfrm>
          <a:off x="4580626" y="961558"/>
          <a:ext cx="118959" cy="36480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4808"/>
              </a:lnTo>
              <a:lnTo>
                <a:pt x="118959" y="364808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60A687B-F52D-4ECC-84D7-778803A55C2F}">
      <dsp:nvSpPr>
        <dsp:cNvPr id="0" name=""/>
        <dsp:cNvSpPr/>
      </dsp:nvSpPr>
      <dsp:spPr>
        <a:xfrm>
          <a:off x="3797476" y="398484"/>
          <a:ext cx="1100374" cy="1665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3271"/>
              </a:lnTo>
              <a:lnTo>
                <a:pt x="1100374" y="83271"/>
              </a:lnTo>
              <a:lnTo>
                <a:pt x="1100374" y="166543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6CDE11D-F6BE-4B15-92B5-33A9EA5E9BD0}">
      <dsp:nvSpPr>
        <dsp:cNvPr id="0" name=""/>
        <dsp:cNvSpPr/>
      </dsp:nvSpPr>
      <dsp:spPr>
        <a:xfrm>
          <a:off x="2650898" y="950614"/>
          <a:ext cx="1485612" cy="17748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4215"/>
              </a:lnTo>
              <a:lnTo>
                <a:pt x="1485612" y="94215"/>
              </a:lnTo>
              <a:lnTo>
                <a:pt x="1485612" y="177487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37BD691-E19F-4907-8CAD-315DB76B54FB}">
      <dsp:nvSpPr>
        <dsp:cNvPr id="0" name=""/>
        <dsp:cNvSpPr/>
      </dsp:nvSpPr>
      <dsp:spPr>
        <a:xfrm>
          <a:off x="2650898" y="950614"/>
          <a:ext cx="526006" cy="17748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4215"/>
              </a:lnTo>
              <a:lnTo>
                <a:pt x="526006" y="94215"/>
              </a:lnTo>
              <a:lnTo>
                <a:pt x="526006" y="177487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AEDF909-23B6-4F59-A5ED-1E2ED8518C1A}">
      <dsp:nvSpPr>
        <dsp:cNvPr id="0" name=""/>
        <dsp:cNvSpPr/>
      </dsp:nvSpPr>
      <dsp:spPr>
        <a:xfrm>
          <a:off x="2217298" y="950614"/>
          <a:ext cx="433599" cy="177487"/>
        </a:xfrm>
        <a:custGeom>
          <a:avLst/>
          <a:gdLst/>
          <a:ahLst/>
          <a:cxnLst/>
          <a:rect l="0" t="0" r="0" b="0"/>
          <a:pathLst>
            <a:path>
              <a:moveTo>
                <a:pt x="433599" y="0"/>
              </a:moveTo>
              <a:lnTo>
                <a:pt x="433599" y="94215"/>
              </a:lnTo>
              <a:lnTo>
                <a:pt x="0" y="94215"/>
              </a:lnTo>
              <a:lnTo>
                <a:pt x="0" y="17748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3F2DED7-FC9E-4E4F-ACAB-A3BE23FD7955}">
      <dsp:nvSpPr>
        <dsp:cNvPr id="0" name=""/>
        <dsp:cNvSpPr/>
      </dsp:nvSpPr>
      <dsp:spPr>
        <a:xfrm>
          <a:off x="1257692" y="950614"/>
          <a:ext cx="1393205" cy="177487"/>
        </a:xfrm>
        <a:custGeom>
          <a:avLst/>
          <a:gdLst/>
          <a:ahLst/>
          <a:cxnLst/>
          <a:rect l="0" t="0" r="0" b="0"/>
          <a:pathLst>
            <a:path>
              <a:moveTo>
                <a:pt x="1393205" y="0"/>
              </a:moveTo>
              <a:lnTo>
                <a:pt x="1393205" y="94215"/>
              </a:lnTo>
              <a:lnTo>
                <a:pt x="0" y="94215"/>
              </a:lnTo>
              <a:lnTo>
                <a:pt x="0" y="177487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DFA5548-1A1A-4A21-A24A-12A0E15ED902}">
      <dsp:nvSpPr>
        <dsp:cNvPr id="0" name=""/>
        <dsp:cNvSpPr/>
      </dsp:nvSpPr>
      <dsp:spPr>
        <a:xfrm>
          <a:off x="2650898" y="398484"/>
          <a:ext cx="1146578" cy="155598"/>
        </a:xfrm>
        <a:custGeom>
          <a:avLst/>
          <a:gdLst/>
          <a:ahLst/>
          <a:cxnLst/>
          <a:rect l="0" t="0" r="0" b="0"/>
          <a:pathLst>
            <a:path>
              <a:moveTo>
                <a:pt x="1146578" y="0"/>
              </a:moveTo>
              <a:lnTo>
                <a:pt x="1146578" y="72327"/>
              </a:lnTo>
              <a:lnTo>
                <a:pt x="0" y="72327"/>
              </a:lnTo>
              <a:lnTo>
                <a:pt x="0" y="155598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B3E4EA8-888F-425B-85D5-C157098E82F6}">
      <dsp:nvSpPr>
        <dsp:cNvPr id="0" name=""/>
        <dsp:cNvSpPr/>
      </dsp:nvSpPr>
      <dsp:spPr>
        <a:xfrm>
          <a:off x="3400945" y="1952"/>
          <a:ext cx="793062" cy="396531"/>
        </a:xfrm>
        <a:prstGeom prst="rect">
          <a:avLst/>
        </a:pr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Generálny riaditeľ</a:t>
          </a:r>
          <a:endParaRPr lang="sk-SK" sz="900" b="1" kern="1200"/>
        </a:p>
      </dsp:txBody>
      <dsp:txXfrm>
        <a:off x="3400945" y="1952"/>
        <a:ext cx="793062" cy="396531"/>
      </dsp:txXfrm>
    </dsp:sp>
    <dsp:sp modelId="{1E28682F-52AC-43C2-ABB7-C79162D52BED}">
      <dsp:nvSpPr>
        <dsp:cNvPr id="0" name=""/>
        <dsp:cNvSpPr/>
      </dsp:nvSpPr>
      <dsp:spPr>
        <a:xfrm>
          <a:off x="2254366" y="554083"/>
          <a:ext cx="793062" cy="396531"/>
        </a:xfrm>
        <a:prstGeom prst="rect">
          <a:avLst/>
        </a:prstGeom>
        <a:solidFill>
          <a:schemeClr val="accent3">
            <a:lumMod val="75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Útvar GR    (14 zam.)</a:t>
          </a:r>
          <a:endParaRPr lang="sk-SK" sz="900" b="1" kern="1200"/>
        </a:p>
      </dsp:txBody>
      <dsp:txXfrm>
        <a:off x="2254366" y="554083"/>
        <a:ext cx="793062" cy="396531"/>
      </dsp:txXfrm>
    </dsp:sp>
    <dsp:sp modelId="{ABB9D037-8796-460B-96A0-6AAF36EF2F9F}">
      <dsp:nvSpPr>
        <dsp:cNvPr id="0" name=""/>
        <dsp:cNvSpPr/>
      </dsp:nvSpPr>
      <dsp:spPr>
        <a:xfrm>
          <a:off x="861161" y="1128102"/>
          <a:ext cx="793062" cy="396531"/>
        </a:xfrm>
        <a:prstGeom prst="rect">
          <a:avLst/>
        </a:prstGeom>
        <a:solidFill>
          <a:schemeClr val="bg1">
            <a:lumMod val="65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Právne</a:t>
          </a:r>
          <a:endParaRPr lang="sk-SK" sz="900" b="1" kern="1200"/>
        </a:p>
      </dsp:txBody>
      <dsp:txXfrm>
        <a:off x="861161" y="1128102"/>
        <a:ext cx="793062" cy="396531"/>
      </dsp:txXfrm>
    </dsp:sp>
    <dsp:sp modelId="{05515057-879F-4D32-B1FD-AC1C515D5335}">
      <dsp:nvSpPr>
        <dsp:cNvPr id="0" name=""/>
        <dsp:cNvSpPr/>
      </dsp:nvSpPr>
      <dsp:spPr>
        <a:xfrm>
          <a:off x="1820767" y="1128102"/>
          <a:ext cx="793062" cy="396531"/>
        </a:xfrm>
        <a:prstGeom prst="rect">
          <a:avLst/>
        </a:prstGeom>
        <a:solidFill>
          <a:schemeClr val="bg1">
            <a:lumMod val="65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Energetika</a:t>
          </a:r>
          <a:endParaRPr lang="sk-SK" sz="900" b="1" kern="1200"/>
        </a:p>
      </dsp:txBody>
      <dsp:txXfrm>
        <a:off x="1820767" y="1128102"/>
        <a:ext cx="793062" cy="396531"/>
      </dsp:txXfrm>
    </dsp:sp>
    <dsp:sp modelId="{744FB36E-E12F-45F4-A124-2F6FA6A2574F}">
      <dsp:nvSpPr>
        <dsp:cNvPr id="0" name=""/>
        <dsp:cNvSpPr/>
      </dsp:nvSpPr>
      <dsp:spPr>
        <a:xfrm>
          <a:off x="2780373" y="1128102"/>
          <a:ext cx="793062" cy="396531"/>
        </a:xfrm>
        <a:prstGeom prst="rect">
          <a:avLst/>
        </a:prstGeom>
        <a:solidFill>
          <a:schemeClr val="bg1">
            <a:lumMod val="65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Analýza, obchod, marketing</a:t>
          </a:r>
          <a:endParaRPr lang="sk-SK" sz="900" b="1" kern="1200"/>
        </a:p>
      </dsp:txBody>
      <dsp:txXfrm>
        <a:off x="2780373" y="1128102"/>
        <a:ext cx="793062" cy="396531"/>
      </dsp:txXfrm>
    </dsp:sp>
    <dsp:sp modelId="{99F8C092-F51A-4F34-92D9-4E8BDC051C7D}">
      <dsp:nvSpPr>
        <dsp:cNvPr id="0" name=""/>
        <dsp:cNvSpPr/>
      </dsp:nvSpPr>
      <dsp:spPr>
        <a:xfrm>
          <a:off x="3739979" y="1128102"/>
          <a:ext cx="793062" cy="396531"/>
        </a:xfrm>
        <a:prstGeom prst="rect">
          <a:avLst/>
        </a:prstGeom>
        <a:solidFill>
          <a:schemeClr val="bg1">
            <a:lumMod val="65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Správa útvaru GR</a:t>
          </a:r>
          <a:endParaRPr lang="sk-SK" sz="900" b="1" kern="1200"/>
        </a:p>
      </dsp:txBody>
      <dsp:txXfrm>
        <a:off x="3739979" y="1128102"/>
        <a:ext cx="793062" cy="396531"/>
      </dsp:txXfrm>
    </dsp:sp>
    <dsp:sp modelId="{1555B2B0-29B0-434E-A2CA-52294FACCBD2}">
      <dsp:nvSpPr>
        <dsp:cNvPr id="0" name=""/>
        <dsp:cNvSpPr/>
      </dsp:nvSpPr>
      <dsp:spPr>
        <a:xfrm>
          <a:off x="4501319" y="565027"/>
          <a:ext cx="793062" cy="396531"/>
        </a:xfrm>
        <a:prstGeom prst="rect">
          <a:avLst/>
        </a:prstGeom>
        <a:solidFill>
          <a:schemeClr val="accent6">
            <a:lumMod val="75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Divízie</a:t>
          </a:r>
          <a:endParaRPr lang="sk-SK" sz="900" b="1" kern="1200"/>
        </a:p>
      </dsp:txBody>
      <dsp:txXfrm>
        <a:off x="4501319" y="565027"/>
        <a:ext cx="793062" cy="396531"/>
      </dsp:txXfrm>
    </dsp:sp>
    <dsp:sp modelId="{96936B64-CA0D-4811-9939-4915B8AA7DB9}">
      <dsp:nvSpPr>
        <dsp:cNvPr id="0" name=""/>
        <dsp:cNvSpPr/>
      </dsp:nvSpPr>
      <dsp:spPr>
        <a:xfrm>
          <a:off x="4699585" y="1128102"/>
          <a:ext cx="793062" cy="396531"/>
        </a:xfrm>
        <a:prstGeom prst="rect">
          <a:avLst/>
        </a:prstGeom>
        <a:solidFill>
          <a:schemeClr val="accent6">
            <a:lumMod val="60000"/>
            <a:lumOff val="4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0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Ekonomická (13 zam.)</a:t>
          </a:r>
          <a:endParaRPr lang="sk-SK" sz="900" kern="1200"/>
        </a:p>
      </dsp:txBody>
      <dsp:txXfrm>
        <a:off x="4699585" y="1128102"/>
        <a:ext cx="793062" cy="396531"/>
      </dsp:txXfrm>
    </dsp:sp>
    <dsp:sp modelId="{2D75D107-2F00-45E5-B669-EF8F07C24287}">
      <dsp:nvSpPr>
        <dsp:cNvPr id="0" name=""/>
        <dsp:cNvSpPr/>
      </dsp:nvSpPr>
      <dsp:spPr>
        <a:xfrm>
          <a:off x="4699585" y="1691176"/>
          <a:ext cx="793062" cy="396531"/>
        </a:xfrm>
        <a:prstGeom prst="rect">
          <a:avLst/>
        </a:prstGeom>
        <a:solidFill>
          <a:schemeClr val="accent6">
            <a:lumMod val="60000"/>
            <a:lumOff val="4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0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Správy majetku       (34 zam.)</a:t>
          </a:r>
          <a:endParaRPr lang="sk-SK" sz="900" kern="1200"/>
        </a:p>
      </dsp:txBody>
      <dsp:txXfrm>
        <a:off x="4699585" y="1691176"/>
        <a:ext cx="793062" cy="396531"/>
      </dsp:txXfrm>
    </dsp:sp>
    <dsp:sp modelId="{20152BF7-67C9-485D-9159-22D20F9A13E1}">
      <dsp:nvSpPr>
        <dsp:cNvPr id="0" name=""/>
        <dsp:cNvSpPr/>
      </dsp:nvSpPr>
      <dsp:spPr>
        <a:xfrm>
          <a:off x="4699585" y="2254251"/>
          <a:ext cx="793062" cy="396531"/>
        </a:xfrm>
        <a:prstGeom prst="rect">
          <a:avLst/>
        </a:prstGeom>
        <a:solidFill>
          <a:schemeClr val="accent6">
            <a:lumMod val="60000"/>
            <a:lumOff val="4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0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Výroby a služieb         (48 zam.)</a:t>
          </a:r>
          <a:endParaRPr lang="sk-SK" sz="900" kern="1200"/>
        </a:p>
      </dsp:txBody>
      <dsp:txXfrm>
        <a:off x="4699585" y="2254251"/>
        <a:ext cx="793062" cy="396531"/>
      </dsp:txXfrm>
    </dsp:sp>
    <dsp:sp modelId="{92AD38E5-660E-4B2A-B6D2-C43F8FCBF38E}">
      <dsp:nvSpPr>
        <dsp:cNvPr id="0" name=""/>
        <dsp:cNvSpPr/>
      </dsp:nvSpPr>
      <dsp:spPr>
        <a:xfrm>
          <a:off x="4699585" y="2817326"/>
          <a:ext cx="793062" cy="396531"/>
        </a:xfrm>
        <a:prstGeom prst="rect">
          <a:avLst/>
        </a:prstGeom>
        <a:solidFill>
          <a:schemeClr val="accent6">
            <a:lumMod val="60000"/>
            <a:lumOff val="4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0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Technická    (13 zam.)</a:t>
          </a:r>
          <a:endParaRPr lang="sk-SK" sz="900" kern="1200"/>
        </a:p>
      </dsp:txBody>
      <dsp:txXfrm>
        <a:off x="4699585" y="2817326"/>
        <a:ext cx="793062" cy="396531"/>
      </dsp:txXfrm>
    </dsp:sp>
    <dsp:sp modelId="{5DFA9135-E288-456F-BC6E-88CDBCF553F0}">
      <dsp:nvSpPr>
        <dsp:cNvPr id="0" name=""/>
        <dsp:cNvSpPr/>
      </dsp:nvSpPr>
      <dsp:spPr>
        <a:xfrm>
          <a:off x="4699585" y="3380400"/>
          <a:ext cx="793062" cy="396531"/>
        </a:xfrm>
        <a:prstGeom prst="rect">
          <a:avLst/>
        </a:prstGeom>
        <a:solidFill>
          <a:schemeClr val="accent6">
            <a:lumMod val="60000"/>
            <a:lumOff val="4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0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Tepelného hospodárstva (48 zam.)</a:t>
          </a:r>
          <a:endParaRPr lang="sk-SK" sz="900" kern="1200"/>
        </a:p>
      </dsp:txBody>
      <dsp:txXfrm>
        <a:off x="4699585" y="3380400"/>
        <a:ext cx="793062" cy="39653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B1D458-30A9-4AA8-84C0-7ECAB42E14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</TotalTime>
  <Pages>30</Pages>
  <Words>6434</Words>
  <Characters>36674</Characters>
  <Application>Microsoft Office Word</Application>
  <DocSecurity>0</DocSecurity>
  <Lines>305</Lines>
  <Paragraphs>86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hozakova</dc:creator>
  <cp:keywords/>
  <dc:description/>
  <cp:lastModifiedBy>Sartorisova Alena</cp:lastModifiedBy>
  <cp:revision>15</cp:revision>
  <cp:lastPrinted>2018-03-28T10:35:00Z</cp:lastPrinted>
  <dcterms:created xsi:type="dcterms:W3CDTF">2018-03-26T10:01:00Z</dcterms:created>
  <dcterms:modified xsi:type="dcterms:W3CDTF">2018-03-28T10:55:00Z</dcterms:modified>
</cp:coreProperties>
</file>