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ÚČTOVNEJ ZÁVIERKE 2017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tbl>
      <w:tblPr>
        <w:tblW w:w="49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552"/>
        <w:gridCol w:w="6754"/>
      </w:tblGrid>
      <w:tr>
        <w:trPr>
          <w:trHeight w:val="231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IMPOL HOLDING, a.s.</w:t>
            </w:r>
          </w:p>
        </w:tc>
      </w:tr>
      <w:tr>
        <w:trPr>
          <w:trHeight w:val="249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Ľubochnianská 2 , 080 06 Ľubotice</w:t>
            </w:r>
          </w:p>
        </w:tc>
      </w:tr>
      <w:tr>
        <w:trPr>
          <w:trHeight w:val="125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Akciová spoločnosť</w:t>
            </w:r>
          </w:p>
        </w:tc>
      </w:tr>
      <w:tr>
        <w:trPr>
          <w:trHeight w:val="143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22.04.2016</w:t>
            </w:r>
          </w:p>
        </w:tc>
      </w:tr>
      <w:tr>
        <w:trPr>
          <w:trHeight w:val="175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Prevádzkovanie a prenájom nehnuteľnosti</w:t>
            </w:r>
          </w:p>
        </w:tc>
      </w:tr>
      <w:tr>
        <w:trPr>
          <w:trHeight w:val="194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NIE</w:t>
            </w:r>
          </w:p>
        </w:tc>
      </w:tr>
      <w:tr>
        <w:trPr>
          <w:trHeight w:val="194" w:hRule="atLeast"/>
        </w:trPr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6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2017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8292" w:type="dxa"/>
        <w:jc w:val="left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835"/>
        <w:gridCol w:w="3261"/>
      </w:tblGrid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 (2016)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 (2015)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1779285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1338718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204772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90319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30.03.2017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</w:t>
      </w:r>
      <w:r>
        <w:rPr>
          <w:rFonts w:cs="Arial Narrow" w:ascii="Arial Narrow" w:hAnsi="Arial Narrow"/>
          <w:sz w:val="22"/>
          <w:szCs w:val="22"/>
        </w:rPr>
        <w:t>- Riadna účtovná závierka zostavená k poslednému dňu účtovného obdobia.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- Účtovná jednotka nie je súčasťou konsolidovaného celku 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Obchodné meno a sídlo účtovnej jednotky, ktorá zostavuje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Obchodné meno a sídlo účtovnej jednotky, ktorá zostavuje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Adresa, kde sa môže vyžiadať kópia vyššie uvedených </w:t>
      </w:r>
      <w:r>
        <w:rPr>
          <w:rFonts w:cs="Arial Narrow" w:ascii="Arial Narrow" w:hAnsi="Arial Narrow"/>
          <w:b/>
          <w:sz w:val="22"/>
          <w:szCs w:val="22"/>
        </w:rPr>
        <w:t>konsolidovaných účtovných závierok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50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32"/>
        <w:gridCol w:w="2458"/>
        <w:gridCol w:w="2307"/>
      </w:tblGrid>
      <w:tr>
        <w:trPr>
          <w:trHeight w:val="537" w:hRule="atLeast"/>
        </w:trPr>
        <w:tc>
          <w:tcPr>
            <w:tcW w:w="4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ind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  <w:r>
              <w:rPr>
                <w:rFonts w:cs="Arial Narrow" w:ascii="Arial Narrow" w:hAnsi="Arial Narrow"/>
                <w:sz w:val="22"/>
                <w:szCs w:val="22"/>
                <w:u w:val="single"/>
              </w:rPr>
              <w:t>Priemerný prepočítaný počet počas účtovného obdobia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171"/>
        <w:gridCol w:w="1662"/>
        <w:gridCol w:w="1664"/>
      </w:tblGrid>
      <w:tr>
        <w:trPr>
          <w:trHeight w:val="780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Štatutárny orgán – Konatelia: 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pôžička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301690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50064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numPr>
          <w:ilvl w:val="0"/>
          <w:numId w:val="4"/>
        </w:numPr>
        <w:ind w:left="720" w:right="-141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>
      <w:pPr>
        <w:pStyle w:val="Normal"/>
        <w:ind w:left="72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2"/>
        </w:numPr>
        <w:ind w:left="720" w:right="-141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Firma pokračuje vo svojej činnosti.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- V účtovnom období neboli zmenené účtovné zásady ani metódy účtovania.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2"/>
        </w:numPr>
        <w:ind w:left="720" w:right="-141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neboli také transakcie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riv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nebolo účtované o znížení hodnoty majetku.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/>
      </w:pPr>
      <w:r>
        <w:rPr/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07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218"/>
        <w:gridCol w:w="1013"/>
        <w:gridCol w:w="2108"/>
        <w:gridCol w:w="2267"/>
      </w:tblGrid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013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Drobný hmotný majetok , PC, pokladnice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 </w:t>
            </w:r>
            <w:r>
              <w:rPr>
                <w:rFonts w:cs="Arial" w:ascii="Arial Narrow" w:hAnsi="Arial Narrow"/>
                <w:sz w:val="22"/>
                <w:szCs w:val="22"/>
              </w:rPr>
              <w:t xml:space="preserve">022   </w:t>
            </w:r>
          </w:p>
        </w:tc>
        <w:tc>
          <w:tcPr>
            <w:tcW w:w="43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4                                         25  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Chladničky, el.stoje a zariadenia, inventár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Budova  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/>
            </w:pPr>
            <w:r>
              <w:rPr>
                <w:rFonts w:cs="Arial" w:ascii="Arial Narrow" w:hAnsi="Arial Narrow"/>
                <w:sz w:val="22"/>
                <w:szCs w:val="22"/>
              </w:rPr>
              <w:t>2,5</w:t>
            </w:r>
          </w:p>
        </w:tc>
      </w:tr>
    </w:tbl>
    <w:p>
      <w:pPr>
        <w:pStyle w:val="Normal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zo zaradení do používania. Drobný dlhodobý nehmotný majetok, ktorého obstarávacia cena je 2.400,- € a menej, sa odpisuje jednorázovo.                        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Odpisy dlhodobého hmotného majetku sú stanovené vychádzajúc z predpokladanej doby jeho používania a predpok-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ladaného priebehu jeho opotrebenia. Odpisovať sa začína prvým dňom mesiaca, keď bol zaradený do používania.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Drobný dlhodobý hmotný majetok, ktorého obstarávacia cena je 1.700,- €  a nižšia, sa odpisuje jednorázovo pri uve-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dení do používania.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Pozemky sa neodpisujú.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Firma používa rovnomerné odpisovanie.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tbl>
      <w:tblPr>
        <w:tblW w:w="9100" w:type="dxa"/>
        <w:jc w:val="left"/>
        <w:tblInd w:w="5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978"/>
        <w:gridCol w:w="2060"/>
        <w:gridCol w:w="2062"/>
      </w:tblGrid>
      <w:tr>
        <w:trPr>
          <w:trHeight w:val="300" w:hRule="atLeast"/>
        </w:trPr>
        <w:tc>
          <w:tcPr>
            <w:tcW w:w="4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Arial Narrow" w:hAnsi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 Narrow" w:hAnsi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Ocenenie</w:t>
            </w:r>
          </w:p>
        </w:tc>
        <w:tc>
          <w:tcPr>
            <w:tcW w:w="2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Arial Narrow" w:hAnsi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Výška dotácie</w:t>
            </w:r>
          </w:p>
        </w:tc>
      </w:tr>
      <w:tr>
        <w:trPr>
          <w:trHeight w:val="300" w:hRule="atLeast"/>
        </w:trPr>
        <w:tc>
          <w:tcPr>
            <w:tcW w:w="4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žiadne</w:t>
            </w:r>
          </w:p>
        </w:tc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4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4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bottom"/>
          </w:tcPr>
          <w:p>
            <w:pPr>
              <w:pStyle w:val="Normal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rPr/>
      </w:pPr>
      <w:r>
        <w:rPr/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- nebolo účtované o významných chybách minulých účtovných období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0"/>
          <w:szCs w:val="20"/>
        </w:rPr>
      </w:pPr>
      <w:r>
        <w:rPr>
          <w:rFonts w:cs="Arial Narrow" w:ascii="Arial Narrow" w:hAnsi="Arial Narrow"/>
          <w:sz w:val="20"/>
          <w:szCs w:val="20"/>
        </w:rPr>
        <w:t xml:space="preserve">Dlhodobý nehmotný majetok, ktorým je </w:t>
      </w:r>
      <w:r>
        <w:rPr>
          <w:rFonts w:cs="Arial Narrow" w:ascii="Arial Narrow" w:hAnsi="Arial Narrow"/>
          <w:sz w:val="20"/>
          <w:szCs w:val="20"/>
          <w:u w:val="single"/>
        </w:rPr>
        <w:t>goodwill alebo záporný goodwill</w:t>
      </w:r>
      <w:r>
        <w:rPr>
          <w:rFonts w:cs="Arial Narrow" w:ascii="Arial Narrow" w:hAnsi="Arial Narrow"/>
          <w:b/>
          <w:sz w:val="20"/>
          <w:szCs w:val="20"/>
        </w:rPr>
        <w:t xml:space="preserve"> - </w:t>
      </w:r>
      <w:r>
        <w:rPr>
          <w:rFonts w:cs="Arial Narrow" w:ascii="Arial Narrow" w:hAnsi="Arial Narrow"/>
          <w:sz w:val="20"/>
          <w:szCs w:val="20"/>
        </w:rPr>
        <w:t>dôvod jeho vzniku, spôsob výpočtu a prehodnotenie opodstatnenosti jeho výšky a odpisu jeho hodnoty: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cs="Arial Narrow" w:ascii="Arial Narrow" w:hAnsi="Arial Narrow"/>
          <w:sz w:val="20"/>
          <w:szCs w:val="20"/>
        </w:rPr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0"/>
          <w:szCs w:val="20"/>
        </w:rPr>
      </w:pPr>
      <w:r>
        <w:rPr>
          <w:rFonts w:cs="Arial Narrow" w:ascii="Arial Narrow" w:hAnsi="Arial Narrow"/>
          <w:sz w:val="20"/>
          <w:szCs w:val="20"/>
        </w:rPr>
        <w:t>nie je náplň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firma neúčtuje o derivátoch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cs="Arial Narrow" w:ascii="Arial Narrow" w:hAnsi="Arial Narrow"/>
          <w:sz w:val="22"/>
          <w:szCs w:val="22"/>
          <w:u w:val="single"/>
        </w:rPr>
        <w:t>v tabuľkovej forme</w:t>
      </w:r>
      <w:r>
        <w:rPr>
          <w:rFonts w:cs="Arial Narrow" w:ascii="Arial Narrow" w:hAnsi="Arial Narrow"/>
          <w:sz w:val="22"/>
          <w:szCs w:val="22"/>
        </w:rPr>
        <w:t xml:space="preserve"> informácia zobrazujúca pohyby v oceňovacích rozdieloch </w:t>
      </w:r>
      <w:r>
        <w:rPr>
          <w:rFonts w:cs="Arial Narrow" w:ascii="Arial Narrow" w:hAnsi="Arial Narrow"/>
          <w:sz w:val="22"/>
          <w:szCs w:val="22"/>
          <w:u w:val="single"/>
        </w:rPr>
        <w:t>z ocenenia reálnou hodnotou</w:t>
      </w:r>
      <w:r>
        <w:rPr>
          <w:rFonts w:cs="Arial Narrow" w:ascii="Arial Narrow" w:hAnsi="Arial Narrow"/>
          <w:sz w:val="22"/>
          <w:szCs w:val="22"/>
        </w:rPr>
        <w:t xml:space="preserve"> počas účtovného obdobia.</w:t>
      </w:r>
    </w:p>
    <w:tbl>
      <w:tblPr>
        <w:tblW w:w="49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1"/>
        <w:gridCol w:w="1100"/>
        <w:gridCol w:w="1100"/>
        <w:gridCol w:w="1787"/>
        <w:gridCol w:w="1779"/>
      </w:tblGrid>
      <w:tr>
        <w:trPr>
          <w:trHeight w:val="153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420"/>
        <w:gridCol w:w="256"/>
        <w:gridCol w:w="2359"/>
        <w:gridCol w:w="2462"/>
      </w:tblGrid>
      <w:tr>
        <w:trPr>
          <w:trHeight w:val="693" w:hRule="atLeast"/>
        </w:trPr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rPr>
                <w:rFonts w:ascii="Arial Narrow" w:hAnsi="Arial Narrow"/>
                <w:b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rPr>
                <w:rFonts w:ascii="Arial Narrow" w:hAnsi="Arial Narrow"/>
                <w:b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>
          <w:trHeight w:val="207" w:hRule="atLeast"/>
        </w:trPr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Dlhodobé záväzky 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jc w:val="right"/>
              <w:rPr/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Bežné účtovné obdobie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Bezprostredne predchádz. Účt. obdobie</w:t>
            </w:r>
          </w:p>
        </w:tc>
      </w:tr>
      <w:tr>
        <w:trPr/>
        <w:tc>
          <w:tcPr>
            <w:tcW w:w="4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Krátkodobé záväzky spolu</w:t>
            </w:r>
          </w:p>
        </w:tc>
        <w:tc>
          <w:tcPr>
            <w:tcW w:w="2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386052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71125</w:t>
            </w:r>
          </w:p>
        </w:tc>
      </w:tr>
      <w:tr>
        <w:trPr/>
        <w:tc>
          <w:tcPr>
            <w:tcW w:w="4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so zost. dobou spl. do jedného roka vrátane</w:t>
            </w:r>
          </w:p>
        </w:tc>
        <w:tc>
          <w:tcPr>
            <w:tcW w:w="2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650</w:t>
            </w:r>
          </w:p>
        </w:tc>
        <w:tc>
          <w:tcPr>
            <w:tcW w:w="24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120" w:after="0"/>
              <w:ind w:right="-471" w:hanging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30"/>
        <w:gridCol w:w="2789"/>
        <w:gridCol w:w="2378"/>
      </w:tblGrid>
      <w:tr>
        <w:trPr/>
        <w:tc>
          <w:tcPr>
            <w:tcW w:w="43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1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jc w:val="both"/>
              <w:rPr/>
            </w:pPr>
            <w:r>
              <w:rPr/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záložné právo</w:t>
            </w:r>
          </w:p>
        </w:tc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2"/>
        </w:numPr>
        <w:ind w:left="720" w:right="-468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 záložné právo k záväzkom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dôvod nadobudnutia vlastných akcií počas účtovného obdobia: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numPr>
          <w:ilvl w:val="0"/>
          <w:numId w:val="2"/>
        </w:numPr>
        <w:spacing w:before="0" w:after="120"/>
        <w:ind w:left="720" w:right="-471" w:hanging="36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>neúčtovali sme o takýchto nákladoch, alebo výnosoch</w:t>
      </w:r>
    </w:p>
    <w:p>
      <w:pPr>
        <w:pStyle w:val="Normal"/>
        <w:spacing w:before="0" w:after="120"/>
        <w:ind w:left="720"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3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nemáme takého povinnosti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nemáme takéto povinnosti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114"/>
        <w:gridCol w:w="1648"/>
        <w:gridCol w:w="1545"/>
      </w:tblGrid>
      <w:tr>
        <w:trPr>
          <w:trHeight w:val="780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podsúvahovej položky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44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right="-468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2"/>
        </w:numPr>
        <w:ind w:left="720" w:right="-468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Neúčtujeme na podsúvahových účtoch. 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nenastali takého skutočnosti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Zmena spoločníkov účtovnej jednotky: 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v účtovnom období nenastali takého zmeny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Prijaté rozhodnutia o predaji účtovnej jednotky alebo jej časti:</w:t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neboli prijaté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Zmeny významných položiek dlhodobého finančného majetku:</w:t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nenastali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Začatie alebo ukončenie činnosti časti účtovnej jednotky, napríklad odštepného závodu, organizačnej zložky, prevádzkarne: </w:t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nemáme odštepné závody, ani účtovné jednotky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Vydané dlhopisy a iné cenné papiere: </w:t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neboli vydané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Zlúčenie, splynutie, rozdelenie a zmena právnej formy účtovnej jednotky: </w:t>
      </w:r>
    </w:p>
    <w:p>
      <w:pPr>
        <w:pStyle w:val="Normal"/>
        <w:numPr>
          <w:ilvl w:val="0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nenastalo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nenastalo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- nenastalo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bez náplne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bez náplne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bez náplne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01"/>
    <w:family w:val="auto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  <w:lang w:val="sk-SK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  <w:lang w:val="sk-SK"/>
      </w:rPr>
      <w:t>z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  <w:lang w:val="sk-SK"/>
      </w:rPr>
      <w:t>á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  <w:lang w:val="sk-SK"/>
      </w:rPr>
      <w:t>k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  <w:lang w:val="sk-SK"/>
      </w:rPr>
      <w:t>Ú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č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POD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 50115049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Č:2120265576 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szCs w:val="24"/>
        <w:iCs w:val="false"/>
        <w:bCs w:val="false"/>
        <w:w w:val="100"/>
        <w:vanish w:val="false"/>
        <w:rFonts w:cs="Times New Roman"/>
        <w:color w:val="00000A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sz w:val="22"/>
        <w:b/>
        <w:rFonts w:cs="Arial Narro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embedSystemFonts/>
  <w:defaultTabStop w:val="113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dd6176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adpis1">
    <w:name w:val="Heading 1"/>
    <w:basedOn w:val="Normal"/>
    <w:link w:val="Nadpis1Char"/>
    <w:qFormat/>
    <w:rsid w:val="00dd6176"/>
    <w:pPr>
      <w:keepNext/>
      <w:numPr>
        <w:ilvl w:val="0"/>
        <w:numId w:val="1"/>
      </w:numPr>
      <w:spacing w:before="240" w:after="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link w:val="Nadpis2Char"/>
    <w:qFormat/>
    <w:rsid w:val="00dd6176"/>
    <w:pPr>
      <w:keepNext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qFormat/>
    <w:locked/>
    <w:rPr>
      <w:b/>
      <w:bCs/>
      <w:sz w:val="24"/>
      <w:szCs w:val="24"/>
      <w:lang w:val="sk-SK" w:eastAsia="sk-SK"/>
    </w:rPr>
  </w:style>
  <w:style w:type="character" w:styleId="Nadpis2Char" w:customStyle="1">
    <w:name w:val="Nadpis 2 Char"/>
    <w:link w:val="Nadpis2"/>
    <w:semiHidden/>
    <w:qFormat/>
    <w:locked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link w:val="Textpoznmkypodiarou"/>
    <w:semiHidden/>
    <w:qFormat/>
    <w:locked/>
    <w:rPr>
      <w:sz w:val="20"/>
      <w:szCs w:val="20"/>
    </w:rPr>
  </w:style>
  <w:style w:type="character" w:styleId="Footnotereference">
    <w:name w:val="footnote reference"/>
    <w:semiHidden/>
    <w:qFormat/>
    <w:rsid w:val="00dd6176"/>
    <w:rPr>
      <w:vertAlign w:val="superscript"/>
    </w:rPr>
  </w:style>
  <w:style w:type="character" w:styleId="PtaChar" w:customStyle="1">
    <w:name w:val="Päta Char"/>
    <w:link w:val="Pta"/>
    <w:uiPriority w:val="99"/>
    <w:qFormat/>
    <w:locked/>
    <w:rPr>
      <w:sz w:val="24"/>
      <w:szCs w:val="24"/>
    </w:rPr>
  </w:style>
  <w:style w:type="character" w:styleId="Pagenumber">
    <w:name w:val="page number"/>
    <w:basedOn w:val="DefaultParagraphFont"/>
    <w:qFormat/>
    <w:rsid w:val="006761b2"/>
    <w:rPr/>
  </w:style>
  <w:style w:type="character" w:styleId="NzovChar" w:customStyle="1">
    <w:name w:val="Názov Char"/>
    <w:link w:val="Nzov"/>
    <w:uiPriority w:val="99"/>
    <w:qFormat/>
    <w:locked/>
    <w:rsid w:val="00a84c9f"/>
    <w:rPr>
      <w:rFonts w:ascii="Arial Narrow" w:hAnsi="Arial Narrow" w:cs="Arial Narrow"/>
      <w:b/>
      <w:bCs/>
      <w:sz w:val="32"/>
      <w:szCs w:val="32"/>
      <w:lang w:val="sk-SK" w:eastAsia="x-none"/>
    </w:rPr>
  </w:style>
  <w:style w:type="character" w:styleId="HlavikaChar" w:customStyle="1">
    <w:name w:val="Hlavička Char"/>
    <w:link w:val="Hlavika"/>
    <w:qFormat/>
    <w:locked/>
    <w:rsid w:val="003c13be"/>
    <w:rPr>
      <w:sz w:val="24"/>
      <w:szCs w:val="24"/>
      <w:lang w:val="sk-SK" w:eastAsia="sk-SK"/>
    </w:rPr>
  </w:style>
  <w:style w:type="character" w:styleId="ZkladntextChar" w:customStyle="1">
    <w:name w:val="Základný text Char"/>
    <w:link w:val="Zkladntext0"/>
    <w:uiPriority w:val="1"/>
    <w:qFormat/>
    <w:rsid w:val="00ea0ddc"/>
    <w:rPr>
      <w:sz w:val="24"/>
      <w:szCs w:val="24"/>
      <w:lang w:val="en-US" w:eastAsia="en-US"/>
    </w:rPr>
  </w:style>
  <w:style w:type="character" w:styleId="TextbublinyChar" w:customStyle="1">
    <w:name w:val="Text bubliny Char"/>
    <w:basedOn w:val="DefaultParagraphFont"/>
    <w:link w:val="Textbubliny"/>
    <w:qFormat/>
    <w:rsid w:val="007e77a4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ascii="Arial Narrow" w:hAnsi="Arial Narrow" w:eastAsia="Times New Roman" w:cs="Arial Narrow"/>
      <w:b/>
      <w:sz w:val="22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Courier New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Courier New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Courier New"/>
    </w:rPr>
  </w:style>
  <w:style w:type="character" w:styleId="ListLabel39">
    <w:name w:val="ListLabel 39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40">
    <w:name w:val="ListLabel 40"/>
    <w:qFormat/>
    <w:rPr>
      <w:rFonts w:ascii="Arial Narrow" w:hAnsi="Arial Narrow" w:cs="Arial Narrow"/>
      <w:b/>
      <w:sz w:val="22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1"/>
    <w:unhideWhenUsed/>
    <w:qFormat/>
    <w:rsid w:val="00ea0ddc"/>
    <w:pPr>
      <w:widowControl w:val="false"/>
      <w:ind w:left="668" w:hanging="567"/>
    </w:pPr>
    <w:rPr>
      <w:lang w:val="en-US" w:eastAsia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Zkladntext" w:customStyle="1">
    <w:name w:val="Základní text"/>
    <w:qFormat/>
    <w:rsid w:val="00dd6176"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styleId="Footnotetext">
    <w:name w:val="footnote text"/>
    <w:basedOn w:val="Normal"/>
    <w:link w:val="TextpoznmkypodiarouChar"/>
    <w:semiHidden/>
    <w:qFormat/>
    <w:rsid w:val="00dd6176"/>
    <w:pPr/>
    <w:rPr>
      <w:sz w:val="20"/>
      <w:szCs w:val="20"/>
    </w:rPr>
  </w:style>
  <w:style w:type="paragraph" w:styleId="Pta">
    <w:name w:val="Footer"/>
    <w:basedOn w:val="Normal"/>
    <w:link w:val="PtaChar"/>
    <w:uiPriority w:val="99"/>
    <w:rsid w:val="006761b2"/>
    <w:pPr>
      <w:tabs>
        <w:tab w:val="center" w:pos="4536" w:leader="none"/>
        <w:tab w:val="right" w:pos="9072" w:leader="none"/>
      </w:tabs>
    </w:pPr>
    <w:rPr/>
  </w:style>
  <w:style w:type="paragraph" w:styleId="Nzov">
    <w:name w:val="Title"/>
    <w:basedOn w:val="Normal"/>
    <w:link w:val="NzovChar"/>
    <w:uiPriority w:val="99"/>
    <w:qFormat/>
    <w:rsid w:val="00a84c9f"/>
    <w:pPr>
      <w:keepNext/>
      <w:spacing w:beforeAutospacing="1" w:after="220"/>
      <w:jc w:val="center"/>
      <w:outlineLvl w:val="0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opHeader" w:customStyle="1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rsid w:val="003c13be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basedOn w:val="Normal"/>
    <w:uiPriority w:val="34"/>
    <w:qFormat/>
    <w:rsid w:val="00c8054b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qFormat/>
    <w:rsid w:val="007e77a4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leNormal">
    <w:name w:val="Table Normal"/>
    <w:uiPriority w:val="2"/>
    <w:semiHidden/>
    <w:qFormat/>
    <w:rsid w:val="00ea0ddc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E6881E-3DE5-4FB9-94FA-276FE292C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Application>LibreOffice/5.2.1.2$Windows_x86 LibreOffice_project/31dd62db80d4e60af04904455ec9c9219178d620</Application>
  <Pages>7</Pages>
  <Words>2230</Words>
  <Characters>13719</Characters>
  <CharactersWithSpaces>15816</CharactersWithSpaces>
  <Paragraphs>302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2017-03-28T12:00:00Z</dcterms:created>
  <dc:creator>user</dc:creator>
  <dc:description/>
  <dc:language>sk-SK</dc:language>
  <cp:lastModifiedBy/>
  <cp:lastPrinted>2018-03-28T16:55:40Z</cp:lastPrinted>
  <dcterms:modified xsi:type="dcterms:W3CDTF">2018-03-29T11:33:38Z</dcterms:modified>
  <cp:revision>14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