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0" w:color="00000A"/>
          <w:left w:val="single" w:sz="4" w:space="4" w:color="00000A"/>
          <w:bottom w:val="single" w:sz="4" w:space="1" w:color="00000A"/>
          <w:right w:val="single" w:sz="4" w:space="6" w:color="00000A"/>
        </w:pBdr>
        <w:spacing w:before="0" w:after="120"/>
        <w:jc w:val="center"/>
        <w:rPr>
          <w:rFonts w:ascii="Arial Narrow" w:hAnsi="Arial Narrow"/>
          <w:b/>
          <w:b/>
        </w:rPr>
      </w:pPr>
      <w:r>
        <w:rPr>
          <w:rFonts w:ascii="Arial Narrow" w:hAnsi="Arial Narrow"/>
          <w:b/>
        </w:rPr>
        <w:t>POZNÁMKY K ÚČTOVNEJ ZÁVIERKE 2017</w:t>
      </w:r>
    </w:p>
    <w:p>
      <w:pPr>
        <w:pStyle w:val="Normal"/>
        <w:pBdr>
          <w:top w:val="single" w:sz="4" w:space="0" w:color="00000A"/>
          <w:left w:val="single" w:sz="4" w:space="4" w:color="00000A"/>
          <w:bottom w:val="single" w:sz="4" w:space="1" w:color="00000A"/>
          <w:right w:val="single" w:sz="4" w:space="6" w:color="00000A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A"/>
          <w:left w:val="single" w:sz="4" w:space="4" w:color="00000A"/>
          <w:bottom w:val="single" w:sz="4" w:space="1" w:color="00000A"/>
          <w:right w:val="single" w:sz="4" w:space="6" w:color="00000A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pre malé účtovné jednotky</w:t>
      </w:r>
      <w:r>
        <w:rPr>
          <w:rFonts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</w:r>
    </w:p>
    <w:p>
      <w:pPr>
        <w:pStyle w:val="Normal"/>
        <w:jc w:val="center"/>
        <w:rPr>
          <w:rFonts w:ascii="Arial Narrow" w:hAnsi="Arial Narrow" w:cs="Arial Narrow"/>
          <w:b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</w:r>
    </w:p>
    <w:p>
      <w:pPr>
        <w:pStyle w:val="Normal"/>
        <w:rPr>
          <w:rFonts w:ascii="Arial Narrow" w:hAnsi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</w:r>
    </w:p>
    <w:tbl>
      <w:tblPr>
        <w:tblW w:w="4900" w:type="pct"/>
        <w:jc w:val="left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552"/>
        <w:gridCol w:w="6754"/>
      </w:tblGrid>
      <w:tr>
        <w:trPr>
          <w:trHeight w:val="231" w:hRule="atLeast"/>
        </w:trPr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6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IMPOL HOLDING, a.s.</w:t>
            </w:r>
          </w:p>
        </w:tc>
      </w:tr>
      <w:tr>
        <w:trPr>
          <w:trHeight w:val="249" w:hRule="atLeast"/>
        </w:trPr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6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Ľubochnianská 2 , 080 06 Ľubotice</w:t>
            </w:r>
          </w:p>
        </w:tc>
      </w:tr>
      <w:tr>
        <w:trPr>
          <w:trHeight w:val="125" w:hRule="atLeast"/>
        </w:trPr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6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Akciová spoločnosť</w:t>
            </w:r>
          </w:p>
        </w:tc>
      </w:tr>
      <w:tr>
        <w:trPr>
          <w:trHeight w:val="143" w:hRule="atLeast"/>
        </w:trPr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6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22.04.2016</w:t>
            </w:r>
          </w:p>
        </w:tc>
      </w:tr>
      <w:tr>
        <w:trPr>
          <w:trHeight w:val="175" w:hRule="atLeast"/>
        </w:trPr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6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Prevádzkovanie a prenájom nehnuteľnosti</w:t>
            </w:r>
          </w:p>
        </w:tc>
      </w:tr>
      <w:tr>
        <w:trPr>
          <w:trHeight w:val="194" w:hRule="atLeast"/>
        </w:trPr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6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NIE</w:t>
            </w:r>
          </w:p>
        </w:tc>
      </w:tr>
      <w:tr>
        <w:trPr>
          <w:trHeight w:val="194" w:hRule="atLeast"/>
        </w:trPr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6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2017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25" w:hanging="0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malá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8292" w:type="dxa"/>
        <w:jc w:val="left"/>
        <w:tblInd w:w="3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196"/>
        <w:gridCol w:w="2835"/>
        <w:gridCol w:w="3261"/>
      </w:tblGrid>
      <w:tr>
        <w:trPr/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 (2016)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 (2015)</w:t>
            </w:r>
          </w:p>
        </w:tc>
      </w:tr>
      <w:tr>
        <w:trPr/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1779285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1338718</w:t>
            </w:r>
          </w:p>
        </w:tc>
      </w:tr>
      <w:tr>
        <w:trPr/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204772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90319</w:t>
            </w:r>
          </w:p>
        </w:tc>
      </w:tr>
      <w:tr>
        <w:trPr/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</w:t>
      </w:r>
      <w:r>
        <w:rPr>
          <w:rFonts w:ascii="Arial Narrow" w:hAnsi="Arial Narrow"/>
          <w:sz w:val="22"/>
          <w:szCs w:val="22"/>
        </w:rPr>
        <w:t>Opatrenie č.MF/23378/2014-74)</w:t>
      </w:r>
      <w:r>
        <w:rPr>
          <w:rFonts w:cs="Arial Narrow" w:ascii="Arial Narrow" w:hAnsi="Arial Narrow"/>
          <w:sz w:val="22"/>
          <w:szCs w:val="22"/>
        </w:rPr>
        <w:t>.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 30.03.2017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   </w:t>
      </w:r>
      <w:r>
        <w:rPr>
          <w:rFonts w:cs="Arial Narrow" w:ascii="Arial Narrow" w:hAnsi="Arial Narrow"/>
          <w:sz w:val="22"/>
          <w:szCs w:val="22"/>
        </w:rPr>
        <w:t>- Riadna účtovná závierka zostavená k poslednému dňu účtovného obdobia.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</w:t>
      </w:r>
      <w:r>
        <w:rPr>
          <w:rFonts w:cs="Arial Narrow" w:ascii="Arial Narrow" w:hAnsi="Arial Narrow"/>
          <w:b/>
          <w:bCs/>
          <w:sz w:val="22"/>
          <w:szCs w:val="22"/>
        </w:rPr>
        <w:t>s konsolidáciou</w:t>
      </w:r>
      <w:r>
        <w:rPr>
          <w:rFonts w:cs="Arial Narrow" w:ascii="Arial Narrow" w:hAnsi="Arial Narrow"/>
          <w:bCs/>
          <w:sz w:val="22"/>
          <w:szCs w:val="22"/>
        </w:rPr>
        <w:t>:</w:t>
      </w:r>
    </w:p>
    <w:p>
      <w:pPr>
        <w:pStyle w:val="Normal"/>
        <w:ind w:left="360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left="360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- Účtovná jednotka nie je súčasťou konsolidovaného celku </w:t>
      </w:r>
    </w:p>
    <w:p>
      <w:pPr>
        <w:pStyle w:val="Normal"/>
        <w:ind w:left="360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a) Obchodné meno a sídlo účtovnej jednotky, ktorá zostavuje </w:t>
      </w:r>
      <w:r>
        <w:rPr>
          <w:rFonts w:cs="Arial Narrow" w:ascii="Arial Narrow" w:hAnsi="Arial Narrow"/>
          <w:b/>
          <w:sz w:val="22"/>
          <w:szCs w:val="22"/>
        </w:rPr>
        <w:t>konsolidovanú účtovnú závierku</w:t>
      </w:r>
      <w:r>
        <w:rPr>
          <w:rFonts w:cs="Arial Narrow" w:ascii="Arial Narrow" w:hAnsi="Arial Narrow"/>
          <w:sz w:val="22"/>
          <w:szCs w:val="22"/>
        </w:rPr>
        <w:t xml:space="preserve"> za </w:t>
      </w:r>
      <w:r>
        <w:rPr>
          <w:rFonts w:cs="Arial Narrow" w:ascii="Arial Narrow" w:hAnsi="Arial Narrow"/>
          <w:sz w:val="22"/>
          <w:szCs w:val="22"/>
          <w:u w:val="single"/>
        </w:rPr>
        <w:t>najväčšiu skupinu</w:t>
      </w:r>
      <w:r>
        <w:rPr>
          <w:rFonts w:cs="Arial Narrow" w:ascii="Arial Narrow" w:hAnsi="Arial Narrow"/>
          <w:sz w:val="22"/>
          <w:szCs w:val="22"/>
        </w:rPr>
        <w:t>, ktorej súčasťou je účtovná jednotka ako dcérska účtovná jednotka (najvyšší stupeň konsolidácie):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b) Obchodné meno a sídlo účtovnej jednotky, ktorá zostavuje </w:t>
      </w:r>
      <w:r>
        <w:rPr>
          <w:rFonts w:cs="Arial Narrow" w:ascii="Arial Narrow" w:hAnsi="Arial Narrow"/>
          <w:b/>
          <w:sz w:val="22"/>
          <w:szCs w:val="22"/>
        </w:rPr>
        <w:t>konsolidovanú účtovnú závierku</w:t>
      </w:r>
      <w:r>
        <w:rPr>
          <w:rFonts w:cs="Arial Narrow" w:ascii="Arial Narrow" w:hAnsi="Arial Narrow"/>
          <w:sz w:val="22"/>
          <w:szCs w:val="22"/>
        </w:rPr>
        <w:t xml:space="preserve"> za </w:t>
      </w:r>
      <w:r>
        <w:rPr>
          <w:rFonts w:cs="Arial Narrow" w:ascii="Arial Narrow" w:hAnsi="Arial Narrow"/>
          <w:sz w:val="22"/>
          <w:szCs w:val="22"/>
          <w:u w:val="single"/>
        </w:rPr>
        <w:t>najmenšiu skupinu</w:t>
      </w:r>
      <w:r>
        <w:rPr>
          <w:rFonts w:cs="Arial Narrow" w:ascii="Arial Narrow" w:hAnsi="Arial Narrow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c) Adresa, kde sa môže vyžiadať kópia vyššie uvedených </w:t>
      </w:r>
      <w:r>
        <w:rPr>
          <w:rFonts w:cs="Arial Narrow" w:ascii="Arial Narrow" w:hAnsi="Arial Narrow"/>
          <w:b/>
          <w:sz w:val="22"/>
          <w:szCs w:val="22"/>
        </w:rPr>
        <w:t>konsolidovaných účtovných závierok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d) Údaj, či účtovná jednotka je materskou účtovnou jednotkou a údaj, či je oslobodená od povinnosti zostaviť </w:t>
      </w:r>
      <w:r>
        <w:rPr>
          <w:rFonts w:cs="Arial Narrow" w:ascii="Arial Narrow" w:hAnsi="Arial Narrow"/>
          <w:b/>
          <w:sz w:val="22"/>
          <w:szCs w:val="22"/>
        </w:rPr>
        <w:t>konsolidovanú účtovnú závierku</w:t>
      </w:r>
      <w:r>
        <w:rPr>
          <w:rFonts w:cs="Arial Narrow" w:ascii="Arial Narrow" w:hAnsi="Arial Narrow"/>
          <w:sz w:val="22"/>
          <w:szCs w:val="22"/>
        </w:rPr>
        <w:t xml:space="preserve"> a konsolidovanú výročnú správu podľa § 22 zákona o účtovníctve, pričom sa uvádzajú: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1. pri oslobodení podľa § 22 ods. 8 zákona o účtovníctve obchodné meno a sídlo materskej účtovnej jednotky zostavujúcej </w:t>
      </w:r>
      <w:r>
        <w:rPr>
          <w:rFonts w:cs="Arial Narrow" w:ascii="Arial Narrow" w:hAnsi="Arial Narrow"/>
          <w:b/>
          <w:sz w:val="22"/>
          <w:szCs w:val="22"/>
        </w:rPr>
        <w:t>konsolidovanú účtovnú závierku</w:t>
      </w:r>
      <w:r>
        <w:rPr>
          <w:rFonts w:cs="Arial Narrow" w:ascii="Arial Narrow" w:hAnsi="Arial Narrow"/>
          <w:sz w:val="22"/>
          <w:szCs w:val="22"/>
        </w:rPr>
        <w:t xml:space="preserve"> podľa osobitných predpisov (IFRS/EÚ):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2. pri oslobodení podľa § 22 ods. 10 a 12 zákona o účtovníctve obchodné meno a sídlo dcérskych účtovných jednotiek:  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5000" w:type="pct"/>
        <w:jc w:val="left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732"/>
        <w:gridCol w:w="2458"/>
        <w:gridCol w:w="2307"/>
      </w:tblGrid>
      <w:tr>
        <w:trPr>
          <w:trHeight w:val="537" w:hRule="atLeast"/>
        </w:trPr>
        <w:tc>
          <w:tcPr>
            <w:tcW w:w="47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ind w:right="459" w:hanging="0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7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  <w:u w:val="single"/>
              </w:rPr>
            </w:pPr>
            <w:r>
              <w:rPr>
                <w:rFonts w:cs="Arial Narrow" w:ascii="Arial Narrow" w:hAnsi="Arial Narrow"/>
                <w:sz w:val="22"/>
                <w:szCs w:val="22"/>
                <w:u w:val="single"/>
              </w:rPr>
              <w:t>Priemerný prepočítaný počet počas účtovného obdobia</w:t>
            </w:r>
          </w:p>
        </w:tc>
        <w:tc>
          <w:tcPr>
            <w:tcW w:w="24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</w:tr>
    </w:tbl>
    <w:p>
      <w:pPr>
        <w:pStyle w:val="Normal"/>
        <w:ind w:left="928" w:right="-468" w:hanging="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cs="Arial Narrow" w:ascii="Arial Narrow" w:hAnsi="Arial Narrow"/>
          <w:sz w:val="22"/>
          <w:szCs w:val="22"/>
          <w:u w:val="single"/>
        </w:rPr>
      </w:r>
    </w:p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cs="Arial Narrow" w:ascii="Arial Narrow" w:hAnsi="Arial Narrow"/>
          <w:sz w:val="22"/>
          <w:szCs w:val="22"/>
          <w:u w:val="single"/>
        </w:rPr>
      </w:r>
    </w:p>
    <w:p>
      <w:pPr>
        <w:pStyle w:val="Normal"/>
        <w:ind w:right="-468" w:hanging="0"/>
        <w:jc w:val="center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5000" w:type="pct"/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171"/>
        <w:gridCol w:w="1662"/>
        <w:gridCol w:w="1664"/>
      </w:tblGrid>
      <w:tr>
        <w:trPr>
          <w:trHeight w:val="780" w:hRule="atLeast"/>
        </w:trPr>
        <w:tc>
          <w:tcPr>
            <w:tcW w:w="61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Orgány účtovnej jednotky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1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rPr>
                <w:rFonts w:ascii="Arial Narrow" w:hAnsi="Arial Narrow"/>
                <w:b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Štatutárny orgán – Konatelia: 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>
        <w:trPr>
          <w:trHeight w:val="144" w:hRule="atLeast"/>
        </w:trPr>
        <w:tc>
          <w:tcPr>
            <w:tcW w:w="61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numPr>
                <w:ilvl w:val="0"/>
                <w:numId w:val="2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Poskytnutá pôžička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301690</w:t>
            </w:r>
          </w:p>
        </w:tc>
        <w:tc>
          <w:tcPr>
            <w:tcW w:w="1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50064</w:t>
            </w:r>
          </w:p>
        </w:tc>
      </w:tr>
      <w:tr>
        <w:trPr>
          <w:trHeight w:val="161" w:hRule="atLeast"/>
        </w:trPr>
        <w:tc>
          <w:tcPr>
            <w:tcW w:w="61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rPr>
                <w:rFonts w:ascii="Arial Narrow" w:hAnsi="Arial Narrow"/>
                <w:b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>
        <w:trPr>
          <w:trHeight w:val="161" w:hRule="atLeast"/>
        </w:trPr>
        <w:tc>
          <w:tcPr>
            <w:tcW w:w="61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numPr>
                <w:ilvl w:val="0"/>
                <w:numId w:val="2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>
        <w:trPr>
          <w:trHeight w:val="161" w:hRule="atLeast"/>
        </w:trPr>
        <w:tc>
          <w:tcPr>
            <w:tcW w:w="61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rPr>
                <w:rFonts w:ascii="Arial Narrow" w:hAnsi="Arial Narrow"/>
                <w:b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</w:r>
          </w:p>
        </w:tc>
        <w:tc>
          <w:tcPr>
            <w:tcW w:w="1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1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numPr>
                <w:ilvl w:val="0"/>
                <w:numId w:val="2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 w:hanging="0"/>
        <w:jc w:val="center"/>
        <w:rPr>
          <w:rFonts w:ascii="Arial Narrow" w:hAnsi="Arial Narrow" w:cs="Arial Narrow"/>
          <w:b/>
          <w:b/>
          <w:bCs/>
          <w:sz w:val="22"/>
          <w:szCs w:val="22"/>
          <w:u w:val="single"/>
        </w:rPr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numPr>
          <w:ilvl w:val="0"/>
          <w:numId w:val="4"/>
        </w:numPr>
        <w:ind w:left="720" w:right="-141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</w:t>
      </w:r>
    </w:p>
    <w:p>
      <w:pPr>
        <w:pStyle w:val="Normal"/>
        <w:ind w:left="720"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numPr>
          <w:ilvl w:val="0"/>
          <w:numId w:val="2"/>
        </w:numPr>
        <w:ind w:left="720" w:right="-141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Firma pokračuje vo svojej činnosti. 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- V účtovnom období neboli zmenené účtovné zásady ani metódy účtovania. 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numPr>
          <w:ilvl w:val="0"/>
          <w:numId w:val="2"/>
        </w:numPr>
        <w:ind w:left="720" w:right="-141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neboli také transakcie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spacing w:before="0" w:after="120"/>
        <w:ind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06" w:type="dxa"/>
        <w:jc w:val="left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6"/>
        <w:gridCol w:w="5300"/>
        <w:gridCol w:w="3600"/>
      </w:tblGrid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 Narrow" w:hAnsi="Arial Narrow" w:cs="Arial"/>
                <w:b/>
                <w:b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 Narrow" w:hAnsi="Arial Narrow" w:cs="Arial"/>
                <w:b/>
                <w:b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 Narrow" w:hAnsi="Arial Narrow" w:cs="Arial"/>
                <w:b/>
                <w:b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Dlhodobý nehmotný maj</w:t>
            </w:r>
            <w:r>
              <w:rPr>
                <w:rFonts w:cs="Arial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Dlhodobý nehmotný maj</w:t>
            </w:r>
            <w:r>
              <w:rPr>
                <w:rFonts w:cs="Arial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cs="Arial" w:ascii="Arial Narrow" w:hAnsi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Dlhodobý hmotný ma</w:t>
            </w:r>
            <w:r>
              <w:rPr>
                <w:rFonts w:cs="Arial" w:ascii="Arial Narrow" w:hAnsi="Arial Narrow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cs="Arial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Dlhodobý nehmotný maj</w:t>
            </w:r>
            <w:r>
              <w:rPr>
                <w:rFonts w:cs="Arial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cs="Arial" w:ascii="Arial Narrow" w:hAnsi="Arial Narrow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Zásoby obst</w:t>
            </w:r>
            <w:r>
              <w:rPr>
                <w:rFonts w:cs="Arial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r</w:t>
            </w:r>
            <w:r>
              <w:rPr>
                <w:rFonts w:cs="Arial" w:ascii="Arial Narrow" w:hAnsi="Arial Narrow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cs="Arial" w:ascii="Arial Narrow" w:hAnsi="Arial Narrow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kúpo</w:t>
            </w:r>
            <w:r>
              <w:rPr>
                <w:rFonts w:cs="Arial" w:ascii="Arial Narrow" w:hAnsi="Arial Narrow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cs="Arial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 xml:space="preserve">soby </w:t>
            </w:r>
            <w:r>
              <w:rPr>
                <w:rFonts w:cs="Arial" w:ascii="Arial Narrow" w:hAnsi="Arial Narrow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cs="Arial" w:ascii="Arial Narrow" w:hAnsi="Arial Narrow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tvor</w:t>
            </w:r>
            <w:r>
              <w:rPr>
                <w:rFonts w:cs="Arial" w:ascii="Arial Narrow" w:hAnsi="Arial Narrow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cs="Arial" w:ascii="Arial Narrow" w:hAnsi="Arial Narrow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cs="Arial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cs="Arial" w:ascii="Arial Narrow" w:hAnsi="Arial Narrow"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cs="Arial" w:ascii="Arial Narrow" w:hAnsi="Arial Narrow"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Fonts w:ascii="Arial Narrow" w:hAnsi="Arial Narrow" w:cs="Arial"/>
                <w:sz w:val="22"/>
                <w:szCs w:val="22"/>
                <w:lang w:val="en-AU" w:eastAsia="en-US"/>
              </w:rPr>
            </w:pPr>
            <w:r>
              <w:rPr>
                <w:rFonts w:cs="Arial" w:ascii="Arial Narrow" w:hAnsi="Arial Narrow"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cs="Arial" w:ascii="Arial Narrow" w:hAnsi="Arial Narrow"/>
                <w:sz w:val="22"/>
                <w:szCs w:val="22"/>
                <w:lang w:val="en-AU"/>
              </w:rPr>
              <w:t>D</w:t>
            </w:r>
            <w:r>
              <w:rPr>
                <w:rFonts w:cs="Arial" w:ascii="Arial Narrow" w:hAnsi="Arial Narrow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cs="Arial" w:ascii="Arial Narrow" w:hAnsi="Arial Narrow"/>
                <w:sz w:val="22"/>
                <w:szCs w:val="22"/>
                <w:lang w:val="en-AU"/>
              </w:rPr>
              <w:t>riv</w:t>
            </w:r>
            <w:r>
              <w:rPr>
                <w:rFonts w:cs="Arial" w:ascii="Arial Narrow" w:hAnsi="Arial Narrow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cs="Arial" w:ascii="Arial Narrow" w:hAnsi="Arial Narrow"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Fonts w:ascii="Arial Narrow" w:hAnsi="Arial Narrow" w:cs="Arial"/>
                <w:sz w:val="22"/>
                <w:szCs w:val="22"/>
                <w:lang w:val="en-AU" w:eastAsia="en-US"/>
              </w:rPr>
            </w:pPr>
            <w:r>
              <w:rPr>
                <w:rFonts w:cs="Arial" w:ascii="Arial Narrow" w:hAnsi="Arial Narrow"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Fonts w:ascii="Arial Narrow" w:hAnsi="Arial Narrow" w:cs="Arial"/>
                <w:sz w:val="22"/>
                <w:szCs w:val="22"/>
                <w:lang w:val="en-AU" w:eastAsia="en-US"/>
              </w:rPr>
            </w:pPr>
            <w:r>
              <w:rPr>
                <w:rFonts w:cs="Arial" w:ascii="Arial Narrow" w:hAnsi="Arial Narrow"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Fonts w:ascii="Arial Narrow" w:hAnsi="Arial Narrow" w:cs="Arial"/>
                <w:sz w:val="22"/>
                <w:szCs w:val="22"/>
                <w:lang w:val="en-AU" w:eastAsia="en-US"/>
              </w:rPr>
            </w:pPr>
            <w:r>
              <w:rPr>
                <w:rFonts w:cs="Arial" w:ascii="Arial Narrow" w:hAnsi="Arial Narrow"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cs="Arial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- nebolo účtované o znížení hodnoty majetku.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Normal"/>
        <w:rPr/>
      </w:pPr>
      <w:r>
        <w:rPr/>
      </w:r>
    </w:p>
    <w:p>
      <w:pPr>
        <w:pStyle w:val="Nadpis2"/>
        <w:tabs>
          <w:tab w:val="left" w:pos="1005" w:leader="none"/>
        </w:tabs>
        <w:jc w:val="both"/>
        <w:rPr>
          <w:rFonts w:ascii="Arial Narrow" w:hAnsi="Arial Narrow" w:cs="Arial Narrow"/>
          <w:b w:val="false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07" w:type="dxa"/>
        <w:jc w:val="left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4218"/>
        <w:gridCol w:w="1013"/>
        <w:gridCol w:w="2108"/>
        <w:gridCol w:w="2267"/>
      </w:tblGrid>
      <w:tr>
        <w:trPr/>
        <w:tc>
          <w:tcPr>
            <w:tcW w:w="4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rFonts w:ascii="Arial Narrow" w:hAnsi="Arial Narrow" w:cs="Arial"/>
                <w:b/>
                <w:b/>
                <w:sz w:val="22"/>
                <w:szCs w:val="22"/>
              </w:rPr>
            </w:pPr>
            <w:r>
              <w:rPr>
                <w:rFonts w:cs="Arial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jc w:val="center"/>
              <w:rPr>
                <w:rFonts w:ascii="Arial Narrow" w:hAnsi="Arial Narrow" w:cs="Arial"/>
                <w:b/>
                <w:b/>
                <w:sz w:val="22"/>
                <w:szCs w:val="22"/>
              </w:rPr>
            </w:pPr>
            <w:r>
              <w:rPr>
                <w:rFonts w:cs="Arial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rFonts w:ascii="Arial Narrow" w:hAnsi="Arial Narrow" w:cs="Arial"/>
                <w:b/>
                <w:b/>
                <w:sz w:val="22"/>
                <w:szCs w:val="22"/>
              </w:rPr>
            </w:pPr>
            <w:r>
              <w:rPr>
                <w:rFonts w:cs="Arial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jc w:val="center"/>
              <w:rPr>
                <w:rFonts w:ascii="Arial Narrow" w:hAnsi="Arial Narrow" w:cs="Arial"/>
                <w:b/>
                <w:b/>
                <w:sz w:val="22"/>
                <w:szCs w:val="22"/>
              </w:rPr>
            </w:pPr>
            <w:r>
              <w:rPr>
                <w:rFonts w:cs="Arial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rFonts w:ascii="Arial Narrow" w:hAnsi="Arial Narrow" w:cs="Arial"/>
                <w:b/>
                <w:b/>
                <w:sz w:val="22"/>
                <w:szCs w:val="22"/>
              </w:rPr>
            </w:pPr>
            <w:r>
              <w:rPr>
                <w:rFonts w:cs="Arial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jc w:val="center"/>
              <w:rPr>
                <w:rFonts w:ascii="Arial Narrow" w:hAnsi="Arial Narrow" w:cs="Arial"/>
                <w:b/>
                <w:b/>
                <w:sz w:val="22"/>
                <w:szCs w:val="22"/>
              </w:rPr>
            </w:pPr>
            <w:r>
              <w:rPr>
                <w:rFonts w:cs="Arial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rFonts w:ascii="Arial Narrow" w:hAnsi="Arial Narrow" w:cs="Arial"/>
                <w:b/>
                <w:b/>
                <w:sz w:val="22"/>
                <w:szCs w:val="22"/>
              </w:rPr>
            </w:pPr>
            <w:r>
              <w:rPr>
                <w:rFonts w:cs="Arial" w:ascii="Arial Narrow" w:hAnsi="Arial Narrow"/>
                <w:b/>
                <w:sz w:val="22"/>
                <w:szCs w:val="22"/>
              </w:rPr>
              <w:t xml:space="preserve">odpisová sadzba </w:t>
            </w:r>
          </w:p>
          <w:p>
            <w:pPr>
              <w:pStyle w:val="Normal"/>
              <w:jc w:val="center"/>
              <w:rPr>
                <w:rFonts w:ascii="Arial Narrow" w:hAnsi="Arial Narrow" w:cs="Arial"/>
                <w:b/>
                <w:b/>
                <w:sz w:val="22"/>
                <w:szCs w:val="22"/>
              </w:rPr>
            </w:pPr>
            <w:r>
              <w:rPr>
                <w:rFonts w:cs="Arial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rFonts w:cs="Arial" w:ascii="Arial Narrow" w:hAnsi="Arial Narrow"/>
                <w:sz w:val="22"/>
                <w:szCs w:val="22"/>
              </w:rPr>
              <w:t>Software</w:t>
            </w: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>
                <w:rFonts w:cs="Arial" w:ascii="Arial Narrow" w:hAnsi="Arial Narrow"/>
                <w:sz w:val="22"/>
                <w:szCs w:val="22"/>
              </w:rPr>
              <w:t>013</w:t>
            </w:r>
          </w:p>
        </w:tc>
        <w:tc>
          <w:tcPr>
            <w:tcW w:w="2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>
                <w:rFonts w:cs="Arial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>
                <w:rFonts w:cs="Arial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rFonts w:cs="Arial" w:ascii="Arial Narrow" w:hAnsi="Arial Narrow"/>
                <w:sz w:val="22"/>
                <w:szCs w:val="22"/>
              </w:rPr>
              <w:t>Drobný hmotný majetok , PC, pokladnice</w:t>
            </w: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>
                <w:rFonts w:cs="Arial" w:ascii="Arial Narrow" w:hAnsi="Arial Narrow"/>
                <w:sz w:val="22"/>
                <w:szCs w:val="22"/>
              </w:rPr>
              <w:t xml:space="preserve"> </w:t>
            </w:r>
            <w:r>
              <w:rPr>
                <w:rFonts w:cs="Arial" w:ascii="Arial Narrow" w:hAnsi="Arial Narrow"/>
                <w:sz w:val="22"/>
                <w:szCs w:val="22"/>
              </w:rPr>
              <w:t xml:space="preserve">022   </w:t>
            </w:r>
          </w:p>
        </w:tc>
        <w:tc>
          <w:tcPr>
            <w:tcW w:w="43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>
                <w:rFonts w:cs="Arial" w:ascii="Arial Narrow" w:hAnsi="Arial Narrow"/>
                <w:sz w:val="22"/>
                <w:szCs w:val="22"/>
              </w:rPr>
              <w:t xml:space="preserve">4                                         25  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rFonts w:cs="Arial" w:ascii="Arial Narrow" w:hAnsi="Arial Narrow"/>
                <w:sz w:val="22"/>
                <w:szCs w:val="22"/>
              </w:rPr>
              <w:t>Chladničky, el.stoje a zariadenia, inventár</w:t>
            </w: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>
                <w:rFonts w:cs="Arial" w:ascii="Arial Narrow" w:hAnsi="Arial Narrow"/>
                <w:sz w:val="22"/>
                <w:szCs w:val="22"/>
              </w:rPr>
              <w:t>022</w:t>
            </w:r>
          </w:p>
        </w:tc>
        <w:tc>
          <w:tcPr>
            <w:tcW w:w="2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>
                <w:rFonts w:cs="Arial"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>
                <w:rFonts w:cs="Arial" w:ascii="Arial Narrow" w:hAnsi="Arial Narrow"/>
                <w:sz w:val="22"/>
                <w:szCs w:val="22"/>
              </w:rPr>
              <w:t>16,7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rFonts w:cs="Arial" w:ascii="Arial Narrow" w:hAnsi="Arial Narrow"/>
                <w:sz w:val="22"/>
                <w:szCs w:val="22"/>
              </w:rPr>
              <w:t xml:space="preserve">Budova  </w:t>
            </w: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>
                <w:rFonts w:cs="Arial" w:ascii="Arial Narrow" w:hAnsi="Arial Narrow"/>
                <w:sz w:val="22"/>
                <w:szCs w:val="22"/>
              </w:rPr>
              <w:t>021</w:t>
            </w:r>
          </w:p>
        </w:tc>
        <w:tc>
          <w:tcPr>
            <w:tcW w:w="2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>
                <w:rFonts w:cs="Arial" w:ascii="Arial Narrow" w:hAnsi="Arial Narrow"/>
                <w:sz w:val="22"/>
                <w:szCs w:val="22"/>
              </w:rPr>
              <w:t>40</w:t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/>
            </w:pPr>
            <w:r>
              <w:rPr>
                <w:rFonts w:cs="Arial" w:ascii="Arial Narrow" w:hAnsi="Arial Narrow"/>
                <w:sz w:val="22"/>
                <w:szCs w:val="22"/>
              </w:rPr>
              <w:t>2,5</w:t>
            </w:r>
          </w:p>
        </w:tc>
      </w:tr>
    </w:tbl>
    <w:p>
      <w:pPr>
        <w:pStyle w:val="Normal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sz w:val="22"/>
          <w:szCs w:val="22"/>
        </w:rPr>
        <w:t xml:space="preserve">Odpisy dlhodobého nehmotného majetku sú stanovené vychádzajúc z predpokladanej doby jeho používania a predpokladaného priebehu jeho opotrebenia. Odpisovať sa začína prvým dňom zo zaradení do používania. Drobný dlhodobý nehmotný majetok, ktorého obstarávacia cena je 2.400,- € a menej, sa odpisuje jednorázovo.                         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Odpisy dlhodobého hmotného majetku sú stanovené vychádzajúc z predpokladanej doby jeho používania a predpok-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ladaného priebehu jeho opotrebenia. Odpisovať sa začína prvým dňom mesiaca, keď bol zaradený do používania. 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Drobný dlhodobý hmotný majetok, ktorého obstarávacia cena je 1.700,- €  a nižšia, sa odpisuje jednorázovo pri uve-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dení do používania. 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Pozemky sa neodpisujú.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Firma používa rovnomerné odpisovanie. 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adpis2"/>
        <w:jc w:val="both"/>
        <w:rPr>
          <w:rFonts w:ascii="Arial Narrow" w:hAnsi="Arial Narrow" w:cs="Arial Narrow"/>
          <w:b w:val="false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</w:t>
      </w:r>
    </w:p>
    <w:p>
      <w:pPr>
        <w:pStyle w:val="Normal"/>
        <w:rPr>
          <w:rFonts w:ascii="Arial Narrow" w:hAnsi="Arial Narrow"/>
        </w:rPr>
      </w:pPr>
      <w:r>
        <w:rPr>
          <w:rFonts w:ascii="Arial Narrow" w:hAnsi="Arial Narrow"/>
        </w:rPr>
      </w:r>
    </w:p>
    <w:tbl>
      <w:tblPr>
        <w:tblW w:w="9100" w:type="dxa"/>
        <w:jc w:val="left"/>
        <w:tblInd w:w="5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4978"/>
        <w:gridCol w:w="2060"/>
        <w:gridCol w:w="2062"/>
      </w:tblGrid>
      <w:tr>
        <w:trPr>
          <w:trHeight w:val="300" w:hRule="atLeast"/>
        </w:trPr>
        <w:tc>
          <w:tcPr>
            <w:tcW w:w="4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  <w:vAlign w:val="bottom"/>
          </w:tcPr>
          <w:p>
            <w:pPr>
              <w:pStyle w:val="Normal"/>
              <w:rPr>
                <w:rFonts w:ascii="Arial Narrow" w:hAnsi="Arial Narrow"/>
                <w:b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>Majetok</w:t>
            </w:r>
          </w:p>
        </w:tc>
        <w:tc>
          <w:tcPr>
            <w:tcW w:w="2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rPr>
                <w:rFonts w:ascii="Arial Narrow" w:hAnsi="Arial Narrow"/>
                <w:b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>Ocenenie</w:t>
            </w:r>
          </w:p>
        </w:tc>
        <w:tc>
          <w:tcPr>
            <w:tcW w:w="2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rPr>
                <w:rFonts w:ascii="Arial Narrow" w:hAnsi="Arial Narrow"/>
                <w:b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>Výška dotácie</w:t>
            </w:r>
          </w:p>
        </w:tc>
      </w:tr>
      <w:tr>
        <w:trPr>
          <w:trHeight w:val="300" w:hRule="atLeast"/>
        </w:trPr>
        <w:tc>
          <w:tcPr>
            <w:tcW w:w="4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  <w:vAlign w:val="bottom"/>
          </w:tcPr>
          <w:p>
            <w:pPr>
              <w:pStyle w:val="Normal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žiadne</w:t>
            </w:r>
          </w:p>
        </w:tc>
        <w:tc>
          <w:tcPr>
            <w:tcW w:w="2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4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  <w:vAlign w:val="bottom"/>
          </w:tcPr>
          <w:p>
            <w:pPr>
              <w:pStyle w:val="Normal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4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0" w:type="dxa"/>
            </w:tcMar>
            <w:vAlign w:val="bottom"/>
          </w:tcPr>
          <w:p>
            <w:pPr>
              <w:pStyle w:val="Normal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</w:r>
          </w:p>
        </w:tc>
        <w:tc>
          <w:tcPr>
            <w:tcW w:w="2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</w:r>
          </w:p>
        </w:tc>
      </w:tr>
    </w:tbl>
    <w:p>
      <w:pPr>
        <w:pStyle w:val="Normal"/>
        <w:rPr>
          <w:rFonts w:ascii="Arial Narrow" w:hAnsi="Arial Narrow"/>
        </w:rPr>
      </w:pPr>
      <w:r>
        <w:rPr>
          <w:rFonts w:ascii="Arial Narrow" w:hAnsi="Arial Narrow"/>
        </w:rPr>
      </w:r>
    </w:p>
    <w:p>
      <w:pPr>
        <w:pStyle w:val="Normal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</w:r>
    </w:p>
    <w:p>
      <w:pPr>
        <w:pStyle w:val="Nadpis2"/>
        <w:jc w:val="both"/>
        <w:rPr>
          <w:rFonts w:ascii="Arial Narrow" w:hAnsi="Arial Narrow" w:cs="Arial Narrow"/>
          <w:b w:val="false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>
      <w:pPr>
        <w:pStyle w:val="Normal"/>
        <w:rPr/>
      </w:pPr>
      <w:r>
        <w:rPr/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- nebolo účtované o významných chybách minulých účtovných období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numPr>
          <w:ilvl w:val="0"/>
          <w:numId w:val="5"/>
        </w:numPr>
        <w:jc w:val="both"/>
        <w:rPr>
          <w:rFonts w:ascii="Arial Narrow" w:hAnsi="Arial Narrow" w:cs="Arial Narrow"/>
          <w:sz w:val="20"/>
          <w:szCs w:val="20"/>
        </w:rPr>
      </w:pPr>
      <w:r>
        <w:rPr>
          <w:rFonts w:cs="Arial Narrow" w:ascii="Arial Narrow" w:hAnsi="Arial Narrow"/>
          <w:sz w:val="20"/>
          <w:szCs w:val="20"/>
        </w:rPr>
        <w:t xml:space="preserve">Dlhodobý nehmotný majetok, ktorým je </w:t>
      </w:r>
      <w:r>
        <w:rPr>
          <w:rFonts w:cs="Arial Narrow" w:ascii="Arial Narrow" w:hAnsi="Arial Narrow"/>
          <w:sz w:val="20"/>
          <w:szCs w:val="20"/>
          <w:u w:val="single"/>
        </w:rPr>
        <w:t>goodwill alebo záporný goodwill</w:t>
      </w:r>
      <w:r>
        <w:rPr>
          <w:rFonts w:cs="Arial Narrow" w:ascii="Arial Narrow" w:hAnsi="Arial Narrow"/>
          <w:b/>
          <w:sz w:val="20"/>
          <w:szCs w:val="20"/>
        </w:rPr>
        <w:t xml:space="preserve"> - </w:t>
      </w:r>
      <w:r>
        <w:rPr>
          <w:rFonts w:cs="Arial Narrow" w:ascii="Arial Narrow" w:hAnsi="Arial Narrow"/>
          <w:sz w:val="20"/>
          <w:szCs w:val="20"/>
        </w:rPr>
        <w:t>dôvod jeho vzniku, spôsob výpočtu a prehodnotenie opodstatnenosti jeho výšky a odpisu jeho hodnoty:</w:t>
      </w:r>
    </w:p>
    <w:p>
      <w:pPr>
        <w:pStyle w:val="Normal"/>
        <w:ind w:left="360" w:hanging="0"/>
        <w:jc w:val="both"/>
        <w:rPr>
          <w:rFonts w:ascii="Arial Narrow" w:hAnsi="Arial Narrow" w:cs="Arial Narrow"/>
          <w:sz w:val="20"/>
          <w:szCs w:val="20"/>
        </w:rPr>
      </w:pPr>
      <w:r>
        <w:rPr>
          <w:rFonts w:cs="Arial Narrow" w:ascii="Arial Narrow" w:hAnsi="Arial Narrow"/>
          <w:sz w:val="20"/>
          <w:szCs w:val="20"/>
        </w:rPr>
      </w:r>
    </w:p>
    <w:p>
      <w:pPr>
        <w:pStyle w:val="Normal"/>
        <w:numPr>
          <w:ilvl w:val="0"/>
          <w:numId w:val="2"/>
        </w:numPr>
        <w:jc w:val="both"/>
        <w:rPr>
          <w:rFonts w:ascii="Arial Narrow" w:hAnsi="Arial Narrow" w:cs="Arial Narrow"/>
          <w:sz w:val="20"/>
          <w:szCs w:val="20"/>
        </w:rPr>
      </w:pPr>
      <w:r>
        <w:rPr>
          <w:rFonts w:cs="Arial Narrow" w:ascii="Arial Narrow" w:hAnsi="Arial Narrow"/>
          <w:sz w:val="20"/>
          <w:szCs w:val="20"/>
        </w:rPr>
        <w:t>nie je náplň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- firma neúčtuje o derivátoch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Pritom sa uvádza forma tohto zabezpečenia a uvádza sa zmena reálnej hodnoty v priebehu účtovného obdobia (§ 27 ZoU). Pre každý druh derivátov sa uvádza informácia o rozsahu a povahe týchto derivátov vrátane významných podmienok, ktoré môžu ovplyvniť sumu, načasovanie a mieru istoty budúcich peňažných tokov a </w:t>
      </w:r>
      <w:r>
        <w:rPr>
          <w:rFonts w:cs="Arial Narrow" w:ascii="Arial Narrow" w:hAnsi="Arial Narrow"/>
          <w:sz w:val="22"/>
          <w:szCs w:val="22"/>
          <w:u w:val="single"/>
        </w:rPr>
        <w:t>v tabuľkovej forme</w:t>
      </w:r>
      <w:r>
        <w:rPr>
          <w:rFonts w:cs="Arial Narrow" w:ascii="Arial Narrow" w:hAnsi="Arial Narrow"/>
          <w:sz w:val="22"/>
          <w:szCs w:val="22"/>
        </w:rPr>
        <w:t xml:space="preserve"> informácia zobrazujúca pohyby v oceňovacích rozdieloch </w:t>
      </w:r>
      <w:r>
        <w:rPr>
          <w:rFonts w:cs="Arial Narrow" w:ascii="Arial Narrow" w:hAnsi="Arial Narrow"/>
          <w:sz w:val="22"/>
          <w:szCs w:val="22"/>
          <w:u w:val="single"/>
        </w:rPr>
        <w:t>z ocenenia reálnou hodnotou</w:t>
      </w:r>
      <w:r>
        <w:rPr>
          <w:rFonts w:cs="Arial Narrow" w:ascii="Arial Narrow" w:hAnsi="Arial Narrow"/>
          <w:sz w:val="22"/>
          <w:szCs w:val="22"/>
        </w:rPr>
        <w:t xml:space="preserve"> počas účtovného obdobia.</w:t>
      </w:r>
    </w:p>
    <w:tbl>
      <w:tblPr>
        <w:tblW w:w="4900" w:type="pct"/>
        <w:jc w:val="left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541"/>
        <w:gridCol w:w="1100"/>
        <w:gridCol w:w="1100"/>
        <w:gridCol w:w="1787"/>
        <w:gridCol w:w="1779"/>
      </w:tblGrid>
      <w:tr>
        <w:trPr>
          <w:trHeight w:val="153" w:hRule="atLeast"/>
        </w:trPr>
        <w:tc>
          <w:tcPr>
            <w:tcW w:w="3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before="0" w:after="120"/>
              <w:ind w:right="-471" w:hanging="0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Názov položky derivátov</w:t>
            </w:r>
          </w:p>
        </w:tc>
        <w:tc>
          <w:tcPr>
            <w:tcW w:w="1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before="0" w:after="120"/>
              <w:ind w:right="-471" w:hanging="0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before="0" w:after="120"/>
              <w:ind w:right="-471" w:hanging="0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before="0" w:after="120"/>
              <w:ind w:right="-471" w:hanging="0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before="0" w:after="120"/>
              <w:ind w:right="-471" w:hanging="0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imanie</w:t>
            </w:r>
          </w:p>
        </w:tc>
      </w:tr>
      <w:tr>
        <w:trPr>
          <w:trHeight w:val="62" w:hRule="atLeast"/>
        </w:trPr>
        <w:tc>
          <w:tcPr>
            <w:tcW w:w="3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before="0" w:after="120"/>
              <w:ind w:right="-471" w:hanging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žiadne</w:t>
            </w:r>
          </w:p>
        </w:tc>
        <w:tc>
          <w:tcPr>
            <w:tcW w:w="1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09" w:hRule="atLeast"/>
        </w:trPr>
        <w:tc>
          <w:tcPr>
            <w:tcW w:w="3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before="0" w:after="120"/>
              <w:ind w:right="-471" w:hanging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1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spacing w:before="0" w:after="120"/>
        <w:ind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p>
      <w:pPr>
        <w:pStyle w:val="Normal"/>
        <w:spacing w:before="0" w:after="120"/>
        <w:ind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5000" w:type="pct"/>
        <w:jc w:val="left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420"/>
        <w:gridCol w:w="256"/>
        <w:gridCol w:w="2359"/>
        <w:gridCol w:w="2462"/>
      </w:tblGrid>
      <w:tr>
        <w:trPr>
          <w:trHeight w:val="693" w:hRule="atLeast"/>
        </w:trPr>
        <w:tc>
          <w:tcPr>
            <w:tcW w:w="46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6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>
                <w:rFonts w:ascii="Arial Narrow" w:hAnsi="Arial Narrow"/>
                <w:b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</w:r>
          </w:p>
        </w:tc>
        <w:tc>
          <w:tcPr>
            <w:tcW w:w="2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>
                <w:rFonts w:ascii="Arial Narrow" w:hAnsi="Arial Narrow"/>
                <w:b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</w:r>
          </w:p>
        </w:tc>
      </w:tr>
      <w:tr>
        <w:trPr>
          <w:trHeight w:val="207" w:hRule="atLeast"/>
        </w:trPr>
        <w:tc>
          <w:tcPr>
            <w:tcW w:w="46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 xml:space="preserve">Dlhodobé záväzky </w:t>
            </w:r>
          </w:p>
        </w:tc>
        <w:tc>
          <w:tcPr>
            <w:tcW w:w="2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jc w:val="right"/>
              <w:rPr/>
            </w:pPr>
            <w:r>
              <w:rPr>
                <w:rFonts w:ascii="Arial Narrow" w:hAnsi="Arial Narrow"/>
                <w:bCs/>
                <w:sz w:val="22"/>
                <w:szCs w:val="22"/>
              </w:rPr>
              <w:t>0</w:t>
            </w:r>
          </w:p>
        </w:tc>
        <w:tc>
          <w:tcPr>
            <w:tcW w:w="2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jc w:val="right"/>
              <w:rPr/>
            </w:pPr>
            <w:r>
              <w:rPr>
                <w:rFonts w:ascii="Arial Narrow" w:hAnsi="Arial Narrow"/>
                <w:bCs/>
                <w:sz w:val="22"/>
                <w:szCs w:val="22"/>
              </w:rPr>
              <w:t>0</w:t>
            </w:r>
          </w:p>
        </w:tc>
      </w:tr>
      <w:tr>
        <w:trPr/>
        <w:tc>
          <w:tcPr>
            <w:tcW w:w="4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before="120" w:after="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61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before="120" w:after="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Bežné účtovné obdobie</w:t>
            </w:r>
          </w:p>
        </w:tc>
        <w:tc>
          <w:tcPr>
            <w:tcW w:w="2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before="120" w:after="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Bezprostredne predchádz. Účt. obdobie</w:t>
            </w:r>
          </w:p>
        </w:tc>
      </w:tr>
      <w:tr>
        <w:trPr/>
        <w:tc>
          <w:tcPr>
            <w:tcW w:w="4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before="120" w:after="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Krátkodobé záväzky spolu</w:t>
            </w:r>
          </w:p>
        </w:tc>
        <w:tc>
          <w:tcPr>
            <w:tcW w:w="261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before="120" w:after="0"/>
              <w:ind w:right="-471" w:hanging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386052</w:t>
            </w:r>
          </w:p>
        </w:tc>
        <w:tc>
          <w:tcPr>
            <w:tcW w:w="2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before="120" w:after="0"/>
              <w:ind w:right="-471" w:hanging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71125</w:t>
            </w:r>
          </w:p>
        </w:tc>
      </w:tr>
      <w:tr>
        <w:trPr/>
        <w:tc>
          <w:tcPr>
            <w:tcW w:w="4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before="120" w:after="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so zost. dobou spl. do jedného roka vrátane</w:t>
            </w:r>
          </w:p>
        </w:tc>
        <w:tc>
          <w:tcPr>
            <w:tcW w:w="261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before="120" w:after="0"/>
              <w:ind w:right="-471" w:hanging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before="120" w:after="0"/>
              <w:ind w:right="-471" w:hanging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</w:tr>
      <w:tr>
        <w:trPr/>
        <w:tc>
          <w:tcPr>
            <w:tcW w:w="4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before="120" w:after="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261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before="120" w:after="0"/>
              <w:ind w:right="-471" w:hanging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650</w:t>
            </w:r>
          </w:p>
        </w:tc>
        <w:tc>
          <w:tcPr>
            <w:tcW w:w="2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before="120" w:after="0"/>
              <w:ind w:right="-471" w:hanging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</w:tr>
    </w:tbl>
    <w:p>
      <w:pPr>
        <w:pStyle w:val="Normal"/>
        <w:spacing w:before="120" w:after="0"/>
        <w:ind w:right="-47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5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30"/>
        <w:gridCol w:w="2789"/>
        <w:gridCol w:w="2378"/>
      </w:tblGrid>
      <w:tr>
        <w:trPr/>
        <w:tc>
          <w:tcPr>
            <w:tcW w:w="43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Zabezpečené záväzky</w:t>
            </w:r>
          </w:p>
        </w:tc>
        <w:tc>
          <w:tcPr>
            <w:tcW w:w="51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3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TopHeader"/>
              <w:jc w:val="both"/>
              <w:rPr/>
            </w:pPr>
            <w:r>
              <w:rPr/>
            </w:r>
          </w:p>
        </w:tc>
        <w:tc>
          <w:tcPr>
            <w:tcW w:w="2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Spôsob </w:t>
            </w:r>
          </w:p>
          <w:p>
            <w:pPr>
              <w:pStyle w:val="TopHeader"/>
              <w:rPr/>
            </w:pPr>
            <w:r>
              <w:rPr/>
              <w:t>Zabezpečenia</w:t>
            </w:r>
          </w:p>
        </w:tc>
        <w:tc>
          <w:tcPr>
            <w:tcW w:w="2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záložné právo</w:t>
            </w:r>
          </w:p>
        </w:tc>
        <w:tc>
          <w:tcPr>
            <w:tcW w:w="2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3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17" w:hRule="atLeast"/>
        </w:trPr>
        <w:tc>
          <w:tcPr>
            <w:tcW w:w="4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3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17" w:hRule="atLeast"/>
        </w:trPr>
        <w:tc>
          <w:tcPr>
            <w:tcW w:w="4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3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numPr>
          <w:ilvl w:val="0"/>
          <w:numId w:val="2"/>
        </w:numPr>
        <w:ind w:left="720" w:right="-468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nemáme záložné právo k záväzkom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a) dôvod nadobudnutia vlastných akcií počas účtovného obdobia: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>
      <w:pPr>
        <w:pStyle w:val="Normal"/>
        <w:spacing w:before="0" w:after="120"/>
        <w:ind w:right="-47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>
      <w:pPr>
        <w:pStyle w:val="Normal"/>
        <w:spacing w:before="0" w:after="120"/>
        <w:ind w:right="-471" w:hanging="0"/>
        <w:jc w:val="both"/>
        <w:rPr>
          <w:rFonts w:ascii="Arial Narrow" w:hAnsi="Arial Narrow" w:cs="Arial Narrow"/>
          <w:b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>
      <w:pPr>
        <w:pStyle w:val="Normal"/>
        <w:spacing w:before="0" w:after="120"/>
        <w:ind w:right="-471" w:hanging="0"/>
        <w:jc w:val="both"/>
        <w:rPr>
          <w:rFonts w:ascii="Arial Narrow" w:hAnsi="Arial Narrow" w:cs="Arial Narrow"/>
          <w:b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numPr>
          <w:ilvl w:val="0"/>
          <w:numId w:val="2"/>
        </w:numPr>
        <w:spacing w:before="0" w:after="120"/>
        <w:ind w:left="720" w:right="-471" w:hanging="360"/>
        <w:jc w:val="both"/>
        <w:rPr>
          <w:rFonts w:ascii="Arial Narrow" w:hAnsi="Arial Narrow" w:cs="Arial Narrow"/>
          <w:b/>
          <w:b/>
          <w:sz w:val="22"/>
          <w:szCs w:val="22"/>
          <w:u w:val="single"/>
        </w:rPr>
      </w:pPr>
      <w:r>
        <w:rPr>
          <w:rFonts w:cs="Arial Narrow" w:ascii="Arial Narrow" w:hAnsi="Arial Narrow"/>
          <w:sz w:val="22"/>
          <w:szCs w:val="22"/>
        </w:rPr>
        <w:t>neúčtovali sme o takýchto nákladoch, alebo výnosoch</w:t>
      </w:r>
    </w:p>
    <w:p>
      <w:pPr>
        <w:pStyle w:val="Normal"/>
        <w:spacing w:before="0" w:after="120"/>
        <w:ind w:left="720" w:right="-471" w:hanging="0"/>
        <w:jc w:val="both"/>
        <w:rPr>
          <w:rFonts w:ascii="Arial Narrow" w:hAnsi="Arial Narrow" w:cs="Arial Narrow"/>
          <w:b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right="-471" w:hanging="0"/>
        <w:jc w:val="center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>
      <w:pPr>
        <w:pStyle w:val="Normal"/>
        <w:numPr>
          <w:ilvl w:val="0"/>
          <w:numId w:val="3"/>
        </w:numPr>
        <w:spacing w:before="0"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3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- nemáme takého povinnosti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- nemáme takéto povinnosti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00" w:type="pct"/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114"/>
        <w:gridCol w:w="1648"/>
        <w:gridCol w:w="1545"/>
      </w:tblGrid>
      <w:tr>
        <w:trPr>
          <w:trHeight w:val="780" w:hRule="atLeast"/>
        </w:trPr>
        <w:tc>
          <w:tcPr>
            <w:tcW w:w="61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 podsúvahovej položky</w:t>
            </w: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1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rPr/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rPr/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>
        <w:trPr>
          <w:trHeight w:val="144" w:hRule="atLeast"/>
        </w:trPr>
        <w:tc>
          <w:tcPr>
            <w:tcW w:w="61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rPr/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rPr/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>
        <w:trPr>
          <w:trHeight w:val="161" w:hRule="atLeast"/>
        </w:trPr>
        <w:tc>
          <w:tcPr>
            <w:tcW w:w="61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Pohľadávky z opcií</w:t>
            </w: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rPr/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rPr/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>
        <w:trPr>
          <w:trHeight w:val="161" w:hRule="atLeast"/>
        </w:trPr>
        <w:tc>
          <w:tcPr>
            <w:tcW w:w="61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Záväzky z opcií</w:t>
            </w: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>
        <w:trPr>
          <w:trHeight w:val="161" w:hRule="atLeast"/>
        </w:trPr>
        <w:tc>
          <w:tcPr>
            <w:tcW w:w="61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>
        <w:trPr>
          <w:trHeight w:val="161" w:hRule="atLeast"/>
        </w:trPr>
        <w:tc>
          <w:tcPr>
            <w:tcW w:w="61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>
      <w:pPr>
        <w:pStyle w:val="Normal"/>
        <w:ind w:right="-468" w:hanging="0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numPr>
          <w:ilvl w:val="0"/>
          <w:numId w:val="2"/>
        </w:numPr>
        <w:ind w:left="720" w:right="-468" w:hanging="360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Neúčtujeme na podsúvahových účtoch. </w:t>
      </w:r>
    </w:p>
    <w:p>
      <w:pPr>
        <w:pStyle w:val="Normal"/>
        <w:ind w:right="-468" w:hanging="0"/>
        <w:jc w:val="center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 w:hanging="0"/>
        <w:jc w:val="center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right="-468" w:hanging="0"/>
        <w:jc w:val="center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right="-468" w:hanging="0"/>
        <w:jc w:val="center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strát, napríklad: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a) </w:t>
      </w:r>
      <w:r>
        <w:rPr>
          <w:rFonts w:cs="Arial Narrow" w:ascii="Arial Narrow" w:hAnsi="Arial Narrow"/>
          <w:sz w:val="22"/>
          <w:szCs w:val="22"/>
          <w:u w:val="single"/>
        </w:rPr>
        <w:t>Pokles alebo zvýšenie trhovej ceny finančného majetku</w:t>
      </w:r>
      <w:r>
        <w:rPr>
          <w:rFonts w:cs="Arial Narrow" w:ascii="Arial Narrow" w:hAnsi="Arial Narrow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b) </w:t>
      </w:r>
      <w:r>
        <w:rPr>
          <w:rFonts w:cs="Arial Narrow" w:ascii="Arial Narrow" w:hAnsi="Arial Narrow"/>
          <w:sz w:val="22"/>
          <w:szCs w:val="22"/>
          <w:u w:val="single"/>
        </w:rPr>
        <w:t>Dôvody pre zmenu výšky rezerv a opravných položiek</w:t>
      </w:r>
      <w:r>
        <w:rPr>
          <w:rFonts w:cs="Arial Narrow" w:ascii="Arial Narrow" w:hAnsi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- nenastali takého skutočnosti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Zmena spoločníkov účtovnej jednotky: </w:t>
      </w:r>
    </w:p>
    <w:p>
      <w:pPr>
        <w:pStyle w:val="Normal"/>
        <w:ind w:left="360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- v účtovnom období nenastali takého zmeny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Prijaté rozhodnutia o predaji účtovnej jednotky alebo jej časti:</w:t>
      </w:r>
    </w:p>
    <w:p>
      <w:pPr>
        <w:pStyle w:val="Normal"/>
        <w:numPr>
          <w:ilvl w:val="0"/>
          <w:numId w:val="2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neboli prijaté 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Zmeny významných položiek dlhodobého finančného majetku:</w:t>
      </w:r>
    </w:p>
    <w:p>
      <w:pPr>
        <w:pStyle w:val="Normal"/>
        <w:numPr>
          <w:ilvl w:val="0"/>
          <w:numId w:val="2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nenastali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Začatie alebo ukončenie činnosti časti účtovnej jednotky, napríklad odštepného závodu, organizačnej zložky, prevádzkarne: </w:t>
      </w:r>
    </w:p>
    <w:p>
      <w:pPr>
        <w:pStyle w:val="Normal"/>
        <w:numPr>
          <w:ilvl w:val="0"/>
          <w:numId w:val="2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nemáme odštepné závody, ani účtovné jednotky 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Vydané dlhopisy a iné cenné papiere: </w:t>
      </w:r>
    </w:p>
    <w:p>
      <w:pPr>
        <w:pStyle w:val="Normal"/>
        <w:numPr>
          <w:ilvl w:val="0"/>
          <w:numId w:val="2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neboli vydané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Zlúčenie, splynutie, rozdelenie a zmena právnej formy účtovnej jednotky: </w:t>
      </w:r>
    </w:p>
    <w:p>
      <w:pPr>
        <w:pStyle w:val="Normal"/>
        <w:numPr>
          <w:ilvl w:val="0"/>
          <w:numId w:val="2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nenastalo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i) Mimoriadne udalosti, ak majú vplyv na hospodárenie účtovnej jednotky, napr. živelná pohroma: 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- nenastalo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j) Získanie alebo odobratie licencií alebo iných povolení významných pre činnosť účtovnej jednotky: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- nenastalo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 w:hanging="0"/>
        <w:jc w:val="center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right="-471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  <w:t>1) Informácie o výlučnom práve poskytovať služby vo verejnom záujme: bez náplne</w:t>
      </w:r>
    </w:p>
    <w:p>
      <w:pPr>
        <w:pStyle w:val="Normal"/>
        <w:spacing w:before="0" w:after="120"/>
        <w:ind w:right="-471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  <w:t>2) Informácie o osobitnej kategórii priemyselnej výroby (§ 23d/6 ZoU): bez náplne</w:t>
      </w:r>
    </w:p>
    <w:p>
      <w:pPr>
        <w:pStyle w:val="Normal"/>
        <w:spacing w:before="0" w:after="120"/>
        <w:ind w:right="-471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  <w:t>3) Informácie o finančných vzťahoch s orgánmi verejnej moci (§ 23d/6 ZoU): bez náplne</w:t>
      </w:r>
    </w:p>
    <w:p>
      <w:pPr>
        <w:pStyle w:val="Normal"/>
        <w:spacing w:before="0" w:after="120"/>
        <w:ind w:right="-471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ind w:right="-471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ind w:right="-471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ind w:right="-471" w:hanging="0"/>
        <w:jc w:val="both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7" w:right="992" w:header="567" w:top="1417" w:footer="567" w:bottom="1417" w:gutter="0"/>
      <w:pgNumType w:fmt="decimal"/>
      <w:formProt w:val="false"/>
      <w:textDirection w:val="lrTb"/>
      <w:docGrid w:type="default" w:linePitch="326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mbria">
    <w:charset w:val="ee"/>
    <w:family w:val="roman"/>
    <w:pitch w:val="variable"/>
  </w:font>
  <w:font w:name="Arial Narrow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  <w:font w:name="Arial Narrow">
    <w:charset w:val="01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jc w:val="right"/>
      <w:rPr/>
    </w:pPr>
    <w:r>
      <w:rPr/>
      <w:fldChar w:fldCharType="begin"/>
    </w:r>
    <w:r>
      <w:instrText> PAGE </w:instrText>
    </w:r>
    <w:r>
      <w:fldChar w:fldCharType="separate"/>
    </w:r>
    <w:r>
      <w:t>7</w:t>
    </w:r>
    <w:r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lotextu"/>
      <w:tabs>
        <w:tab w:val="left" w:pos="2990" w:leader="none"/>
        <w:tab w:val="left" w:pos="6348" w:leader="none"/>
      </w:tabs>
      <w:ind w:left="-397" w:hanging="0"/>
      <w:jc w:val="center"/>
      <w:rPr/>
    </w:pPr>
    <w:r>
      <w:rPr>
        <w:rFonts w:cs="Arial" w:ascii="Arial" w:hAnsi="Arial"/>
        <w:sz w:val="22"/>
        <w:szCs w:val="22"/>
        <w:bdr w:val="single" w:sz="4" w:space="0" w:color="00000A"/>
        <w:lang w:val="sk-SK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A"/>
        <w:lang w:val="sk-SK"/>
      </w:rPr>
      <w:t>z</w:t>
    </w:r>
    <w:r>
      <w:rPr>
        <w:rFonts w:cs="Arial" w:ascii="Arial" w:hAnsi="Arial"/>
        <w:sz w:val="22"/>
        <w:szCs w:val="22"/>
        <w:bdr w:val="single" w:sz="4" w:space="0" w:color="00000A"/>
        <w:lang w:val="sk-SK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A"/>
        <w:lang w:val="sk-SK"/>
      </w:rPr>
      <w:t>á</w:t>
    </w:r>
    <w:r>
      <w:rPr>
        <w:rFonts w:cs="Arial" w:ascii="Arial" w:hAnsi="Arial"/>
        <w:sz w:val="22"/>
        <w:szCs w:val="22"/>
        <w:bdr w:val="single" w:sz="4" w:space="0" w:color="00000A"/>
        <w:lang w:val="sk-SK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A"/>
        <w:lang w:val="sk-SK"/>
      </w:rPr>
      <w:t>k</w:t>
    </w:r>
    <w:r>
      <w:rPr>
        <w:rFonts w:cs="Arial" w:ascii="Arial" w:hAnsi="Arial"/>
        <w:sz w:val="22"/>
        <w:szCs w:val="22"/>
        <w:bdr w:val="single" w:sz="4" w:space="0" w:color="00000A"/>
        <w:lang w:val="sk-SK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A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A"/>
        <w:lang w:val="sk-SK"/>
      </w:rPr>
      <w:t>Ú</w:t>
    </w:r>
    <w:r>
      <w:rPr>
        <w:rFonts w:cs="Arial" w:ascii="Arial" w:hAnsi="Arial"/>
        <w:sz w:val="22"/>
        <w:szCs w:val="22"/>
        <w:bdr w:val="single" w:sz="4" w:space="0" w:color="00000A"/>
        <w:lang w:val="sk-SK"/>
      </w:rPr>
      <w:t>č</w:t>
    </w:r>
    <w:r>
      <w:rPr>
        <w:rFonts w:cs="Arial" w:ascii="Arial" w:hAnsi="Arial"/>
        <w:sz w:val="22"/>
        <w:szCs w:val="22"/>
        <w:bdr w:val="single" w:sz="4" w:space="0" w:color="00000A"/>
      </w:rPr>
      <w:t xml:space="preserve"> POD 3 –</w:t>
    </w:r>
    <w:r>
      <w:rPr>
        <w:rFonts w:cs="Arial" w:ascii="Arial" w:hAnsi="Arial"/>
        <w:spacing w:val="-1"/>
        <w:sz w:val="22"/>
        <w:szCs w:val="22"/>
        <w:bdr w:val="single" w:sz="4" w:space="0" w:color="00000A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A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A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A"/>
      </w:rPr>
      <w:t>I</w:t>
    </w:r>
    <w:r>
      <w:rPr>
        <w:rFonts w:cs="Arial" w:ascii="Arial" w:hAnsi="Arial"/>
        <w:sz w:val="22"/>
        <w:szCs w:val="22"/>
        <w:bdr w:val="single" w:sz="4" w:space="0" w:color="00000A"/>
      </w:rPr>
      <w:t xml:space="preserve">ČO:  50115049 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A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A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A"/>
      </w:rPr>
      <w:t>I</w:t>
    </w:r>
    <w:r>
      <w:rPr>
        <w:rFonts w:cs="Arial" w:ascii="Arial" w:hAnsi="Arial"/>
        <w:sz w:val="22"/>
        <w:szCs w:val="22"/>
        <w:bdr w:val="single" w:sz="4" w:space="0" w:color="00000A"/>
      </w:rPr>
      <w:t xml:space="preserve">Č:2120265576 </w:t>
    </w:r>
  </w:p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decimal"/>
      <w:lvlText w:val="§ %1"/>
      <w:lvlJc w:val="center"/>
      <w:pPr>
        <w:tabs>
          <w:tab w:val="num" w:pos="5220"/>
        </w:tabs>
        <w:ind w:left="4500" w:hanging="-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szCs w:val="24"/>
        <w:iCs w:val="false"/>
        <w:bCs w:val="false"/>
        <w:w w:val="100"/>
        <w:vanish w:val="false"/>
        <w:rFonts w:cs="Times New Roman"/>
        <w:color w:val="00000A"/>
      </w:r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6"/>
      <w:numFmt w:val="bullet"/>
      <w:lvlText w:val="-"/>
      <w:lvlJc w:val="left"/>
      <w:pPr>
        <w:ind w:left="720" w:hanging="360"/>
      </w:pPr>
      <w:rPr>
        <w:rFonts w:ascii="Arial Narrow" w:hAnsi="Arial Narrow" w:cs="Arial Narrow" w:hint="default"/>
        <w:sz w:val="22"/>
        <w:b/>
        <w:rFonts w:cs="Arial Narro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3"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embedSystemFonts/>
  <w:defaultTabStop w:val="113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/>
    </w:pPrDefault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dd6176"/>
    <w:pPr>
      <w:widowControl/>
      <w:bidi w:val="0"/>
      <w:jc w:val="left"/>
    </w:pPr>
    <w:rPr>
      <w:rFonts w:ascii="Times New Roman" w:hAnsi="Times New Roman" w:eastAsia="Times New Roman" w:cs="Times New Roman"/>
      <w:color w:val="00000A"/>
      <w:sz w:val="24"/>
      <w:szCs w:val="24"/>
      <w:lang w:val="sk-SK" w:eastAsia="sk-SK" w:bidi="ar-SA"/>
    </w:rPr>
  </w:style>
  <w:style w:type="paragraph" w:styleId="Nadpis1">
    <w:name w:val="Heading 1"/>
    <w:basedOn w:val="Normal"/>
    <w:link w:val="Nadpis1Char"/>
    <w:qFormat/>
    <w:rsid w:val="00dd6176"/>
    <w:pPr>
      <w:keepNext/>
      <w:numPr>
        <w:ilvl w:val="0"/>
        <w:numId w:val="1"/>
      </w:numPr>
      <w:spacing w:before="240" w:after="60"/>
      <w:jc w:val="center"/>
      <w:outlineLvl w:val="0"/>
      <w:outlineLvl w:val="0"/>
    </w:pPr>
    <w:rPr>
      <w:b/>
      <w:bCs/>
    </w:rPr>
  </w:style>
  <w:style w:type="paragraph" w:styleId="Nadpis2">
    <w:name w:val="Heading 2"/>
    <w:basedOn w:val="Normal"/>
    <w:link w:val="Nadpis2Char"/>
    <w:qFormat/>
    <w:rsid w:val="00dd6176"/>
    <w:pPr>
      <w:keepNext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link w:val="Nadpis1"/>
    <w:qFormat/>
    <w:locked/>
    <w:rPr>
      <w:b/>
      <w:bCs/>
      <w:sz w:val="24"/>
      <w:szCs w:val="24"/>
      <w:lang w:val="sk-SK" w:eastAsia="sk-SK"/>
    </w:rPr>
  </w:style>
  <w:style w:type="character" w:styleId="Nadpis2Char" w:customStyle="1">
    <w:name w:val="Nadpis 2 Char"/>
    <w:link w:val="Nadpis2"/>
    <w:semiHidden/>
    <w:qFormat/>
    <w:locked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link w:val="Textpoznmkypodiarou"/>
    <w:semiHidden/>
    <w:qFormat/>
    <w:locked/>
    <w:rPr>
      <w:sz w:val="20"/>
      <w:szCs w:val="20"/>
    </w:rPr>
  </w:style>
  <w:style w:type="character" w:styleId="Footnotereference">
    <w:name w:val="footnote reference"/>
    <w:semiHidden/>
    <w:qFormat/>
    <w:rsid w:val="00dd6176"/>
    <w:rPr>
      <w:vertAlign w:val="superscript"/>
    </w:rPr>
  </w:style>
  <w:style w:type="character" w:styleId="PtaChar" w:customStyle="1">
    <w:name w:val="Päta Char"/>
    <w:link w:val="Pta"/>
    <w:uiPriority w:val="99"/>
    <w:qFormat/>
    <w:locked/>
    <w:rPr>
      <w:sz w:val="24"/>
      <w:szCs w:val="24"/>
    </w:rPr>
  </w:style>
  <w:style w:type="character" w:styleId="Pagenumber">
    <w:name w:val="page number"/>
    <w:basedOn w:val="DefaultParagraphFont"/>
    <w:qFormat/>
    <w:rsid w:val="006761b2"/>
    <w:rPr/>
  </w:style>
  <w:style w:type="character" w:styleId="NzovChar" w:customStyle="1">
    <w:name w:val="Názov Char"/>
    <w:link w:val="Nzov"/>
    <w:uiPriority w:val="99"/>
    <w:qFormat/>
    <w:locked/>
    <w:rsid w:val="00a84c9f"/>
    <w:rPr>
      <w:rFonts w:ascii="Arial Narrow" w:hAnsi="Arial Narrow" w:cs="Arial Narrow"/>
      <w:b/>
      <w:bCs/>
      <w:sz w:val="32"/>
      <w:szCs w:val="32"/>
      <w:lang w:val="sk-SK" w:eastAsia="x-none"/>
    </w:rPr>
  </w:style>
  <w:style w:type="character" w:styleId="HlavikaChar" w:customStyle="1">
    <w:name w:val="Hlavička Char"/>
    <w:link w:val="Hlavika"/>
    <w:qFormat/>
    <w:locked/>
    <w:rsid w:val="003c13be"/>
    <w:rPr>
      <w:sz w:val="24"/>
      <w:szCs w:val="24"/>
      <w:lang w:val="sk-SK" w:eastAsia="sk-SK"/>
    </w:rPr>
  </w:style>
  <w:style w:type="character" w:styleId="ZkladntextChar" w:customStyle="1">
    <w:name w:val="Základný text Char"/>
    <w:link w:val="Zkladntext0"/>
    <w:uiPriority w:val="1"/>
    <w:qFormat/>
    <w:rsid w:val="00ea0ddc"/>
    <w:rPr>
      <w:sz w:val="24"/>
      <w:szCs w:val="24"/>
      <w:lang w:val="en-US" w:eastAsia="en-US"/>
    </w:rPr>
  </w:style>
  <w:style w:type="character" w:styleId="TextbublinyChar" w:customStyle="1">
    <w:name w:val="Text bubliny Char"/>
    <w:basedOn w:val="DefaultParagraphFont"/>
    <w:link w:val="Textbubliny"/>
    <w:qFormat/>
    <w:rsid w:val="007e77a4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cs="Courier New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cs="Courier New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ascii="Arial Narrow" w:hAnsi="Arial Narrow" w:eastAsia="Times New Roman" w:cs="Arial Narrow"/>
      <w:b/>
      <w:sz w:val="22"/>
    </w:rPr>
  </w:style>
  <w:style w:type="character" w:styleId="ListLabel21">
    <w:name w:val="ListLabel 21"/>
    <w:qFormat/>
    <w:rPr>
      <w:rFonts w:cs="Courier New"/>
    </w:rPr>
  </w:style>
  <w:style w:type="character" w:styleId="ListLabel22">
    <w:name w:val="ListLabel 22"/>
    <w:qFormat/>
    <w:rPr>
      <w:rFonts w:cs="Courier New"/>
    </w:rPr>
  </w:style>
  <w:style w:type="character" w:styleId="ListLabel23">
    <w:name w:val="ListLabel 23"/>
    <w:qFormat/>
    <w:rPr>
      <w:rFonts w:cs="Courier New"/>
    </w:rPr>
  </w:style>
  <w:style w:type="character" w:styleId="ListLabel24">
    <w:name w:val="ListLabel 24"/>
    <w:qFormat/>
    <w:rPr>
      <w:rFonts w:cs="Courier New"/>
    </w:rPr>
  </w:style>
  <w:style w:type="character" w:styleId="ListLabel25">
    <w:name w:val="ListLabel 25"/>
    <w:qFormat/>
    <w:rPr>
      <w:rFonts w:cs="Courier New"/>
    </w:rPr>
  </w:style>
  <w:style w:type="character" w:styleId="ListLabel26">
    <w:name w:val="ListLabel 26"/>
    <w:qFormat/>
    <w:rPr>
      <w:rFonts w:cs="Courier New"/>
    </w:rPr>
  </w:style>
  <w:style w:type="character" w:styleId="ListLabel27">
    <w:name w:val="ListLabel 27"/>
    <w:qFormat/>
    <w:rPr>
      <w:rFonts w:cs="Courier New"/>
    </w:rPr>
  </w:style>
  <w:style w:type="character" w:styleId="ListLabel28">
    <w:name w:val="ListLabel 28"/>
    <w:qFormat/>
    <w:rPr>
      <w:rFonts w:cs="Courier New"/>
    </w:rPr>
  </w:style>
  <w:style w:type="character" w:styleId="ListLabel29">
    <w:name w:val="ListLabel 29"/>
    <w:qFormat/>
    <w:rPr>
      <w:rFonts w:cs="Courier New"/>
    </w:rPr>
  </w:style>
  <w:style w:type="character" w:styleId="ListLabel30">
    <w:name w:val="ListLabel 30"/>
    <w:qFormat/>
    <w:rPr>
      <w:rFonts w:cs="Courier New"/>
    </w:rPr>
  </w:style>
  <w:style w:type="character" w:styleId="ListLabel31">
    <w:name w:val="ListLabel 31"/>
    <w:qFormat/>
    <w:rPr>
      <w:rFonts w:cs="Courier New"/>
    </w:rPr>
  </w:style>
  <w:style w:type="character" w:styleId="ListLabel32">
    <w:name w:val="ListLabel 32"/>
    <w:qFormat/>
    <w:rPr>
      <w:rFonts w:cs="Courier New"/>
    </w:rPr>
  </w:style>
  <w:style w:type="character" w:styleId="ListLabel33">
    <w:name w:val="ListLabel 33"/>
    <w:qFormat/>
    <w:rPr>
      <w:rFonts w:cs="Courier New"/>
    </w:rPr>
  </w:style>
  <w:style w:type="character" w:styleId="ListLabel34">
    <w:name w:val="ListLabel 34"/>
    <w:qFormat/>
    <w:rPr>
      <w:rFonts w:cs="Courier New"/>
    </w:rPr>
  </w:style>
  <w:style w:type="character" w:styleId="ListLabel35">
    <w:name w:val="ListLabel 35"/>
    <w:qFormat/>
    <w:rPr>
      <w:rFonts w:cs="Courier New"/>
    </w:rPr>
  </w:style>
  <w:style w:type="character" w:styleId="ListLabel36">
    <w:name w:val="ListLabel 36"/>
    <w:qFormat/>
    <w:rPr>
      <w:rFonts w:cs="Courier New"/>
    </w:rPr>
  </w:style>
  <w:style w:type="character" w:styleId="ListLabel37">
    <w:name w:val="ListLabel 37"/>
    <w:qFormat/>
    <w:rPr>
      <w:rFonts w:cs="Courier New"/>
    </w:rPr>
  </w:style>
  <w:style w:type="character" w:styleId="ListLabel38">
    <w:name w:val="ListLabel 38"/>
    <w:qFormat/>
    <w:rPr>
      <w:rFonts w:cs="Courier New"/>
    </w:rPr>
  </w:style>
  <w:style w:type="character" w:styleId="ListLabel39">
    <w:name w:val="ListLabel 39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ListLabel40">
    <w:name w:val="ListLabel 40"/>
    <w:qFormat/>
    <w:rPr>
      <w:rFonts w:ascii="Arial Narrow" w:hAnsi="Arial Narrow" w:cs="Arial Narrow"/>
      <w:b/>
      <w:sz w:val="22"/>
    </w:rPr>
  </w:style>
  <w:style w:type="character" w:styleId="ListLabel41">
    <w:name w:val="ListLabel 41"/>
    <w:qFormat/>
    <w:rPr>
      <w:rFonts w:cs="Courier New"/>
    </w:rPr>
  </w:style>
  <w:style w:type="character" w:styleId="ListLabel42">
    <w:name w:val="ListLabel 42"/>
    <w:qFormat/>
    <w:rPr>
      <w:rFonts w:cs="Wingdings"/>
    </w:rPr>
  </w:style>
  <w:style w:type="character" w:styleId="ListLabel43">
    <w:name w:val="ListLabel 43"/>
    <w:qFormat/>
    <w:rPr>
      <w:rFonts w:cs="Symbol"/>
    </w:rPr>
  </w:style>
  <w:style w:type="character" w:styleId="ListLabel44">
    <w:name w:val="ListLabel 44"/>
    <w:qFormat/>
    <w:rPr>
      <w:rFonts w:cs="Courier New"/>
    </w:rPr>
  </w:style>
  <w:style w:type="character" w:styleId="ListLabel45">
    <w:name w:val="ListLabel 45"/>
    <w:qFormat/>
    <w:rPr>
      <w:rFonts w:cs="Wingdings"/>
    </w:rPr>
  </w:style>
  <w:style w:type="character" w:styleId="ListLabel46">
    <w:name w:val="ListLabel 46"/>
    <w:qFormat/>
    <w:rPr>
      <w:rFonts w:cs="Symbol"/>
    </w:rPr>
  </w:style>
  <w:style w:type="character" w:styleId="ListLabel47">
    <w:name w:val="ListLabel 47"/>
    <w:qFormat/>
    <w:rPr>
      <w:rFonts w:cs="Courier New"/>
    </w:rPr>
  </w:style>
  <w:style w:type="character" w:styleId="ListLabel48">
    <w:name w:val="ListLabel 48"/>
    <w:qFormat/>
    <w:rPr>
      <w:rFonts w:cs="Wingdings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lotextu">
    <w:name w:val="Body Text"/>
    <w:basedOn w:val="Normal"/>
    <w:link w:val="ZkladntextChar"/>
    <w:uiPriority w:val="1"/>
    <w:unhideWhenUsed/>
    <w:qFormat/>
    <w:rsid w:val="00ea0ddc"/>
    <w:pPr>
      <w:widowControl w:val="false"/>
      <w:ind w:left="668" w:hanging="567"/>
    </w:pPr>
    <w:rPr>
      <w:lang w:val="en-US" w:eastAsia="en-US"/>
    </w:rPr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Zkladntext" w:customStyle="1">
    <w:name w:val="Základní text"/>
    <w:qFormat/>
    <w:rsid w:val="00dd6176"/>
    <w:pPr>
      <w:widowControl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sz w:val="24"/>
      <w:szCs w:val="24"/>
      <w:lang w:val="sk-SK" w:eastAsia="sk-SK" w:bidi="ar-SA"/>
    </w:rPr>
  </w:style>
  <w:style w:type="paragraph" w:styleId="Footnotetext">
    <w:name w:val="footnote text"/>
    <w:basedOn w:val="Normal"/>
    <w:link w:val="TextpoznmkypodiarouChar"/>
    <w:semiHidden/>
    <w:qFormat/>
    <w:rsid w:val="00dd6176"/>
    <w:pPr/>
    <w:rPr>
      <w:sz w:val="20"/>
      <w:szCs w:val="20"/>
    </w:rPr>
  </w:style>
  <w:style w:type="paragraph" w:styleId="Pta">
    <w:name w:val="Footer"/>
    <w:basedOn w:val="Normal"/>
    <w:link w:val="PtaChar"/>
    <w:uiPriority w:val="99"/>
    <w:rsid w:val="006761b2"/>
    <w:pPr>
      <w:tabs>
        <w:tab w:val="center" w:pos="4536" w:leader="none"/>
        <w:tab w:val="right" w:pos="9072" w:leader="none"/>
      </w:tabs>
    </w:pPr>
    <w:rPr/>
  </w:style>
  <w:style w:type="paragraph" w:styleId="Nzov">
    <w:name w:val="Title"/>
    <w:basedOn w:val="Normal"/>
    <w:link w:val="NzovChar"/>
    <w:uiPriority w:val="99"/>
    <w:qFormat/>
    <w:rsid w:val="00a84c9f"/>
    <w:pPr>
      <w:keepNext/>
      <w:spacing w:beforeAutospacing="1" w:after="220"/>
      <w:jc w:val="center"/>
      <w:outlineLvl w:val="0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TopHeader" w:customStyle="1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al"/>
    <w:link w:val="HlavikaChar"/>
    <w:rsid w:val="003c13be"/>
    <w:pPr>
      <w:tabs>
        <w:tab w:val="center" w:pos="4703" w:leader="none"/>
        <w:tab w:val="right" w:pos="9406" w:leader="none"/>
      </w:tabs>
    </w:pPr>
    <w:rPr/>
  </w:style>
  <w:style w:type="paragraph" w:styleId="ListParagraph">
    <w:name w:val="List Paragraph"/>
    <w:basedOn w:val="Normal"/>
    <w:uiPriority w:val="34"/>
    <w:qFormat/>
    <w:rsid w:val="00c8054b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TextbublinyChar"/>
    <w:qFormat/>
    <w:rsid w:val="007e77a4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">
    <w:name w:val="Table Normal"/>
    <w:uiPriority w:val="2"/>
    <w:semiHidden/>
    <w:qFormat/>
    <w:rsid w:val="00ea0ddc"/>
    <w:rPr>
      <w:lang w:val="en-US" w:eastAsia="en-US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E6881E-3DE5-4FB9-94FA-276FE292C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Application>LibreOffice/5.2.1.2$Windows_x86 LibreOffice_project/31dd62db80d4e60af04904455ec9c9219178d620</Application>
  <Pages>7</Pages>
  <Words>2230</Words>
  <Characters>13719</Characters>
  <CharactersWithSpaces>15816</CharactersWithSpaces>
  <Paragraphs>302</Paragraphs>
  <Company>MF-SR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2017-03-28T12:00:00Z</dcterms:created>
  <dc:creator>user</dc:creator>
  <dc:description/>
  <dc:language>sk-SK</dc:language>
  <cp:lastModifiedBy/>
  <cp:lastPrinted>2018-03-28T16:55:40Z</cp:lastPrinted>
  <dcterms:modified xsi:type="dcterms:W3CDTF">2018-03-29T11:33:38Z</dcterms:modified>
  <cp:revision>14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MF-SR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