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lineRule="auto" w:line="240" w:before="0" w:after="12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POZNÁMKY K ÚČTOVNEJ ZÁVIERKE 201</w:t>
      </w:r>
      <w:bookmarkStart w:id="0" w:name="_GoBack"/>
      <w:bookmarkEnd w:id="0"/>
      <w:r>
        <w:rPr>
          <w:rFonts w:eastAsia="Calibri" w:cs="Calibri" w:ascii="Calibri" w:hAnsi="Calibri"/>
          <w:b/>
          <w:sz w:val="24"/>
          <w:szCs w:val="24"/>
        </w:rPr>
        <w:t>7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pre mikro účtovné jednotky</w:t>
      </w: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 – VŠEOBECNÉ INFORMÁCIE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1) Základné informácie o účtovnej jednotke:</w:t>
      </w:r>
    </w:p>
    <w:p>
      <w:pPr>
        <w:pStyle w:val="Normal"/>
        <w:spacing w:lineRule="auto" w:line="240"/>
        <w:rPr/>
      </w:pPr>
      <w:r>
        <w:rPr/>
      </w:r>
    </w:p>
    <w:tbl>
      <w:tblPr>
        <w:tblStyle w:val="a"/>
        <w:tblW w:w="9714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835"/>
        <w:gridCol w:w="6878"/>
      </w:tblGrid>
      <w:tr>
        <w:trPr>
          <w:trHeight w:val="34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Obchodné meno: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PELLBIS s.r.o.</w:t>
            </w:r>
          </w:p>
        </w:tc>
      </w:tr>
      <w:tr>
        <w:trPr>
          <w:trHeight w:val="3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Sídlo: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Okružná 236, 022 01  Čadca</w:t>
            </w:r>
          </w:p>
        </w:tc>
      </w:tr>
      <w:tr>
        <w:trPr>
          <w:trHeight w:val="1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Právna forma: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s ručením obmedzeným</w:t>
            </w:r>
          </w:p>
        </w:tc>
      </w:tr>
      <w:tr>
        <w:trPr>
          <w:trHeight w:val="2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Dátum vzniku: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Zápis do obchodného registra: </w:t>
            </w:r>
            <w:r>
              <w:rPr>
                <w:rFonts w:eastAsia="Calibri" w:cs="Calibri" w:ascii="Calibri" w:hAnsi="Calibri"/>
                <w:sz w:val="24"/>
                <w:szCs w:val="24"/>
              </w:rPr>
              <w:t>6.7.2001</w:t>
            </w:r>
          </w:p>
        </w:tc>
      </w:tr>
      <w:tr>
        <w:trPr>
          <w:trHeight w:val="26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ind w:right="1027" w:hanging="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Hlavný predmet podnikania: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/>
            </w:r>
          </w:p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Ostatný maloobchod</w:t>
            </w:r>
          </w:p>
        </w:tc>
      </w:tr>
      <w:tr>
        <w:trPr>
          <w:trHeight w:val="5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Subjekt verejného záujmu: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 nie je subjektom verejného záujmu (§ 2/14 ZoU).</w:t>
            </w:r>
          </w:p>
        </w:tc>
      </w:tr>
      <w:tr>
        <w:trPr>
          <w:trHeight w:val="30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Účtovné obdobie: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Kalendárny rok 201</w:t>
            </w:r>
            <w:r>
              <w:rPr>
                <w:rFonts w:eastAsia="Calibri" w:cs="Calibri" w:ascii="Calibri" w:hAnsi="Calibri"/>
                <w:sz w:val="24"/>
                <w:szCs w:val="24"/>
              </w:rPr>
              <w:t>7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UJ bola v účtovnom období roku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– mikro účtovná jednotka, preto zostavuje účtovnú závierku podľa metodiky pre túto veľkostnú skupinu (Opatrenie č.MF/23378/2014-74).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Dátum schválenia účtovnej závierky za bezprostredne predchádzajúce účtovné obdobie príslušným orgánom účtovnej jednotky:</w:t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widowControl w:val="false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3) Právny dôvod na zostavenie účtovnej závierky: Účtovná závierka Spoločnosti k 31.12.2016 je zostavená ako riadna účtovná závierka podľa §17 ods. 6 Zákona č. 431/2002 Z.z. o účtovníctve za účtovné obdobie od 01. januára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do 31. decembra 201</w:t>
      </w:r>
      <w:r>
        <w:rPr>
          <w:rFonts w:eastAsia="Calibri" w:cs="Calibri" w:ascii="Calibri" w:hAnsi="Calibri"/>
          <w:sz w:val="24"/>
          <w:szCs w:val="24"/>
        </w:rPr>
        <w:t>7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nie je v skupine účtovných jednotiek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6"/>
        <w:gridCol w:w="2523"/>
        <w:gridCol w:w="2368"/>
      </w:tblGrid>
      <w:tr>
        <w:trPr>
          <w:trHeight w:val="520" w:hRule="atLeast"/>
        </w:trPr>
        <w:tc>
          <w:tcPr>
            <w:tcW w:w="4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ind w:right="459" w:hanging="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160" w:hRule="atLeast"/>
        </w:trPr>
        <w:tc>
          <w:tcPr>
            <w:tcW w:w="4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23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/>
        <w:ind w:left="928"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 – INFORMÁCIE O ORGÁNOCH SPOLOČNOSTI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b/>
          <w:sz w:val="24"/>
          <w:szCs w:val="24"/>
        </w:rPr>
        <w:t>Informácie o orgánoch účtovnej jednotky</w:t>
      </w:r>
      <w:r>
        <w:rPr>
          <w:rFonts w:eastAsia="Calibri" w:cs="Calibri" w:ascii="Calibri" w:hAnsi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969"/>
        <w:gridCol w:w="2488"/>
        <w:gridCol w:w="2360"/>
      </w:tblGrid>
      <w:tr>
        <w:trPr>
          <w:trHeight w:val="8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3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 </w:t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ind w:left="720" w:hanging="0"/>
              <w:rPr/>
            </w:pPr>
            <w:r>
              <w:rPr/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</w:tbl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III – INFORMÁCIE O PRIJATÝCH POSTUPOCH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neeviduje žiadne transakcie, ktoré sa neuvádzajú v súvahe.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Spôsob a určenie oceňovania majetku a záväzkov (vrátane rozhodujúcich odhadov):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a) Spôsob oceňovania majetku a záväzkov (§ 25 ZoU):</w:t>
      </w:r>
    </w:p>
    <w:p>
      <w:pPr>
        <w:pStyle w:val="Normal"/>
        <w:widowControl w:val="false"/>
        <w:tabs>
          <w:tab w:val="left" w:pos="808" w:leader="none"/>
        </w:tabs>
        <w:spacing w:lineRule="auto" w:line="240"/>
        <w:jc w:val="both"/>
        <w:rPr/>
      </w:pPr>
      <w:r>
        <w:rPr/>
      </w:r>
    </w:p>
    <w:tbl>
      <w:tblPr>
        <w:tblStyle w:val="a2"/>
        <w:tblW w:w="9606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300"/>
        <w:gridCol w:w="3600"/>
      </w:tblGrid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b) Trvalé zníženie hodnoty majetku nebolo účtované.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c) Záväzky účtovná jednotka ocenila menovitou hodnotou záväzkov.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d) Účtovná jednotka nepoužila dobrovoľné oceňovanie obchodných podielov metódou vlastného imania (§ 27/9 ZoU).</w:t>
      </w:r>
    </w:p>
    <w:p>
      <w:pPr>
        <w:pStyle w:val="Normal"/>
        <w:keepNext/>
        <w:tabs>
          <w:tab w:val="left" w:pos="1005" w:leader="none"/>
        </w:tabs>
        <w:spacing w:lineRule="auto" w:line="240" w:before="0" w:after="120"/>
        <w:jc w:val="both"/>
        <w:rPr/>
      </w:pPr>
      <w:r>
        <w:rPr/>
      </w:r>
    </w:p>
    <w:p>
      <w:pPr>
        <w:pStyle w:val="Normal"/>
        <w:keepNext/>
        <w:tabs>
          <w:tab w:val="left" w:pos="1005" w:leader="none"/>
        </w:tabs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4"/>
        <w:gridCol w:w="2107"/>
        <w:gridCol w:w="2267"/>
      </w:tblGrid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Dlhodobý hmotný a nehmotný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číslo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doba odpisovania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 xml:space="preserve">odpisová sadzba 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Software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Stavby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Počítače s príslušenstvom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Dopravné prostriedky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Ostatné stroje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 w:before="0" w:after="120"/>
        <w:rPr/>
      </w:pPr>
      <w:r>
        <w:rPr>
          <w:rFonts w:eastAsia="Calibri" w:cs="Calibri" w:ascii="Calibri" w:hAnsi="Calibri"/>
          <w:sz w:val="24"/>
          <w:szCs w:val="24"/>
        </w:rPr>
        <w:t xml:space="preserve">Komentár k odpisovému plánu: 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nepoužila jednorazový odpis</w:t>
      </w:r>
      <w:r>
        <w:rPr>
          <w:rFonts w:eastAsia="Calibri" w:cs="Calibri" w:ascii="Calibri" w:hAnsi="Calibri"/>
          <w:b/>
          <w:sz w:val="24"/>
          <w:szCs w:val="24"/>
        </w:rPr>
        <w:t xml:space="preserve"> </w:t>
      </w:r>
      <w:r>
        <w:rPr>
          <w:rFonts w:eastAsia="Calibri" w:cs="Calibri" w:ascii="Calibri" w:hAnsi="Calibri"/>
          <w:sz w:val="24"/>
          <w:szCs w:val="24"/>
        </w:rPr>
        <w:t>dlhodobého majetku z dôvodu jednorazového trvalého zníženia hodnoty majetku (§ 21/5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360" w:hanging="360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g) ÚJ neboli v zdaňovacom období roku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poskytnuté žiadne dotácie</w:t>
      </w:r>
    </w:p>
    <w:p>
      <w:pPr>
        <w:pStyle w:val="Normal"/>
        <w:keepNext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5) ÚJ v zdaňovacom období roku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nevykonala žiadne opravy významných chýb.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IV – INFORMÁCIE, KTORÉ VYSVETĽUJÚ A DOPĹŇAJÚ SÚVAHU A VÝKAZ ZISKOV A STRÁT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neeviduje žiadne položky nehmotného majetku.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položky významných derivátov, majetku a záväzkoch zabezpečených derivátmi.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3a) ÚJ neeviduje žiadne položky zabezpečených záväzkov so zostatkovou dobou splatnosti dlhšou </w:t>
        <w:tab/>
        <w:tab/>
        <w:tab/>
        <w:tab/>
        <w:tab/>
        <w:t xml:space="preserve"> ako 5 rokov:  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tbl>
      <w:tblPr>
        <w:tblStyle w:val="a4"/>
        <w:tblW w:w="9714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2"/>
        <w:gridCol w:w="2377"/>
      </w:tblGrid>
      <w:tr>
        <w:trPr>
          <w:trHeight w:val="68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0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 w:before="120" w:after="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3b) ÚJ neeviduje žiadne položky zabezpečených záväzkov.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neeviduje žiadne vlastné akcie.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ÚJ neeviduje žiadne položky nákladov alebo výnosov, ktoré majú výnimočný rozsah alebo výskyt.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 – INFORMÁCIE O INÝCH AKTÍVACH A INÝCH PASÍVACH</w:t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1a) ÚJ neeviduje žiadne položky podmieneného majetku.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1b) ÚJ neeviduje žiadne položky podmienených záväzkov.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ostatné finančné povinnosti, ktoré a nevykazujú v účtovných výkazoch.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3 V účtovníctve ÚJ sa nenachádzajú žiadne položky evidované na podsúvahových účtoch.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 – UDALOSTI, KTORÉ NASTALI PO ZÁVIERKOVOM DNI</w:t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(Následné udalosti)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ÚJ neeviduje žiadne udalosti, ktoré nastali po závierkovom dni.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VII – OSTATNÉ INFORMÁCIE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nemá žiadne právo poskytovať služby vo verejnom záujme.</w:t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nemá žiadnu priemyselnú výrobu.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nemá žiadne finančné vzťahy s orgánmi verejnej moci.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sectPr>
      <w:headerReference w:type="default" r:id="rId2"/>
      <w:footerReference w:type="default" r:id="rId3"/>
      <w:type w:val="nextPage"/>
      <w:pgSz w:w="11906" w:h="16838"/>
      <w:pgMar w:left="1417" w:right="992" w:header="708" w:top="1417" w:footer="708" w:bottom="1417" w:gutter="0"/>
      <w:pgNumType w:start="1"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Georgi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enter" w:pos="4536" w:leader="none"/>
        <w:tab w:val="right" w:pos="9072" w:leader="none"/>
      </w:tabs>
      <w:spacing w:lineRule="auto" w:line="24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6</w:t>
    </w:r>
    <w:r>
      <w:fldChar w:fldCharType="end"/>
    </w:r>
  </w:p>
  <w:p>
    <w:pPr>
      <w:pStyle w:val="Normal"/>
      <w:tabs>
        <w:tab w:val="center" w:pos="4536" w:leader="none"/>
        <w:tab w:val="right" w:pos="9072" w:leader="none"/>
      </w:tabs>
      <w:spacing w:lineRule="auto" w:line="240" w:before="0" w:after="567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 w:val="false"/>
      <w:tabs>
        <w:tab w:val="left" w:pos="2990" w:leader="none"/>
        <w:tab w:val="left" w:pos="6348" w:leader="none"/>
      </w:tabs>
      <w:spacing w:lineRule="auto" w:line="240" w:before="567" w:after="0"/>
      <w:ind w:left="0" w:hanging="0"/>
      <w:jc w:val="center"/>
      <w:rPr/>
    </w:pPr>
    <w:r>
      <w:rPr/>
      <w:t xml:space="preserve"> </w:t>
    </w:r>
    <w:r>
      <w:rPr/>
      <w:t xml:space="preserve">Poznámky Úč POD 3 – 01          </w:t>
    </w:r>
    <w:r>
      <w:rPr>
        <w:color w:val="707070"/>
        <w:sz w:val="18"/>
        <w:szCs w:val="18"/>
        <w:highlight w:val="white"/>
      </w:rPr>
      <w:tab/>
    </w:r>
    <w:r>
      <w:rPr/>
      <w:t xml:space="preserve">                 IČO: </w:t>
    </w:r>
    <w:r>
      <w:rPr/>
      <w:t xml:space="preserve">36399761  </w:t>
    </w:r>
    <w:r>
      <w:rPr/>
      <w:t xml:space="preserve"> DIČ: </w:t>
    </w:r>
    <w:r>
      <w:rPr/>
      <w:t>2020135986</w:t>
    </w:r>
  </w:p>
  <w:p>
    <w:pPr>
      <w:pStyle w:val="Normal"/>
      <w:tabs>
        <w:tab w:val="center" w:pos="4703" w:leader="none"/>
        <w:tab w:val="right" w:pos="9406" w:leader="none"/>
      </w:tabs>
      <w:spacing w:lineRule="auto" w:line="24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6"/>
      <w:numFmt w:val="bullet"/>
      <w:lvlText w:val="-"/>
      <w:lvlJc w:val="left"/>
      <w:pPr>
        <w:ind w:left="720" w:hanging="-3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-10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-18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-25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-32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-39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-46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-54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-61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2">
    <w:lvl w:ilvl="0">
      <w:start w:val="1"/>
      <w:numFmt w:val="bullet"/>
      <w:lvlText w:val="➢"/>
      <w:lvlJc w:val="left"/>
      <w:pPr>
        <w:ind w:left="3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080" w:hanging="-7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1800" w:hanging="-14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520" w:hanging="-21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240" w:hanging="-28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3960" w:hanging="-36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4680" w:hanging="-43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400" w:hanging="-50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120" w:hanging="-57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3">
    <w:lvl w:ilvl="0">
      <w:numFmt w:val="bullet"/>
      <w:lvlText w:val="-"/>
      <w:lvlJc w:val="left"/>
      <w:pPr>
        <w:ind w:left="720" w:hanging="-3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-10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-18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-25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-32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-39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-46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-54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-61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compat>
    <w:compatSetting w:name="compatibilityMode" w:uri="http://schemas.microsoft.com/office/word" w:val="14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color w:val="000000"/>
        <w:sz w:val="22"/>
        <w:szCs w:val="22"/>
        <w:lang w:val="sk-SK" w:eastAsia="sk-SK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/>
      <w:jc w:val="left"/>
    </w:pPr>
    <w:rPr>
      <w:rFonts w:ascii="Arial" w:hAnsi="Arial" w:eastAsia="Arial" w:cs="Arial"/>
      <w:color w:val="000000"/>
      <w:sz w:val="22"/>
      <w:szCs w:val="22"/>
      <w:lang w:val="sk-SK" w:eastAsia="sk-SK" w:bidi="ar-SA"/>
    </w:rPr>
  </w:style>
  <w:style w:type="paragraph" w:styleId="Nadpis1">
    <w:name w:val="Nadpis 1"/>
    <w:basedOn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Nadpis 2"/>
    <w:basedOn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Nadpis 3"/>
    <w:basedOn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Nadpis 4"/>
    <w:basedOn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Nadpis 5"/>
    <w:basedOn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Nadpis 6"/>
    <w:basedOn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Arial" w:cs="Arial"/>
      <w:position w:val="0"/>
      <w:sz w:val="24"/>
      <w:sz w:val="24"/>
      <w:vertAlign w:val="baseline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Nzov">
    <w:name w:val="Názov"/>
    <w:basedOn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nzov">
    <w:name w:val="Podnázov"/>
    <w:basedOn w:val="Normal"/>
    <w:pPr>
      <w:keepNext/>
      <w:keepLines/>
      <w:spacing w:before="360" w:after="80"/>
      <w:contextualSpacing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Hlavika">
    <w:name w:val="Hlavička"/>
    <w:basedOn w:val="Normal"/>
    <w:pPr/>
    <w:rPr/>
  </w:style>
  <w:style w:type="paragraph" w:styleId="Pta">
    <w:name w:val="Päta"/>
    <w:basedOn w:val="Normal"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LibreOffice/5.0.4.2$Windows_x86 LibreOffice_project/2b9802c1994aa0b7dc6079e128979269cf95bc78</Application>
  <Paragraphs>198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2017-03-30T07:49:00Z</dcterms:created>
  <dc:language>sk-SK</dc:language>
  <dcterms:modified xsi:type="dcterms:W3CDTF">2018-03-29T14:31:09Z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