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480" w:rsidRDefault="00310480" w:rsidP="00310480">
      <w:pPr>
        <w:pStyle w:val="Vchodzie"/>
        <w:pBdr>
          <w:top w:val="single" w:sz="4" w:space="0" w:color="00000A"/>
          <w:left w:val="single" w:sz="4" w:space="0" w:color="00000A"/>
          <w:bottom w:val="single" w:sz="4" w:space="9" w:color="00000A"/>
          <w:right w:val="single" w:sz="4" w:space="0" w:color="00000A"/>
        </w:pBdr>
        <w:tabs>
          <w:tab w:val="center" w:pos="4181"/>
          <w:tab w:val="left" w:pos="6095"/>
          <w:tab w:val="right" w:pos="8221"/>
        </w:tabs>
        <w:spacing w:after="120"/>
        <w:ind w:left="-142" w:right="142"/>
        <w:jc w:val="center"/>
        <w:rPr>
          <w:b/>
        </w:rPr>
      </w:pPr>
    </w:p>
    <w:p w:rsidR="00236F9B" w:rsidRDefault="005231C2" w:rsidP="00310480">
      <w:pPr>
        <w:pStyle w:val="Vchodzie"/>
        <w:pBdr>
          <w:top w:val="single" w:sz="4" w:space="0" w:color="00000A"/>
          <w:left w:val="single" w:sz="4" w:space="0" w:color="00000A"/>
          <w:bottom w:val="single" w:sz="4" w:space="9" w:color="00000A"/>
          <w:right w:val="single" w:sz="4" w:space="0" w:color="00000A"/>
        </w:pBdr>
        <w:tabs>
          <w:tab w:val="center" w:pos="4181"/>
          <w:tab w:val="left" w:pos="6095"/>
          <w:tab w:val="right" w:pos="8221"/>
        </w:tabs>
        <w:spacing w:after="120"/>
        <w:ind w:left="-142" w:right="142"/>
        <w:jc w:val="center"/>
      </w:pPr>
      <w:r>
        <w:rPr>
          <w:b/>
        </w:rPr>
        <w:t>POZNÁMKY K ÚČTOVNEJ ZÁVIERKE  ZOSTAVENEJ K 31. decembru 201</w:t>
      </w:r>
      <w:r w:rsidR="007421F6">
        <w:rPr>
          <w:b/>
        </w:rPr>
        <w:t>7</w:t>
      </w:r>
    </w:p>
    <w:p w:rsidR="00236F9B" w:rsidRDefault="005231C2">
      <w:pPr>
        <w:pStyle w:val="Vchodzie"/>
        <w:tabs>
          <w:tab w:val="left" w:pos="3375"/>
        </w:tabs>
        <w:jc w:val="both"/>
      </w:pPr>
      <w:r>
        <w:rPr>
          <w:rFonts w:ascii="Calibri" w:hAnsi="Calibri"/>
          <w:sz w:val="20"/>
        </w:rPr>
        <w:tab/>
      </w:r>
    </w:p>
    <w:p w:rsidR="00236F9B" w:rsidRDefault="005231C2">
      <w:pPr>
        <w:pStyle w:val="Vchodzie"/>
        <w:jc w:val="center"/>
      </w:pPr>
      <w:r>
        <w:rPr>
          <w:rFonts w:ascii="Calibri" w:hAnsi="Calibri"/>
          <w:b/>
          <w:bCs/>
          <w:color w:val="00000A"/>
          <w:sz w:val="22"/>
          <w:szCs w:val="22"/>
        </w:rPr>
        <w:t>I. VŠEOBECNÉ INFORMÁCIE</w:t>
      </w:r>
    </w:p>
    <w:p w:rsidR="00236F9B" w:rsidRDefault="00236F9B">
      <w:pPr>
        <w:pStyle w:val="Vchodzie"/>
      </w:pPr>
    </w:p>
    <w:p w:rsidR="00236F9B" w:rsidRDefault="005231C2">
      <w:pPr>
        <w:pStyle w:val="Vchodzie"/>
      </w:pPr>
      <w:r>
        <w:rPr>
          <w:rFonts w:ascii="Calibri" w:hAnsi="Calibri"/>
          <w:b/>
          <w:color w:val="00000A"/>
          <w:sz w:val="22"/>
          <w:szCs w:val="22"/>
        </w:rPr>
        <w:t>(1)  Informácie o účtovnej jednotke</w:t>
      </w:r>
    </w:p>
    <w:p w:rsidR="00236F9B" w:rsidRDefault="00236F9B">
      <w:pPr>
        <w:pStyle w:val="Vchodzie"/>
      </w:pPr>
    </w:p>
    <w:p w:rsidR="00236F9B" w:rsidRDefault="005231C2">
      <w:pPr>
        <w:pStyle w:val="Odsekzoznamu"/>
        <w:ind w:left="0"/>
      </w:pPr>
      <w:r>
        <w:rPr>
          <w:rFonts w:cs="Calibri"/>
          <w:bCs/>
          <w:sz w:val="20"/>
          <w:szCs w:val="20"/>
        </w:rPr>
        <w:t>a) Základné informácie o účtovnej jednotke:</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2769"/>
        <w:gridCol w:w="6499"/>
      </w:tblGrid>
      <w:tr w:rsidR="00236F9B" w:rsidTr="006E57E4">
        <w:trPr>
          <w:trHeight w:val="336"/>
        </w:trPr>
        <w:tc>
          <w:tcPr>
            <w:tcW w:w="27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Default="005231C2">
            <w:pPr>
              <w:pStyle w:val="Vchodzie"/>
            </w:pPr>
            <w:r>
              <w:rPr>
                <w:rFonts w:ascii="Calibri" w:hAnsi="Calibri"/>
                <w:sz w:val="20"/>
                <w:szCs w:val="20"/>
              </w:rPr>
              <w:t>Obchodné meno:</w:t>
            </w:r>
          </w:p>
        </w:tc>
        <w:tc>
          <w:tcPr>
            <w:tcW w:w="649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Default="00C50B7A">
            <w:pPr>
              <w:pStyle w:val="Vchodzie"/>
            </w:pPr>
            <w:r>
              <w:t>STAVKOV s.r.o.</w:t>
            </w:r>
          </w:p>
        </w:tc>
      </w:tr>
      <w:tr w:rsidR="00236F9B" w:rsidTr="006E57E4">
        <w:trPr>
          <w:trHeight w:val="336"/>
        </w:trPr>
        <w:tc>
          <w:tcPr>
            <w:tcW w:w="27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Default="005231C2">
            <w:pPr>
              <w:pStyle w:val="Vchodzie"/>
            </w:pPr>
            <w:r>
              <w:rPr>
                <w:rFonts w:ascii="Calibri" w:hAnsi="Calibri"/>
                <w:sz w:val="20"/>
                <w:szCs w:val="20"/>
              </w:rPr>
              <w:t>Sídlo:</w:t>
            </w:r>
          </w:p>
        </w:tc>
        <w:tc>
          <w:tcPr>
            <w:tcW w:w="649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Default="00C50B7A" w:rsidP="00C50B7A">
            <w:pPr>
              <w:pStyle w:val="Vchodzie"/>
            </w:pPr>
            <w:r>
              <w:t>Družstevná 8, 945 01 Komárno</w:t>
            </w:r>
          </w:p>
        </w:tc>
      </w:tr>
      <w:tr w:rsidR="006E57E4" w:rsidRPr="006E57E4" w:rsidTr="006E57E4">
        <w:trPr>
          <w:trHeight w:val="336"/>
        </w:trPr>
        <w:tc>
          <w:tcPr>
            <w:tcW w:w="27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Pr="00C50B7A" w:rsidRDefault="005231C2">
            <w:pPr>
              <w:pStyle w:val="Vchodzie"/>
              <w:rPr>
                <w:color w:val="auto"/>
              </w:rPr>
            </w:pPr>
            <w:r w:rsidRPr="00C50B7A">
              <w:rPr>
                <w:rFonts w:ascii="Calibri" w:hAnsi="Calibri"/>
                <w:color w:val="auto"/>
                <w:sz w:val="20"/>
                <w:szCs w:val="20"/>
              </w:rPr>
              <w:t>Dátum založenia:</w:t>
            </w:r>
          </w:p>
        </w:tc>
        <w:tc>
          <w:tcPr>
            <w:tcW w:w="649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Pr="00C50B7A" w:rsidRDefault="00C50B7A" w:rsidP="00C50B7A">
            <w:pPr>
              <w:pStyle w:val="Vchodzie"/>
              <w:rPr>
                <w:color w:val="auto"/>
              </w:rPr>
            </w:pPr>
            <w:r>
              <w:rPr>
                <w:color w:val="auto"/>
              </w:rPr>
              <w:t>5</w:t>
            </w:r>
            <w:r w:rsidRPr="00C50B7A">
              <w:rPr>
                <w:color w:val="auto"/>
              </w:rPr>
              <w:t>.</w:t>
            </w:r>
            <w:r>
              <w:rPr>
                <w:color w:val="auto"/>
              </w:rPr>
              <w:t>5</w:t>
            </w:r>
            <w:r w:rsidRPr="00C50B7A">
              <w:rPr>
                <w:color w:val="auto"/>
              </w:rPr>
              <w:t>.1995</w:t>
            </w:r>
          </w:p>
        </w:tc>
      </w:tr>
      <w:tr w:rsidR="00236F9B" w:rsidRPr="006E57E4" w:rsidTr="006E57E4">
        <w:trPr>
          <w:trHeight w:val="336"/>
        </w:trPr>
        <w:tc>
          <w:tcPr>
            <w:tcW w:w="27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Pr="006E57E4" w:rsidRDefault="005231C2">
            <w:pPr>
              <w:pStyle w:val="Vchodzie"/>
            </w:pPr>
            <w:r w:rsidRPr="006E57E4">
              <w:rPr>
                <w:rFonts w:ascii="Calibri" w:hAnsi="Calibri"/>
                <w:sz w:val="20"/>
                <w:szCs w:val="20"/>
              </w:rPr>
              <w:t>Dátum vzniku:</w:t>
            </w:r>
          </w:p>
        </w:tc>
        <w:tc>
          <w:tcPr>
            <w:tcW w:w="649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Pr="006E57E4" w:rsidRDefault="00C50B7A">
            <w:pPr>
              <w:pStyle w:val="Vchodzie"/>
            </w:pPr>
            <w:r w:rsidRPr="00C50B7A">
              <w:rPr>
                <w:color w:val="auto"/>
              </w:rPr>
              <w:t>28.6.1995</w:t>
            </w:r>
          </w:p>
        </w:tc>
      </w:tr>
    </w:tbl>
    <w:p w:rsidR="00236F9B" w:rsidRDefault="00236F9B">
      <w:pPr>
        <w:pStyle w:val="Odsekzoznamu"/>
      </w:pPr>
    </w:p>
    <w:p w:rsidR="00236F9B" w:rsidRDefault="005231C2">
      <w:pPr>
        <w:pStyle w:val="Odsekzoznamu"/>
        <w:spacing w:after="0" w:line="100" w:lineRule="atLeast"/>
        <w:ind w:left="0"/>
        <w:jc w:val="both"/>
      </w:pPr>
      <w:r>
        <w:rPr>
          <w:sz w:val="20"/>
          <w:szCs w:val="20"/>
        </w:rPr>
        <w:t xml:space="preserve">b) </w:t>
      </w:r>
      <w:r>
        <w:rPr>
          <w:rFonts w:cs="ArialNarrow"/>
          <w:sz w:val="20"/>
          <w:szCs w:val="20"/>
        </w:rPr>
        <w:t>Opis hospodárskej činnosti účtovnej jednotky:</w:t>
      </w:r>
    </w:p>
    <w:p w:rsidR="00236F9B" w:rsidRDefault="00236F9B">
      <w:pPr>
        <w:pStyle w:val="Odsekzoznamu"/>
        <w:spacing w:after="0" w:line="100" w:lineRule="atLeast"/>
        <w:ind w:left="0"/>
        <w:jc w:val="both"/>
      </w:pPr>
    </w:p>
    <w:p w:rsidR="00236F9B" w:rsidRDefault="00C50B7A">
      <w:pPr>
        <w:pStyle w:val="Odsekzoznamu"/>
        <w:widowControl w:val="0"/>
        <w:numPr>
          <w:ilvl w:val="0"/>
          <w:numId w:val="2"/>
        </w:numPr>
      </w:pPr>
      <w:r>
        <w:rPr>
          <w:rFonts w:cs="ArialNarrow"/>
          <w:sz w:val="20"/>
          <w:szCs w:val="20"/>
        </w:rPr>
        <w:t xml:space="preserve">Zámočnícke – montážne práce a </w:t>
      </w:r>
      <w:proofErr w:type="spellStart"/>
      <w:r w:rsidR="005231C2">
        <w:rPr>
          <w:rFonts w:cs="ArialNarrow"/>
          <w:sz w:val="20"/>
          <w:szCs w:val="20"/>
        </w:rPr>
        <w:t>kovoobrábanie</w:t>
      </w:r>
      <w:proofErr w:type="spellEnd"/>
      <w:r w:rsidR="005231C2">
        <w:rPr>
          <w:rFonts w:cs="ArialNarrow"/>
          <w:sz w:val="20"/>
          <w:szCs w:val="20"/>
        </w:rPr>
        <w:t xml:space="preserve"> </w:t>
      </w:r>
    </w:p>
    <w:p w:rsidR="00236F9B" w:rsidRDefault="00C50B7A">
      <w:pPr>
        <w:pStyle w:val="Odsekzoznamu"/>
        <w:widowControl w:val="0"/>
        <w:numPr>
          <w:ilvl w:val="0"/>
          <w:numId w:val="2"/>
        </w:numPr>
      </w:pPr>
      <w:r>
        <w:rPr>
          <w:rFonts w:cs="ArialNarrow"/>
          <w:sz w:val="20"/>
          <w:szCs w:val="20"/>
        </w:rPr>
        <w:t>Výroba, inštalácia, opravy elektrických zariadení a príslušenstva</w:t>
      </w:r>
    </w:p>
    <w:p w:rsidR="00236F9B" w:rsidRDefault="00C50B7A">
      <w:pPr>
        <w:pStyle w:val="Odsekzoznamu"/>
        <w:widowControl w:val="0"/>
        <w:numPr>
          <w:ilvl w:val="0"/>
          <w:numId w:val="2"/>
        </w:numPr>
      </w:pPr>
      <w:r>
        <w:rPr>
          <w:rFonts w:cs="ArialNarrow"/>
          <w:sz w:val="20"/>
          <w:szCs w:val="20"/>
        </w:rPr>
        <w:t>Obchodná činnosť – kúpa tovaru za účelom jeho predaja konečnému spotrebiteľovi (maloobchod), alebo za účelom jeho predaja iným prevádzkovateľom živnosti (veľkoobchod)</w:t>
      </w:r>
    </w:p>
    <w:p w:rsidR="00236F9B" w:rsidRDefault="005231C2">
      <w:pPr>
        <w:pStyle w:val="Odsekzoznamu"/>
        <w:widowControl w:val="0"/>
        <w:numPr>
          <w:ilvl w:val="0"/>
          <w:numId w:val="2"/>
        </w:numPr>
      </w:pPr>
      <w:r>
        <w:rPr>
          <w:rFonts w:cs="ArialNarrow"/>
          <w:sz w:val="20"/>
          <w:szCs w:val="20"/>
        </w:rPr>
        <w:t xml:space="preserve">sprostredkovateľská činnosť </w:t>
      </w:r>
    </w:p>
    <w:p w:rsidR="00C50B7A" w:rsidRPr="00C50B7A" w:rsidRDefault="00C50B7A">
      <w:pPr>
        <w:pStyle w:val="Odsekzoznamu"/>
        <w:widowControl w:val="0"/>
        <w:numPr>
          <w:ilvl w:val="0"/>
          <w:numId w:val="2"/>
        </w:numPr>
      </w:pPr>
      <w:r>
        <w:rPr>
          <w:rFonts w:cs="ArialNarrow"/>
          <w:sz w:val="20"/>
          <w:szCs w:val="20"/>
        </w:rPr>
        <w:t>výroba kovových konštrukcií a ich časti</w:t>
      </w:r>
    </w:p>
    <w:p w:rsidR="00236F9B" w:rsidRPr="00C50B7A" w:rsidRDefault="00C50B7A">
      <w:pPr>
        <w:pStyle w:val="Odsekzoznamu"/>
        <w:widowControl w:val="0"/>
        <w:numPr>
          <w:ilvl w:val="0"/>
          <w:numId w:val="2"/>
        </w:numPr>
      </w:pPr>
      <w:r w:rsidRPr="00C50B7A">
        <w:rPr>
          <w:rFonts w:cs="ArialNarrow"/>
          <w:sz w:val="20"/>
          <w:szCs w:val="20"/>
        </w:rPr>
        <w:t>poskyt</w:t>
      </w:r>
      <w:r>
        <w:rPr>
          <w:rFonts w:cs="ArialNarrow"/>
          <w:sz w:val="20"/>
          <w:szCs w:val="20"/>
        </w:rPr>
        <w:t>ovanie služieb stavebnými mechanizmami</w:t>
      </w:r>
    </w:p>
    <w:p w:rsidR="00C50B7A" w:rsidRDefault="00C50B7A">
      <w:pPr>
        <w:pStyle w:val="Odsekzoznamu"/>
        <w:widowControl w:val="0"/>
        <w:numPr>
          <w:ilvl w:val="0"/>
          <w:numId w:val="2"/>
        </w:numPr>
      </w:pPr>
      <w:r>
        <w:rPr>
          <w:rFonts w:cs="ArialNarrow"/>
          <w:sz w:val="20"/>
          <w:szCs w:val="20"/>
        </w:rPr>
        <w:t>výskum a vývoj v oblasti technických vied</w:t>
      </w:r>
    </w:p>
    <w:p w:rsidR="00236F9B" w:rsidRDefault="00236F9B">
      <w:pPr>
        <w:pStyle w:val="Odsekzoznamu"/>
        <w:widowControl w:val="0"/>
        <w:ind w:left="0"/>
      </w:pPr>
    </w:p>
    <w:p w:rsidR="00236F9B" w:rsidRDefault="005231C2">
      <w:pPr>
        <w:pStyle w:val="Vchodzie"/>
        <w:widowControl w:val="0"/>
        <w:jc w:val="both"/>
        <w:rPr>
          <w:rFonts w:ascii="Calibri" w:hAnsi="Calibri" w:cs="Calibri"/>
          <w:b/>
          <w:sz w:val="22"/>
          <w:szCs w:val="22"/>
        </w:rPr>
      </w:pPr>
      <w:r w:rsidRPr="006E57E4">
        <w:rPr>
          <w:rFonts w:ascii="Calibri" w:hAnsi="Calibri"/>
          <w:b/>
          <w:sz w:val="22"/>
          <w:szCs w:val="22"/>
        </w:rPr>
        <w:t xml:space="preserve">(2) </w:t>
      </w:r>
      <w:r w:rsidRPr="006E57E4">
        <w:rPr>
          <w:rFonts w:ascii="Calibri" w:hAnsi="Calibri" w:cs="Calibri"/>
          <w:b/>
          <w:sz w:val="22"/>
          <w:szCs w:val="22"/>
        </w:rPr>
        <w:t>Schválenie účtovnej závierky za predchádzajúce obdobie</w:t>
      </w:r>
    </w:p>
    <w:p w:rsidR="006E57E4" w:rsidRDefault="006E57E4">
      <w:pPr>
        <w:pStyle w:val="Vchodzie"/>
        <w:widowControl w:val="0"/>
        <w:jc w:val="both"/>
      </w:pPr>
    </w:p>
    <w:p w:rsidR="00236F9B" w:rsidRPr="006E57E4" w:rsidRDefault="006E57E4">
      <w:pPr>
        <w:pStyle w:val="Vchodzie"/>
        <w:widowControl w:val="0"/>
        <w:jc w:val="both"/>
        <w:rPr>
          <w:rFonts w:asciiTheme="minorHAnsi" w:hAnsiTheme="minorHAnsi" w:cstheme="minorHAnsi"/>
          <w:sz w:val="20"/>
          <w:szCs w:val="20"/>
        </w:rPr>
      </w:pPr>
      <w:r w:rsidRPr="006E57E4">
        <w:rPr>
          <w:rFonts w:asciiTheme="minorHAnsi" w:hAnsiTheme="minorHAnsi" w:cstheme="minorHAnsi"/>
          <w:sz w:val="20"/>
          <w:szCs w:val="20"/>
        </w:rPr>
        <w:t>Účtovná závierka za rok 201</w:t>
      </w:r>
      <w:r w:rsidR="007421F6">
        <w:rPr>
          <w:rFonts w:asciiTheme="minorHAnsi" w:hAnsiTheme="minorHAnsi" w:cstheme="minorHAnsi"/>
          <w:sz w:val="20"/>
          <w:szCs w:val="20"/>
        </w:rPr>
        <w:t>6</w:t>
      </w:r>
      <w:r w:rsidRPr="006E57E4">
        <w:rPr>
          <w:rFonts w:asciiTheme="minorHAnsi" w:hAnsiTheme="minorHAnsi" w:cstheme="minorHAnsi"/>
          <w:sz w:val="20"/>
          <w:szCs w:val="20"/>
        </w:rPr>
        <w:t xml:space="preserve"> bola schválená na riadnom valnom zhromaždení dňa </w:t>
      </w:r>
      <w:r w:rsidR="007421F6">
        <w:rPr>
          <w:rFonts w:asciiTheme="minorHAnsi" w:hAnsiTheme="minorHAnsi" w:cstheme="minorHAnsi"/>
          <w:sz w:val="20"/>
          <w:szCs w:val="20"/>
        </w:rPr>
        <w:t>8</w:t>
      </w:r>
      <w:r w:rsidRPr="006E57E4">
        <w:rPr>
          <w:rFonts w:asciiTheme="minorHAnsi" w:hAnsiTheme="minorHAnsi" w:cstheme="minorHAnsi"/>
          <w:sz w:val="20"/>
          <w:szCs w:val="20"/>
        </w:rPr>
        <w:t>.</w:t>
      </w:r>
      <w:r w:rsidR="007421F6">
        <w:rPr>
          <w:rFonts w:asciiTheme="minorHAnsi" w:hAnsiTheme="minorHAnsi" w:cstheme="minorHAnsi"/>
          <w:sz w:val="20"/>
          <w:szCs w:val="20"/>
        </w:rPr>
        <w:t>11</w:t>
      </w:r>
      <w:r w:rsidRPr="006E57E4">
        <w:rPr>
          <w:rFonts w:asciiTheme="minorHAnsi" w:hAnsiTheme="minorHAnsi" w:cstheme="minorHAnsi"/>
          <w:sz w:val="20"/>
          <w:szCs w:val="20"/>
        </w:rPr>
        <w:t>.201</w:t>
      </w:r>
      <w:r w:rsidR="007421F6">
        <w:rPr>
          <w:rFonts w:asciiTheme="minorHAnsi" w:hAnsiTheme="minorHAnsi" w:cstheme="minorHAnsi"/>
          <w:sz w:val="20"/>
          <w:szCs w:val="20"/>
        </w:rPr>
        <w:t>7</w:t>
      </w:r>
      <w:r w:rsidRPr="006E57E4">
        <w:rPr>
          <w:rFonts w:asciiTheme="minorHAnsi" w:hAnsiTheme="minorHAnsi" w:cstheme="minorHAnsi"/>
          <w:sz w:val="20"/>
          <w:szCs w:val="20"/>
        </w:rPr>
        <w:t>.</w:t>
      </w:r>
    </w:p>
    <w:p w:rsidR="006E57E4" w:rsidRDefault="006E57E4">
      <w:pPr>
        <w:pStyle w:val="Vchodzie"/>
        <w:jc w:val="both"/>
        <w:rPr>
          <w:rFonts w:ascii="Calibri" w:hAnsi="Calibri" w:cs="Calibri"/>
          <w:sz w:val="20"/>
          <w:szCs w:val="20"/>
          <w:shd w:val="clear" w:color="auto" w:fill="FFFF00"/>
        </w:rPr>
      </w:pPr>
    </w:p>
    <w:p w:rsidR="00236F9B" w:rsidRDefault="005231C2">
      <w:pPr>
        <w:pStyle w:val="Vchodzie"/>
        <w:jc w:val="both"/>
      </w:pPr>
      <w:r>
        <w:rPr>
          <w:rFonts w:ascii="Calibri" w:hAnsi="Calibri"/>
          <w:b/>
          <w:color w:val="00000A"/>
          <w:sz w:val="22"/>
          <w:szCs w:val="22"/>
        </w:rPr>
        <w:t>(3) Právny dôvod na zostavenie účtovnej závierky</w:t>
      </w:r>
    </w:p>
    <w:p w:rsidR="00236F9B" w:rsidRDefault="00236F9B">
      <w:pPr>
        <w:pStyle w:val="Vchodzie"/>
        <w:jc w:val="both"/>
      </w:pPr>
    </w:p>
    <w:p w:rsidR="00236F9B" w:rsidRDefault="005231C2">
      <w:pPr>
        <w:pStyle w:val="Vchodzie"/>
        <w:widowControl w:val="0"/>
        <w:jc w:val="both"/>
      </w:pPr>
      <w:r>
        <w:rPr>
          <w:rFonts w:ascii="Calibri" w:hAnsi="Calibri" w:cs="Calibri"/>
          <w:sz w:val="20"/>
          <w:szCs w:val="20"/>
        </w:rPr>
        <w:t>Účtovná závierka k 31.12.201</w:t>
      </w:r>
      <w:r w:rsidR="007421F6">
        <w:rPr>
          <w:rFonts w:ascii="Calibri" w:hAnsi="Calibri" w:cs="Calibri"/>
          <w:sz w:val="20"/>
          <w:szCs w:val="20"/>
        </w:rPr>
        <w:t>7</w:t>
      </w:r>
      <w:r>
        <w:rPr>
          <w:rFonts w:ascii="Calibri" w:hAnsi="Calibri" w:cs="Calibri"/>
          <w:sz w:val="20"/>
          <w:szCs w:val="20"/>
        </w:rPr>
        <w:t xml:space="preserve"> je zostavená ako riadna účtovná závierka podľa § 17 ods. 6 zákona NR SR č. 431/2002 Z. z. o účtovníctve, za účtovné obdobie od 1.januára 201</w:t>
      </w:r>
      <w:r w:rsidR="007421F6">
        <w:rPr>
          <w:rFonts w:ascii="Calibri" w:hAnsi="Calibri" w:cs="Calibri"/>
          <w:sz w:val="20"/>
          <w:szCs w:val="20"/>
        </w:rPr>
        <w:t>7</w:t>
      </w:r>
      <w:r>
        <w:rPr>
          <w:rFonts w:ascii="Calibri" w:hAnsi="Calibri" w:cs="Calibri"/>
          <w:sz w:val="20"/>
          <w:szCs w:val="20"/>
        </w:rPr>
        <w:t xml:space="preserve"> do 31. decembra 201</w:t>
      </w:r>
      <w:r w:rsidR="007421F6">
        <w:rPr>
          <w:rFonts w:ascii="Calibri" w:hAnsi="Calibri" w:cs="Calibri"/>
          <w:sz w:val="20"/>
          <w:szCs w:val="20"/>
        </w:rPr>
        <w:t>7</w:t>
      </w:r>
      <w:r>
        <w:rPr>
          <w:rFonts w:ascii="Calibri" w:hAnsi="Calibri" w:cs="Calibri"/>
          <w:sz w:val="20"/>
          <w:szCs w:val="20"/>
        </w:rPr>
        <w:t>,  k posle</w:t>
      </w:r>
      <w:r w:rsidR="007421F6">
        <w:rPr>
          <w:rFonts w:ascii="Calibri" w:hAnsi="Calibri" w:cs="Calibri"/>
          <w:sz w:val="20"/>
          <w:szCs w:val="20"/>
        </w:rPr>
        <w:t>dnému dňu kalendárneho roka 2017</w:t>
      </w:r>
      <w:r>
        <w:rPr>
          <w:rFonts w:ascii="Calibri" w:hAnsi="Calibri" w:cs="Calibri"/>
          <w:sz w:val="20"/>
          <w:szCs w:val="20"/>
        </w:rPr>
        <w:t xml:space="preserve">. </w:t>
      </w:r>
    </w:p>
    <w:p w:rsidR="00236F9B" w:rsidRDefault="00236F9B">
      <w:pPr>
        <w:pStyle w:val="Vchodzie"/>
        <w:jc w:val="both"/>
      </w:pPr>
    </w:p>
    <w:p w:rsidR="00236F9B" w:rsidRDefault="005231C2">
      <w:pPr>
        <w:pStyle w:val="Vchodzie"/>
        <w:jc w:val="both"/>
      </w:pPr>
      <w:r>
        <w:rPr>
          <w:rFonts w:ascii="Calibri" w:hAnsi="Calibri"/>
          <w:b/>
          <w:color w:val="00000A"/>
          <w:sz w:val="22"/>
          <w:szCs w:val="22"/>
        </w:rPr>
        <w:t xml:space="preserve">(4) Údaje o skupine účtovných jednotiek, a to: </w:t>
      </w:r>
    </w:p>
    <w:p w:rsidR="00236F9B" w:rsidRDefault="00236F9B">
      <w:pPr>
        <w:pStyle w:val="Vchodzie"/>
        <w:jc w:val="both"/>
      </w:pPr>
    </w:p>
    <w:p w:rsidR="00236F9B" w:rsidRDefault="005231C2">
      <w:pPr>
        <w:pStyle w:val="Vchodzie"/>
      </w:pPr>
      <w:r>
        <w:rPr>
          <w:rFonts w:ascii="Calibri" w:eastAsia="Times New Roman" w:hAnsi="Calibri" w:cs="Times New Roman"/>
          <w:color w:val="00000A"/>
          <w:sz w:val="20"/>
          <w:szCs w:val="20"/>
        </w:rPr>
        <w:t>Účtovná jednotka nie je súčasťou konsolidovaného celku a účtovná jednotka nie je materskou účtovnou jednotkou.</w:t>
      </w:r>
    </w:p>
    <w:p w:rsidR="00236F9B" w:rsidRDefault="00236F9B">
      <w:pPr>
        <w:pStyle w:val="Vchodzie"/>
      </w:pPr>
    </w:p>
    <w:p w:rsidR="00236F9B" w:rsidRDefault="005231C2">
      <w:pPr>
        <w:pStyle w:val="Vchodzie"/>
      </w:pPr>
      <w:r>
        <w:rPr>
          <w:rFonts w:ascii="Calibri" w:hAnsi="Calibri"/>
          <w:b/>
          <w:color w:val="00000A"/>
          <w:sz w:val="22"/>
          <w:szCs w:val="22"/>
        </w:rPr>
        <w:t>(5) Informácia o počte zamestnancov</w:t>
      </w:r>
    </w:p>
    <w:tbl>
      <w:tblPr>
        <w:tblW w:w="0" w:type="auto"/>
        <w:jc w:val="center"/>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3950"/>
        <w:gridCol w:w="2950"/>
        <w:gridCol w:w="2729"/>
      </w:tblGrid>
      <w:tr w:rsidR="00236F9B">
        <w:trPr>
          <w:jc w:val="center"/>
        </w:trPr>
        <w:tc>
          <w:tcPr>
            <w:tcW w:w="3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TopHeader"/>
            </w:pPr>
            <w:r>
              <w:rPr>
                <w:rFonts w:ascii="Calibri" w:hAnsi="Calibri" w:cs="Calibri"/>
                <w:b w:val="0"/>
                <w:sz w:val="20"/>
                <w:szCs w:val="20"/>
              </w:rPr>
              <w:t>Názov položky</w:t>
            </w:r>
          </w:p>
        </w:tc>
        <w:tc>
          <w:tcPr>
            <w:tcW w:w="2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TopHeader"/>
            </w:pPr>
            <w:r>
              <w:rPr>
                <w:rFonts w:ascii="Calibri" w:hAnsi="Calibri" w:cs="Calibri"/>
                <w:b w:val="0"/>
                <w:sz w:val="20"/>
                <w:szCs w:val="20"/>
              </w:rPr>
              <w:t>Bežné účtovné obdobie</w:t>
            </w:r>
          </w:p>
        </w:tc>
        <w:tc>
          <w:tcPr>
            <w:tcW w:w="27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TopHeader"/>
            </w:pPr>
            <w:r>
              <w:rPr>
                <w:rFonts w:ascii="Calibri" w:hAnsi="Calibri" w:cs="Calibri"/>
                <w:b w:val="0"/>
                <w:sz w:val="20"/>
                <w:szCs w:val="20"/>
              </w:rPr>
              <w:t>Bezprostredne predchádzajúce účtovné obdobie</w:t>
            </w:r>
          </w:p>
        </w:tc>
      </w:tr>
      <w:tr w:rsidR="00236F9B">
        <w:trPr>
          <w:jc w:val="center"/>
        </w:trPr>
        <w:tc>
          <w:tcPr>
            <w:tcW w:w="3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pPr>
            <w:r>
              <w:rPr>
                <w:rFonts w:ascii="Calibri" w:hAnsi="Calibri" w:cs="Calibri"/>
                <w:sz w:val="20"/>
                <w:szCs w:val="20"/>
              </w:rPr>
              <w:t>Priemerný prepočítaný počet zamestnancov</w:t>
            </w:r>
          </w:p>
        </w:tc>
        <w:tc>
          <w:tcPr>
            <w:tcW w:w="2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C50B7A" w:rsidP="007421F6">
            <w:pPr>
              <w:pStyle w:val="Vchodzie"/>
              <w:spacing w:line="360" w:lineRule="auto"/>
              <w:jc w:val="center"/>
            </w:pPr>
            <w:r>
              <w:rPr>
                <w:rFonts w:ascii="Calibri" w:hAnsi="Calibri" w:cs="Calibri"/>
                <w:sz w:val="20"/>
                <w:szCs w:val="20"/>
              </w:rPr>
              <w:t>2</w:t>
            </w:r>
            <w:r w:rsidR="007421F6">
              <w:rPr>
                <w:rFonts w:ascii="Calibri" w:hAnsi="Calibri" w:cs="Calibri"/>
                <w:sz w:val="20"/>
                <w:szCs w:val="20"/>
              </w:rPr>
              <w:t>9</w:t>
            </w:r>
          </w:p>
        </w:tc>
        <w:tc>
          <w:tcPr>
            <w:tcW w:w="27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7421F6" w:rsidP="007421F6">
            <w:pPr>
              <w:pStyle w:val="Vchodzie"/>
              <w:spacing w:line="360" w:lineRule="auto"/>
              <w:jc w:val="center"/>
            </w:pPr>
            <w:r>
              <w:rPr>
                <w:rFonts w:ascii="Calibri" w:hAnsi="Calibri" w:cs="Calibri"/>
                <w:sz w:val="20"/>
                <w:szCs w:val="20"/>
              </w:rPr>
              <w:t>26</w:t>
            </w:r>
          </w:p>
        </w:tc>
      </w:tr>
    </w:tbl>
    <w:p w:rsidR="00236F9B" w:rsidRDefault="00236F9B">
      <w:pPr>
        <w:pStyle w:val="Vchodzie"/>
      </w:pPr>
    </w:p>
    <w:p w:rsidR="00236F9B" w:rsidRDefault="00236F9B">
      <w:pPr>
        <w:pStyle w:val="Vchodzie"/>
        <w:jc w:val="center"/>
      </w:pPr>
    </w:p>
    <w:p w:rsidR="006E57E4" w:rsidRDefault="006E57E4">
      <w:pPr>
        <w:pStyle w:val="Vchodzie"/>
        <w:jc w:val="center"/>
      </w:pPr>
    </w:p>
    <w:p w:rsidR="00AF77E8" w:rsidRDefault="00AF77E8">
      <w:pPr>
        <w:pStyle w:val="Vchodzie"/>
        <w:jc w:val="center"/>
      </w:pPr>
    </w:p>
    <w:p w:rsidR="00AF77E8" w:rsidRDefault="00AF77E8">
      <w:pPr>
        <w:pStyle w:val="Vchodzie"/>
        <w:jc w:val="center"/>
      </w:pPr>
    </w:p>
    <w:p w:rsidR="00C50B7A" w:rsidRDefault="00C50B7A">
      <w:pPr>
        <w:pStyle w:val="Vchodzie"/>
        <w:jc w:val="center"/>
        <w:rPr>
          <w:rFonts w:ascii="Calibri" w:hAnsi="Calibri"/>
          <w:b/>
          <w:bCs/>
          <w:color w:val="00000A"/>
          <w:sz w:val="22"/>
          <w:szCs w:val="22"/>
        </w:rPr>
      </w:pPr>
    </w:p>
    <w:p w:rsidR="00236F9B" w:rsidRDefault="005231C2">
      <w:pPr>
        <w:pStyle w:val="Vchodzie"/>
        <w:jc w:val="center"/>
      </w:pPr>
      <w:r>
        <w:rPr>
          <w:rFonts w:ascii="Calibri" w:hAnsi="Calibri"/>
          <w:b/>
          <w:bCs/>
          <w:color w:val="00000A"/>
          <w:sz w:val="22"/>
          <w:szCs w:val="22"/>
        </w:rPr>
        <w:lastRenderedPageBreak/>
        <w:t>II. Informácie o orgánoch spoločnosti</w:t>
      </w:r>
    </w:p>
    <w:p w:rsidR="00236F9B" w:rsidRDefault="00236F9B">
      <w:pPr>
        <w:pStyle w:val="Vchodzie"/>
        <w:jc w:val="center"/>
      </w:pPr>
    </w:p>
    <w:p w:rsidR="00236F9B" w:rsidRDefault="005231C2">
      <w:pPr>
        <w:pStyle w:val="Vchodzie"/>
      </w:pPr>
      <w:r>
        <w:rPr>
          <w:rFonts w:ascii="Calibri" w:hAnsi="Calibri"/>
          <w:b/>
          <w:color w:val="00000A"/>
          <w:sz w:val="22"/>
          <w:szCs w:val="22"/>
        </w:rPr>
        <w:t>Informácie o orgánoch účtovnej jednotky</w:t>
      </w:r>
    </w:p>
    <w:p w:rsidR="00236F9B" w:rsidRDefault="00236F9B">
      <w:pPr>
        <w:pStyle w:val="Vchodzie"/>
      </w:pPr>
    </w:p>
    <w:p w:rsidR="00236F9B" w:rsidRDefault="005231C2">
      <w:pPr>
        <w:pStyle w:val="Vchodzie"/>
        <w:jc w:val="both"/>
        <w:rPr>
          <w:rFonts w:ascii="Calibri" w:hAnsi="Calibri"/>
          <w:bCs/>
          <w:color w:val="00000A"/>
          <w:sz w:val="20"/>
          <w:szCs w:val="20"/>
        </w:rPr>
      </w:pPr>
      <w:r>
        <w:rPr>
          <w:rFonts w:ascii="Calibri" w:hAnsi="Calibri"/>
          <w:bCs/>
          <w:color w:val="00000A"/>
          <w:sz w:val="20"/>
          <w:szCs w:val="20"/>
        </w:rPr>
        <w:t>Členovia štatutárneho orgánu spoločnosti nepoberali žiadne príjmy za výkon svojej funkcie člena tohto</w:t>
      </w:r>
      <w:r w:rsidR="006E57E4">
        <w:rPr>
          <w:rFonts w:ascii="Calibri" w:hAnsi="Calibri"/>
          <w:bCs/>
          <w:color w:val="00000A"/>
          <w:sz w:val="20"/>
          <w:szCs w:val="20"/>
        </w:rPr>
        <w:t xml:space="preserve"> </w:t>
      </w:r>
      <w:r>
        <w:rPr>
          <w:rFonts w:ascii="Calibri" w:hAnsi="Calibri"/>
          <w:bCs/>
          <w:color w:val="00000A"/>
          <w:sz w:val="20"/>
          <w:szCs w:val="20"/>
        </w:rPr>
        <w:t>orgánu ani im neboli poskytnuté žiadne pôžičky alebo záruky.</w:t>
      </w:r>
    </w:p>
    <w:p w:rsidR="006E57E4" w:rsidRDefault="006E57E4">
      <w:pPr>
        <w:pStyle w:val="Vchodzie"/>
        <w:jc w:val="both"/>
      </w:pPr>
    </w:p>
    <w:p w:rsidR="00236F9B" w:rsidRDefault="005231C2">
      <w:pPr>
        <w:pStyle w:val="Vchodzie"/>
        <w:jc w:val="center"/>
      </w:pPr>
      <w:r>
        <w:rPr>
          <w:rFonts w:ascii="Calibri" w:hAnsi="Calibri"/>
          <w:b/>
          <w:bCs/>
          <w:color w:val="00000A"/>
          <w:sz w:val="22"/>
          <w:szCs w:val="22"/>
        </w:rPr>
        <w:t xml:space="preserve"> III. Informácie o prijatých postupoch</w:t>
      </w:r>
    </w:p>
    <w:p w:rsidR="00236F9B" w:rsidRDefault="00236F9B">
      <w:pPr>
        <w:pStyle w:val="Vchodzie"/>
        <w:jc w:val="center"/>
      </w:pPr>
    </w:p>
    <w:p w:rsidR="00236F9B" w:rsidRDefault="005231C2">
      <w:pPr>
        <w:pStyle w:val="Vchodzie"/>
        <w:jc w:val="both"/>
      </w:pPr>
      <w:r>
        <w:rPr>
          <w:rFonts w:ascii="Calibri" w:hAnsi="Calibri"/>
          <w:sz w:val="20"/>
          <w:szCs w:val="20"/>
        </w:rPr>
        <w:t>(1) Účtovná závierka spoločnosti bola zostavená za predpokladu nepretržitého trvania jej činnosti v súlade so zákonom o účtovníctve platným v Slovenskej republike a nadväzujúcimi postupmi účtovania.</w:t>
      </w:r>
    </w:p>
    <w:p w:rsidR="00236F9B" w:rsidRDefault="00236F9B">
      <w:pPr>
        <w:pStyle w:val="Vchodzie"/>
        <w:jc w:val="both"/>
      </w:pPr>
    </w:p>
    <w:p w:rsidR="00236F9B" w:rsidRDefault="005231C2">
      <w:pPr>
        <w:pStyle w:val="Vchodzie"/>
        <w:jc w:val="both"/>
      </w:pPr>
      <w:r>
        <w:rPr>
          <w:rFonts w:ascii="Calibri" w:hAnsi="Calibri" w:cs="Calibri"/>
          <w:bCs/>
          <w:sz w:val="20"/>
          <w:szCs w:val="20"/>
          <w:lang w:eastAsia="cs-CZ"/>
        </w:rPr>
        <w:t>Účtovníctvo spoločnosť vedie na základe dodržania časovej a vecnej súvislosti nákladov a výnosov. Za základ sa berú všetky náklady a výnosy, ktoré sa vzťahujú na účtovné obdobie bez ohľadu na dátum ich platenia.</w:t>
      </w:r>
    </w:p>
    <w:p w:rsidR="00236F9B" w:rsidRDefault="00236F9B">
      <w:pPr>
        <w:pStyle w:val="Vchodzie"/>
        <w:jc w:val="both"/>
      </w:pPr>
    </w:p>
    <w:p w:rsidR="00236F9B" w:rsidRDefault="005231C2">
      <w:pPr>
        <w:pStyle w:val="Vchodzie"/>
        <w:jc w:val="both"/>
      </w:pPr>
      <w:r>
        <w:rPr>
          <w:rFonts w:ascii="Calibri" w:hAnsi="Calibri" w:cs="Calibri"/>
          <w:bCs/>
          <w:sz w:val="20"/>
          <w:szCs w:val="20"/>
          <w:lang w:eastAsia="cs-CZ"/>
        </w:rPr>
        <w:t>Peňažné údaje v účtovnej závierke sú uvedené v celých EUR.</w:t>
      </w:r>
    </w:p>
    <w:p w:rsidR="00236F9B" w:rsidRDefault="00236F9B">
      <w:pPr>
        <w:pStyle w:val="Vchodzie"/>
        <w:jc w:val="both"/>
      </w:pPr>
    </w:p>
    <w:p w:rsidR="00236F9B" w:rsidRDefault="005231C2">
      <w:pPr>
        <w:pStyle w:val="Vchodzie"/>
        <w:jc w:val="both"/>
      </w:pPr>
      <w:r>
        <w:rPr>
          <w:rFonts w:ascii="Calibri" w:hAnsi="Calibri"/>
          <w:color w:val="00000A"/>
          <w:sz w:val="22"/>
          <w:szCs w:val="22"/>
        </w:rPr>
        <w:t xml:space="preserve"> (2) Zmena metód účtovania a zásad účtovania</w:t>
      </w:r>
    </w:p>
    <w:p w:rsidR="00236F9B" w:rsidRDefault="00236F9B">
      <w:pPr>
        <w:pStyle w:val="Vchodzie"/>
        <w:jc w:val="both"/>
      </w:pPr>
    </w:p>
    <w:p w:rsidR="00236F9B" w:rsidRDefault="005231C2">
      <w:pPr>
        <w:pStyle w:val="Vchodzie"/>
        <w:jc w:val="both"/>
      </w:pPr>
      <w:r>
        <w:rPr>
          <w:rFonts w:ascii="Calibri" w:eastAsia="Times New Roman" w:hAnsi="Calibri" w:cs="Calibri"/>
          <w:bCs/>
          <w:color w:val="00000A"/>
          <w:sz w:val="20"/>
          <w:szCs w:val="20"/>
          <w:lang w:eastAsia="cs-CZ"/>
        </w:rPr>
        <w:t>Účtovné metódy a všeobecné účtovné zásady spoločnosť aplikovala konzistentne s predchádzajúcim účtovným obdobím.</w:t>
      </w:r>
    </w:p>
    <w:p w:rsidR="00236F9B" w:rsidRDefault="00236F9B">
      <w:pPr>
        <w:pStyle w:val="Vchodzie"/>
        <w:jc w:val="both"/>
      </w:pPr>
    </w:p>
    <w:p w:rsidR="00236F9B" w:rsidRDefault="005231C2">
      <w:pPr>
        <w:pStyle w:val="Vchodzie"/>
        <w:jc w:val="both"/>
      </w:pPr>
      <w:r>
        <w:rPr>
          <w:rFonts w:ascii="Calibri" w:hAnsi="Calibri"/>
          <w:color w:val="00000A"/>
          <w:sz w:val="22"/>
          <w:szCs w:val="22"/>
        </w:rPr>
        <w:t xml:space="preserve">(3) Informácia o ocenení majetku a záväzkov </w:t>
      </w:r>
    </w:p>
    <w:p w:rsidR="00236F9B" w:rsidRDefault="00236F9B">
      <w:pPr>
        <w:pStyle w:val="Vchodzie"/>
        <w:jc w:val="both"/>
      </w:pPr>
    </w:p>
    <w:p w:rsidR="00236F9B" w:rsidRDefault="005231C2">
      <w:pPr>
        <w:pStyle w:val="Vchodzie"/>
        <w:spacing w:after="120"/>
        <w:jc w:val="both"/>
      </w:pPr>
      <w:r>
        <w:rPr>
          <w:rFonts w:ascii="Calibri" w:hAnsi="Calibri" w:cs="Calibri"/>
          <w:b/>
          <w:sz w:val="22"/>
          <w:szCs w:val="22"/>
        </w:rPr>
        <w:t>1. Dlhodobý nehmotný a dlhodobý hmotný majetok</w:t>
      </w:r>
    </w:p>
    <w:p w:rsidR="00236F9B" w:rsidRDefault="005231C2">
      <w:pPr>
        <w:pStyle w:val="Vchodzie"/>
        <w:spacing w:after="120"/>
        <w:jc w:val="both"/>
      </w:pPr>
      <w:r>
        <w:rPr>
          <w:rFonts w:ascii="Calibri" w:hAnsi="Calibri" w:cs="Calibri"/>
          <w:sz w:val="20"/>
          <w:szCs w:val="20"/>
        </w:rPr>
        <w:t xml:space="preserve">Dlhodobý majetok nakupovaný sa oceňuje obstarávacou cenou, ktorá zahrňuje cenu, za ktorú sa majetok obstaral a náklady súvisiace s obstaraním (clo, prepravu, montáž, poistné a pod.). </w:t>
      </w:r>
    </w:p>
    <w:p w:rsidR="00236F9B" w:rsidRDefault="005231C2">
      <w:pPr>
        <w:pStyle w:val="Vchodzie"/>
        <w:spacing w:after="120"/>
        <w:jc w:val="both"/>
      </w:pPr>
      <w:r>
        <w:rPr>
          <w:rFonts w:ascii="Calibri" w:hAnsi="Calibri" w:cs="Calibri"/>
          <w:sz w:val="20"/>
          <w:szCs w:val="20"/>
        </w:rPr>
        <w:t xml:space="preserve">Dlhodobý nehmotný a dlhodobý hmotný majetok sa odpisuje podľa odpisového plánu, ktorý bol zostavený na základe predpokladanej doby jeho používania zodpovedajúcej spotrebe budúcich ekonomických úžitkov z majetku. Odpisovať sa začína v mesiaci uvedenia  majetku do používania. </w:t>
      </w:r>
    </w:p>
    <w:p w:rsidR="00236F9B" w:rsidRDefault="005231C2">
      <w:pPr>
        <w:pStyle w:val="Vchodzie"/>
        <w:spacing w:after="120"/>
        <w:jc w:val="both"/>
      </w:pPr>
      <w:r>
        <w:rPr>
          <w:rFonts w:ascii="Calibri" w:hAnsi="Calibri" w:cs="Calibri"/>
          <w:sz w:val="20"/>
          <w:szCs w:val="20"/>
        </w:rPr>
        <w:t>Predpokladaná doba používania, metóda odpisovania a odpisová sadzba sú uvedené v nasledujúcej tabuľke:</w:t>
      </w:r>
    </w:p>
    <w:tbl>
      <w:tblPr>
        <w:tblW w:w="9603" w:type="dxa"/>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4214"/>
        <w:gridCol w:w="1011"/>
        <w:gridCol w:w="2104"/>
        <w:gridCol w:w="2274"/>
      </w:tblGrid>
      <w:tr w:rsidR="00236F9B" w:rsidTr="006E57E4">
        <w:tc>
          <w:tcPr>
            <w:tcW w:w="42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b/>
                <w:sz w:val="20"/>
                <w:szCs w:val="20"/>
              </w:rPr>
              <w:t>Dlhodobý hmotný a nehmotný</w:t>
            </w:r>
          </w:p>
          <w:p w:rsidR="00236F9B" w:rsidRDefault="005231C2">
            <w:pPr>
              <w:pStyle w:val="Vchodzie"/>
              <w:jc w:val="center"/>
            </w:pPr>
            <w:r>
              <w:rPr>
                <w:rFonts w:ascii="Calibri" w:hAnsi="Calibri" w:cs="Calibri"/>
                <w:b/>
                <w:sz w:val="20"/>
                <w:szCs w:val="20"/>
              </w:rPr>
              <w:t>odpisovaný majetok</w:t>
            </w:r>
          </w:p>
        </w:tc>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b/>
                <w:sz w:val="20"/>
                <w:szCs w:val="20"/>
              </w:rPr>
              <w:t>číslo</w:t>
            </w:r>
          </w:p>
          <w:p w:rsidR="00236F9B" w:rsidRDefault="005231C2">
            <w:pPr>
              <w:pStyle w:val="Vchodzie"/>
              <w:jc w:val="center"/>
            </w:pPr>
            <w:r>
              <w:rPr>
                <w:rFonts w:ascii="Calibri" w:hAnsi="Calibri" w:cs="Calibri"/>
                <w:b/>
                <w:sz w:val="20"/>
                <w:szCs w:val="20"/>
              </w:rPr>
              <w:t>účtu</w:t>
            </w: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b/>
                <w:sz w:val="20"/>
                <w:szCs w:val="20"/>
              </w:rPr>
              <w:t>doba odpisovania</w:t>
            </w:r>
          </w:p>
          <w:p w:rsidR="00236F9B" w:rsidRDefault="005231C2">
            <w:pPr>
              <w:pStyle w:val="Vchodzie"/>
              <w:jc w:val="center"/>
            </w:pPr>
            <w:r>
              <w:rPr>
                <w:rFonts w:ascii="Calibri" w:hAnsi="Calibri" w:cs="Calibri"/>
                <w:b/>
                <w:sz w:val="20"/>
                <w:szCs w:val="20"/>
              </w:rPr>
              <w:t>(počet rokov)</w:t>
            </w:r>
          </w:p>
        </w:tc>
        <w:tc>
          <w:tcPr>
            <w:tcW w:w="2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b/>
                <w:sz w:val="20"/>
                <w:szCs w:val="20"/>
              </w:rPr>
              <w:t xml:space="preserve">odpisová skupina </w:t>
            </w:r>
          </w:p>
          <w:p w:rsidR="00236F9B" w:rsidRDefault="005231C2">
            <w:pPr>
              <w:pStyle w:val="Vchodzie"/>
              <w:jc w:val="center"/>
            </w:pPr>
            <w:r>
              <w:rPr>
                <w:rFonts w:ascii="Calibri" w:hAnsi="Calibri" w:cs="Calibri"/>
                <w:b/>
                <w:sz w:val="20"/>
                <w:szCs w:val="20"/>
              </w:rPr>
              <w:t>-sadzba v %</w:t>
            </w:r>
          </w:p>
        </w:tc>
      </w:tr>
      <w:tr w:rsidR="00236F9B" w:rsidTr="006E57E4">
        <w:tc>
          <w:tcPr>
            <w:tcW w:w="42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236F9B" w:rsidP="00C50B7A">
            <w:pPr>
              <w:pStyle w:val="Vchodzie"/>
              <w:jc w:val="both"/>
            </w:pPr>
          </w:p>
        </w:tc>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236F9B">
            <w:pPr>
              <w:pStyle w:val="Vchodzie"/>
              <w:jc w:val="cente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236F9B">
            <w:pPr>
              <w:pStyle w:val="Vchodzie"/>
              <w:jc w:val="center"/>
            </w:pPr>
          </w:p>
        </w:tc>
        <w:tc>
          <w:tcPr>
            <w:tcW w:w="2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236F9B">
            <w:pPr>
              <w:pStyle w:val="Vchodzie"/>
              <w:jc w:val="center"/>
            </w:pPr>
          </w:p>
        </w:tc>
      </w:tr>
      <w:tr w:rsidR="00236F9B" w:rsidTr="006E57E4">
        <w:tc>
          <w:tcPr>
            <w:tcW w:w="42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rsidP="00BB5B35">
            <w:pPr>
              <w:pStyle w:val="Vchodzie"/>
              <w:jc w:val="both"/>
            </w:pPr>
            <w:r>
              <w:rPr>
                <w:rFonts w:ascii="Calibri" w:hAnsi="Calibri" w:cs="Calibri"/>
                <w:sz w:val="20"/>
                <w:szCs w:val="20"/>
              </w:rPr>
              <w:t>Stavby</w:t>
            </w:r>
            <w:r w:rsidR="00BB5B35">
              <w:rPr>
                <w:rFonts w:ascii="Calibri" w:hAnsi="Calibri" w:cs="Calibri"/>
                <w:sz w:val="20"/>
                <w:szCs w:val="20"/>
              </w:rPr>
              <w:t xml:space="preserve"> </w:t>
            </w:r>
          </w:p>
        </w:tc>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021</w:t>
            </w: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20,40</w:t>
            </w:r>
          </w:p>
        </w:tc>
        <w:tc>
          <w:tcPr>
            <w:tcW w:w="2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 xml:space="preserve">     5,6 - 5 / 2,5 %</w:t>
            </w:r>
          </w:p>
        </w:tc>
      </w:tr>
      <w:tr w:rsidR="00236F9B" w:rsidTr="006E57E4">
        <w:tc>
          <w:tcPr>
            <w:tcW w:w="42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both"/>
            </w:pPr>
            <w:r>
              <w:rPr>
                <w:rFonts w:ascii="Calibri" w:hAnsi="Calibri" w:cs="Calibri"/>
                <w:sz w:val="20"/>
                <w:szCs w:val="20"/>
              </w:rPr>
              <w:t>Dopravné prostriedky</w:t>
            </w:r>
          </w:p>
        </w:tc>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022</w:t>
            </w: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4</w:t>
            </w:r>
          </w:p>
        </w:tc>
        <w:tc>
          <w:tcPr>
            <w:tcW w:w="2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25 %</w:t>
            </w:r>
          </w:p>
        </w:tc>
      </w:tr>
      <w:tr w:rsidR="00236F9B" w:rsidTr="006E57E4">
        <w:tc>
          <w:tcPr>
            <w:tcW w:w="42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both"/>
            </w:pPr>
            <w:r>
              <w:rPr>
                <w:rFonts w:ascii="Calibri" w:hAnsi="Calibri" w:cs="Calibri"/>
                <w:sz w:val="20"/>
                <w:szCs w:val="20"/>
              </w:rPr>
              <w:t>Ostatné stroje</w:t>
            </w:r>
          </w:p>
        </w:tc>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022.A</w:t>
            </w: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6,8,12</w:t>
            </w:r>
          </w:p>
        </w:tc>
        <w:tc>
          <w:tcPr>
            <w:tcW w:w="2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2,3,4 -16,6/12,5/8,3 %</w:t>
            </w:r>
          </w:p>
        </w:tc>
      </w:tr>
    </w:tbl>
    <w:p w:rsidR="00236F9B" w:rsidRPr="005E51F3" w:rsidRDefault="00236F9B">
      <w:pPr>
        <w:pStyle w:val="Telotextu"/>
        <w:rPr>
          <w:color w:val="auto"/>
        </w:rPr>
      </w:pPr>
    </w:p>
    <w:p w:rsidR="001E1BAA" w:rsidRPr="005E51F3" w:rsidRDefault="001E1BAA">
      <w:pPr>
        <w:pStyle w:val="Telotextu"/>
        <w:rPr>
          <w:rFonts w:asciiTheme="minorHAnsi" w:hAnsiTheme="minorHAnsi" w:cstheme="minorHAnsi"/>
          <w:b w:val="0"/>
          <w:color w:val="auto"/>
          <w:sz w:val="20"/>
          <w:szCs w:val="20"/>
        </w:rPr>
      </w:pPr>
      <w:r w:rsidRPr="005E51F3">
        <w:rPr>
          <w:rFonts w:asciiTheme="minorHAnsi" w:hAnsiTheme="minorHAnsi" w:cstheme="minorHAnsi"/>
          <w:b w:val="0"/>
          <w:color w:val="auto"/>
          <w:sz w:val="20"/>
          <w:szCs w:val="20"/>
        </w:rPr>
        <w:t>Doba životnosti a odpisové metódy sa preverujú raz ročne a posudzuje sa doba odpisovania s očakávaným prínosom ekonomických úžitkov z dlhodobého majetku.</w:t>
      </w:r>
    </w:p>
    <w:p w:rsidR="00236F9B" w:rsidRDefault="005231C2">
      <w:pPr>
        <w:pStyle w:val="Vchodzie"/>
        <w:spacing w:after="120"/>
        <w:jc w:val="both"/>
      </w:pPr>
      <w:r>
        <w:rPr>
          <w:rFonts w:ascii="Calibri" w:hAnsi="Calibri" w:cs="Calibri"/>
          <w:sz w:val="20"/>
          <w:szCs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236F9B" w:rsidRDefault="005231C2">
      <w:pPr>
        <w:pStyle w:val="Vchodzie"/>
        <w:spacing w:after="120"/>
        <w:jc w:val="both"/>
      </w:pPr>
      <w:r>
        <w:rPr>
          <w:rFonts w:ascii="Calibri" w:hAnsi="Calibri" w:cs="Calibri"/>
          <w:b/>
          <w:sz w:val="22"/>
          <w:szCs w:val="22"/>
        </w:rPr>
        <w:t>2. Zásoby</w:t>
      </w:r>
    </w:p>
    <w:p w:rsidR="00236F9B" w:rsidRDefault="005231C2">
      <w:pPr>
        <w:pStyle w:val="Vchodzie"/>
        <w:spacing w:after="120"/>
        <w:jc w:val="both"/>
      </w:pPr>
      <w:r>
        <w:rPr>
          <w:rFonts w:ascii="Calibri" w:hAnsi="Calibri" w:cs="Calibri"/>
          <w:sz w:val="20"/>
          <w:szCs w:val="20"/>
        </w:rPr>
        <w:t>Zásoby nakupované sa oceňujú obstarávacou cenou</w:t>
      </w:r>
      <w:r w:rsidR="008A014B">
        <w:rPr>
          <w:rFonts w:ascii="Calibri" w:hAnsi="Calibri" w:cs="Calibri"/>
          <w:sz w:val="20"/>
          <w:szCs w:val="20"/>
        </w:rPr>
        <w:t xml:space="preserve">. </w:t>
      </w:r>
      <w:r w:rsidR="008A014B" w:rsidRPr="008A014B">
        <w:rPr>
          <w:rFonts w:ascii="Calibri" w:hAnsi="Calibri" w:cs="Calibri"/>
          <w:sz w:val="20"/>
          <w:szCs w:val="20"/>
        </w:rPr>
        <w:t xml:space="preserve">Obstarávacia cena zásob </w:t>
      </w:r>
      <w:r w:rsidR="00C50B7A">
        <w:rPr>
          <w:rFonts w:ascii="Calibri" w:hAnsi="Calibri" w:cs="Calibri"/>
          <w:sz w:val="20"/>
          <w:szCs w:val="20"/>
        </w:rPr>
        <w:t xml:space="preserve">je vrátane nákladov na dopravu </w:t>
      </w:r>
      <w:r w:rsidR="008A014B" w:rsidRPr="008A014B">
        <w:rPr>
          <w:rFonts w:ascii="Calibri" w:hAnsi="Calibri" w:cs="Calibri"/>
          <w:sz w:val="20"/>
          <w:szCs w:val="20"/>
        </w:rPr>
        <w:t>a</w:t>
      </w:r>
      <w:r w:rsidR="00C50B7A">
        <w:rPr>
          <w:rFonts w:ascii="Calibri" w:hAnsi="Calibri" w:cs="Calibri"/>
          <w:sz w:val="20"/>
          <w:szCs w:val="20"/>
        </w:rPr>
        <w:t> preto sa cena ner</w:t>
      </w:r>
      <w:r w:rsidR="008A014B" w:rsidRPr="008A014B">
        <w:rPr>
          <w:rFonts w:ascii="Calibri" w:hAnsi="Calibri" w:cs="Calibri"/>
          <w:sz w:val="20"/>
          <w:szCs w:val="20"/>
        </w:rPr>
        <w:t>ozdeľuje na cenu</w:t>
      </w:r>
      <w:r w:rsidR="008A014B">
        <w:rPr>
          <w:rFonts w:ascii="Calibri" w:hAnsi="Calibri" w:cs="Calibri"/>
          <w:sz w:val="20"/>
          <w:szCs w:val="20"/>
        </w:rPr>
        <w:t>,</w:t>
      </w:r>
      <w:r w:rsidR="008A014B" w:rsidRPr="008A014B">
        <w:rPr>
          <w:rFonts w:ascii="Calibri" w:hAnsi="Calibri" w:cs="Calibri"/>
          <w:sz w:val="20"/>
          <w:szCs w:val="20"/>
        </w:rPr>
        <w:t xml:space="preserve"> za ktoré sa zásoby obstarali a náklady súvisiace s obstaraním(VON)</w:t>
      </w:r>
      <w:r w:rsidR="008A014B">
        <w:rPr>
          <w:rFonts w:ascii="Calibri" w:hAnsi="Calibri" w:cs="Calibri"/>
          <w:sz w:val="20"/>
          <w:szCs w:val="20"/>
        </w:rPr>
        <w:t xml:space="preserve"> vo výške prepravného</w:t>
      </w:r>
      <w:r w:rsidR="008A014B" w:rsidRPr="008A014B">
        <w:rPr>
          <w:rFonts w:ascii="Calibri" w:hAnsi="Calibri" w:cs="Calibri"/>
          <w:sz w:val="20"/>
          <w:szCs w:val="20"/>
        </w:rPr>
        <w:t>.</w:t>
      </w:r>
      <w:r w:rsidR="008A014B">
        <w:rPr>
          <w:rFonts w:ascii="Calibri" w:hAnsi="Calibri" w:cs="Calibri"/>
          <w:sz w:val="20"/>
          <w:szCs w:val="20"/>
        </w:rPr>
        <w:t xml:space="preserve"> Ostatné náklady súvisiace s obstaraním ako </w:t>
      </w:r>
      <w:r>
        <w:rPr>
          <w:rFonts w:ascii="Calibri" w:hAnsi="Calibri" w:cs="Calibri"/>
          <w:sz w:val="20"/>
          <w:szCs w:val="20"/>
        </w:rPr>
        <w:t>clo, poistné, provízie a pod. znížené o zľavy z</w:t>
      </w:r>
      <w:r w:rsidR="008A014B">
        <w:rPr>
          <w:rFonts w:ascii="Calibri" w:hAnsi="Calibri" w:cs="Calibri"/>
          <w:sz w:val="20"/>
          <w:szCs w:val="20"/>
        </w:rPr>
        <w:t> </w:t>
      </w:r>
      <w:r>
        <w:rPr>
          <w:rFonts w:ascii="Calibri" w:hAnsi="Calibri" w:cs="Calibri"/>
          <w:sz w:val="20"/>
          <w:szCs w:val="20"/>
        </w:rPr>
        <w:t>ceny</w:t>
      </w:r>
      <w:r w:rsidR="008A014B">
        <w:rPr>
          <w:rFonts w:ascii="Calibri" w:hAnsi="Calibri" w:cs="Calibri"/>
          <w:sz w:val="20"/>
          <w:szCs w:val="20"/>
        </w:rPr>
        <w:t>, sú súčasťou obstarávacej ceny nakupovaných zásob</w:t>
      </w:r>
      <w:r>
        <w:rPr>
          <w:rFonts w:ascii="Calibri" w:hAnsi="Calibri" w:cs="Calibri"/>
          <w:sz w:val="20"/>
          <w:szCs w:val="20"/>
        </w:rPr>
        <w:t xml:space="preserve">.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 </w:t>
      </w:r>
    </w:p>
    <w:p w:rsidR="00236F9B" w:rsidRDefault="005231C2">
      <w:pPr>
        <w:pStyle w:val="Vchodzie"/>
        <w:spacing w:after="120"/>
        <w:jc w:val="both"/>
      </w:pPr>
      <w:r>
        <w:rPr>
          <w:rFonts w:ascii="Calibri" w:hAnsi="Calibri" w:cs="Calibri"/>
          <w:sz w:val="20"/>
          <w:szCs w:val="20"/>
        </w:rPr>
        <w:t xml:space="preserve">V prípade prechodného zníženia úžitkovej hodnoty zásob sa tvorí opravná položka. </w:t>
      </w:r>
    </w:p>
    <w:p w:rsidR="00236F9B" w:rsidRDefault="005231C2">
      <w:pPr>
        <w:pStyle w:val="Vchodzie"/>
        <w:spacing w:after="120"/>
        <w:jc w:val="both"/>
      </w:pPr>
      <w:r>
        <w:rPr>
          <w:rFonts w:ascii="Calibri" w:hAnsi="Calibri" w:cs="Calibri"/>
          <w:sz w:val="20"/>
          <w:szCs w:val="20"/>
        </w:rPr>
        <w:lastRenderedPageBreak/>
        <w:t xml:space="preserve">Zásoby vytvorené vlastnou činnosťou oceňuje účtovná jednotka na úrovni vlastných nákladov vo svojej skutočnej výške, alebo vo výške vlastných nákladov podľa operatívnych (plánových) kalkulácií. </w:t>
      </w:r>
    </w:p>
    <w:p w:rsidR="00C50B7A" w:rsidRDefault="00C50B7A">
      <w:pPr>
        <w:pStyle w:val="Vchodzie"/>
        <w:spacing w:after="120"/>
        <w:jc w:val="both"/>
        <w:rPr>
          <w:rFonts w:ascii="Calibri" w:hAnsi="Calibri" w:cs="Calibri"/>
          <w:sz w:val="20"/>
          <w:szCs w:val="20"/>
        </w:rPr>
      </w:pPr>
    </w:p>
    <w:p w:rsidR="00236F9B" w:rsidRDefault="005231C2">
      <w:pPr>
        <w:pStyle w:val="Vchodzie"/>
        <w:spacing w:after="120"/>
        <w:jc w:val="both"/>
      </w:pPr>
      <w:r>
        <w:rPr>
          <w:rFonts w:ascii="Calibri" w:hAnsi="Calibri" w:cs="Calibri"/>
          <w:sz w:val="20"/>
          <w:szCs w:val="20"/>
        </w:rPr>
        <w:t>Vlastné náklady zahŕňajú:</w:t>
      </w:r>
    </w:p>
    <w:p w:rsidR="00236F9B" w:rsidRDefault="005231C2">
      <w:pPr>
        <w:pStyle w:val="Vchodzie"/>
        <w:spacing w:after="120"/>
        <w:jc w:val="both"/>
      </w:pPr>
      <w:r>
        <w:rPr>
          <w:rFonts w:ascii="Calibri" w:hAnsi="Calibri" w:cs="Calibri"/>
          <w:sz w:val="20"/>
          <w:szCs w:val="20"/>
        </w:rPr>
        <w:t xml:space="preserve">▪ priame náklady (priamy materiál, priame mzdy a ostatné priame náklady)  a </w:t>
      </w:r>
    </w:p>
    <w:p w:rsidR="00236F9B" w:rsidRDefault="005231C2">
      <w:pPr>
        <w:pStyle w:val="Vchodzie"/>
        <w:spacing w:after="120"/>
        <w:jc w:val="both"/>
      </w:pPr>
      <w:r>
        <w:rPr>
          <w:rFonts w:ascii="Calibri" w:hAnsi="Calibri" w:cs="Calibri"/>
          <w:sz w:val="20"/>
          <w:szCs w:val="20"/>
        </w:rPr>
        <w:t xml:space="preserve">▪ časť nepriamych nákladov, ktorá sa vzťahuje na výrobu (výrobná réžia). </w:t>
      </w:r>
    </w:p>
    <w:p w:rsidR="00236F9B" w:rsidRDefault="005231C2">
      <w:pPr>
        <w:pStyle w:val="Vchodzie"/>
        <w:spacing w:after="120"/>
        <w:jc w:val="both"/>
        <w:rPr>
          <w:rFonts w:ascii="Calibri" w:hAnsi="Calibri" w:cs="Calibri"/>
          <w:sz w:val="20"/>
          <w:szCs w:val="20"/>
        </w:rPr>
      </w:pPr>
      <w:r>
        <w:rPr>
          <w:rFonts w:ascii="Calibri" w:hAnsi="Calibri" w:cs="Calibri"/>
          <w:sz w:val="20"/>
          <w:szCs w:val="20"/>
        </w:rPr>
        <w:t>Výrobná réžia sa do vlastných nákladov zahŕňa v závislosti od stupňa rozpracovanosti týchto zásob. Správna réžia a odbytové náklady nie sú súčasťou vlastných nákladov. Súčasťou vlastných nákladov nie sú úroky z cudzích zdrojov.</w:t>
      </w:r>
    </w:p>
    <w:p w:rsidR="00236F9B" w:rsidRDefault="005231C2">
      <w:pPr>
        <w:pStyle w:val="Vchodzie"/>
        <w:spacing w:after="120"/>
        <w:jc w:val="both"/>
      </w:pPr>
      <w:r>
        <w:rPr>
          <w:rFonts w:ascii="Calibri" w:hAnsi="Calibri" w:cs="Calibri"/>
          <w:b/>
          <w:sz w:val="22"/>
          <w:szCs w:val="22"/>
        </w:rPr>
        <w:t>3. Pohľadávky</w:t>
      </w:r>
    </w:p>
    <w:p w:rsidR="00236F9B" w:rsidRDefault="005231C2">
      <w:pPr>
        <w:pStyle w:val="Vchodzie"/>
        <w:spacing w:after="120"/>
        <w:jc w:val="both"/>
      </w:pPr>
      <w:r>
        <w:rPr>
          <w:rFonts w:ascii="Calibri" w:hAnsi="Calibri" w:cs="Calibri"/>
          <w:sz w:val="20"/>
          <w:szCs w:val="20"/>
        </w:rPr>
        <w:t>Pohľadávky sa pri ich vzniku oceňujú ich menovitou hodnotou. Opravná položka sa vytvára k pochybným a nedobytným pohľadávkam, kde existuje riziko nevymožiteľnosti pohľadávok. Spoločnosť tvorí opravné položky k pohľadávkam u týchto pohľadávok:</w:t>
      </w:r>
    </w:p>
    <w:p w:rsidR="00236F9B" w:rsidRDefault="005231C2">
      <w:pPr>
        <w:pStyle w:val="Vchodzie"/>
        <w:spacing w:after="120"/>
        <w:jc w:val="both"/>
      </w:pPr>
      <w:r>
        <w:rPr>
          <w:rFonts w:ascii="Calibri" w:hAnsi="Calibri" w:cs="Calibri"/>
          <w:sz w:val="20"/>
          <w:szCs w:val="20"/>
        </w:rPr>
        <w:t>-pohľadávok,  u ktorých sa dá predpokladať, že dlžník pohľadávku nevyrovná čiastočne alebo úplne,</w:t>
      </w:r>
    </w:p>
    <w:p w:rsidR="00236F9B" w:rsidRDefault="005231C2">
      <w:pPr>
        <w:pStyle w:val="Vchodzie"/>
        <w:spacing w:after="120"/>
        <w:jc w:val="both"/>
      </w:pPr>
      <w:r>
        <w:rPr>
          <w:rFonts w:ascii="Calibri" w:hAnsi="Calibri" w:cs="Calibri"/>
          <w:sz w:val="20"/>
          <w:szCs w:val="20"/>
        </w:rPr>
        <w:t xml:space="preserve">-pri sporných pohľadávkach, t.j. k pohľadávkam voči dlžníkom, s ktorými vedie spor o uznanie </w:t>
      </w:r>
    </w:p>
    <w:p w:rsidR="00236F9B" w:rsidRDefault="005231C2">
      <w:pPr>
        <w:pStyle w:val="Vchodzie"/>
        <w:spacing w:after="120"/>
        <w:jc w:val="both"/>
      </w:pPr>
      <w:r>
        <w:rPr>
          <w:rFonts w:ascii="Calibri" w:hAnsi="Calibri" w:cs="Calibri"/>
          <w:sz w:val="20"/>
          <w:szCs w:val="20"/>
        </w:rPr>
        <w:t>Spoločnosť tvorí opravné položky nasledovne:</w:t>
      </w:r>
    </w:p>
    <w:p w:rsidR="00236F9B" w:rsidRDefault="005231C2">
      <w:pPr>
        <w:pStyle w:val="Vchodzie"/>
        <w:spacing w:after="120"/>
        <w:jc w:val="both"/>
      </w:pPr>
      <w:r>
        <w:rPr>
          <w:rFonts w:ascii="Calibri" w:hAnsi="Calibri" w:cs="Calibri"/>
          <w:sz w:val="20"/>
          <w:szCs w:val="20"/>
        </w:rPr>
        <w:t xml:space="preserve">365 dní, </w:t>
      </w:r>
      <w:bookmarkStart w:id="0" w:name="__DdeLink__613_1483637937"/>
      <w:bookmarkEnd w:id="0"/>
      <w:r>
        <w:rPr>
          <w:rFonts w:ascii="Calibri" w:hAnsi="Calibri" w:cs="Calibri"/>
          <w:sz w:val="20"/>
          <w:szCs w:val="20"/>
        </w:rPr>
        <w:t>sa zahrnie do výdavkov do výšky 20% menovitej hodnoty pohľadávky alebo jej nesplatenej časti bez príslušenstva v zdaňovacom období v ktorom uplynula táto doba</w:t>
      </w:r>
    </w:p>
    <w:p w:rsidR="00236F9B" w:rsidRDefault="005231C2">
      <w:pPr>
        <w:pStyle w:val="Vchodzie"/>
        <w:spacing w:after="120"/>
        <w:jc w:val="both"/>
      </w:pPr>
      <w:r>
        <w:rPr>
          <w:rFonts w:ascii="Calibri" w:hAnsi="Calibri" w:cs="Calibri"/>
          <w:sz w:val="20"/>
          <w:szCs w:val="20"/>
        </w:rPr>
        <w:t>720 dní, sa zahrnie do výdavkov do výšky 50% menovitej hodnoty pohľadávky alebo jej nesplatenej časti bez príslušenstva v zdaňovacom období v ktorom uplynula táto doba</w:t>
      </w:r>
    </w:p>
    <w:p w:rsidR="00236F9B" w:rsidRDefault="005231C2">
      <w:pPr>
        <w:pStyle w:val="Vchodzie"/>
        <w:spacing w:after="120"/>
        <w:jc w:val="both"/>
      </w:pPr>
      <w:r>
        <w:rPr>
          <w:rFonts w:ascii="Calibri" w:hAnsi="Calibri" w:cs="Calibri"/>
          <w:sz w:val="20"/>
          <w:szCs w:val="20"/>
        </w:rPr>
        <w:t>1080 dní, sa zahrnie do výdavkov do výšky 100% menovitej hodnoty pohľadávky alebo jej nesplatenej časti bez príslušenstva v zdaňovacom období v ktorom uplynula táto doba</w:t>
      </w:r>
    </w:p>
    <w:p w:rsidR="00236F9B" w:rsidRDefault="005231C2">
      <w:pPr>
        <w:pStyle w:val="Vchodzie"/>
        <w:spacing w:after="120"/>
        <w:jc w:val="both"/>
      </w:pPr>
      <w:r>
        <w:rPr>
          <w:rFonts w:ascii="Calibri" w:hAnsi="Calibri" w:cs="Calibri"/>
          <w:b/>
          <w:sz w:val="22"/>
          <w:szCs w:val="22"/>
        </w:rPr>
        <w:t>4. Finančné účty</w:t>
      </w:r>
    </w:p>
    <w:p w:rsidR="00236F9B" w:rsidRDefault="005231C2">
      <w:pPr>
        <w:pStyle w:val="Vchodzie"/>
        <w:spacing w:after="120"/>
        <w:jc w:val="both"/>
      </w:pPr>
      <w:r>
        <w:rPr>
          <w:rFonts w:ascii="Calibri" w:hAnsi="Calibri" w:cs="Calibri"/>
          <w:sz w:val="20"/>
          <w:szCs w:val="20"/>
        </w:rPr>
        <w:t xml:space="preserve">Finančné účty tvorí peňažná hotovosť, zostatky na bankových účtoch a ceniny. </w:t>
      </w:r>
    </w:p>
    <w:p w:rsidR="00236F9B" w:rsidRDefault="005231C2">
      <w:pPr>
        <w:pStyle w:val="Vchodzie"/>
        <w:spacing w:after="120"/>
        <w:jc w:val="both"/>
      </w:pPr>
      <w:r>
        <w:rPr>
          <w:rFonts w:ascii="Calibri" w:hAnsi="Calibri" w:cs="Calibri"/>
          <w:b/>
          <w:sz w:val="22"/>
          <w:szCs w:val="22"/>
        </w:rPr>
        <w:t>5. Náklady budúcich období a príjmy budúcich období</w:t>
      </w:r>
    </w:p>
    <w:p w:rsidR="00236F9B" w:rsidRDefault="005231C2">
      <w:pPr>
        <w:pStyle w:val="Vchodzie"/>
        <w:spacing w:after="120"/>
        <w:jc w:val="both"/>
      </w:pPr>
      <w:r>
        <w:rPr>
          <w:rFonts w:ascii="Calibri" w:hAnsi="Calibri" w:cs="Calibri"/>
          <w:sz w:val="20"/>
          <w:szCs w:val="20"/>
        </w:rPr>
        <w:t>Náklady budúcich období a príjmy budúcich období sú vykázané vo výške, ktorá je potrebná na dodržanie zásady vecnej a časovej súvislosti s účtovným obdobím.</w:t>
      </w:r>
    </w:p>
    <w:p w:rsidR="00236F9B" w:rsidRDefault="005231C2">
      <w:pPr>
        <w:pStyle w:val="Vchodzie"/>
        <w:spacing w:after="120"/>
        <w:jc w:val="both"/>
      </w:pPr>
      <w:r>
        <w:rPr>
          <w:rFonts w:ascii="Calibri" w:hAnsi="Calibri" w:cs="Calibri"/>
          <w:b/>
          <w:sz w:val="22"/>
          <w:szCs w:val="22"/>
        </w:rPr>
        <w:t>6. Opravné položky</w:t>
      </w:r>
    </w:p>
    <w:p w:rsidR="00236F9B" w:rsidRDefault="005231C2">
      <w:pPr>
        <w:pStyle w:val="Vchodzie"/>
        <w:spacing w:after="120"/>
        <w:jc w:val="both"/>
      </w:pPr>
      <w:r>
        <w:rPr>
          <w:rFonts w:ascii="Calibri" w:hAnsi="Calibri" w:cs="Calibri"/>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36F9B" w:rsidRDefault="005231C2">
      <w:pPr>
        <w:pStyle w:val="Vchodzie"/>
        <w:spacing w:after="120"/>
        <w:jc w:val="both"/>
      </w:pPr>
      <w:r>
        <w:rPr>
          <w:rFonts w:ascii="Calibri" w:hAnsi="Calibri" w:cs="Calibri"/>
          <w:b/>
          <w:sz w:val="22"/>
          <w:szCs w:val="22"/>
        </w:rPr>
        <w:t xml:space="preserve"> 7. Rezervy</w:t>
      </w:r>
    </w:p>
    <w:p w:rsidR="00236F9B" w:rsidRDefault="005231C2">
      <w:pPr>
        <w:pStyle w:val="Vchodzie"/>
        <w:spacing w:after="120"/>
        <w:jc w:val="both"/>
      </w:pPr>
      <w:r>
        <w:rPr>
          <w:rFonts w:ascii="Calibri" w:hAnsi="Calibri" w:cs="Calibri"/>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236F9B" w:rsidRDefault="005231C2">
      <w:pPr>
        <w:pStyle w:val="Vchodzie"/>
        <w:spacing w:after="120"/>
        <w:jc w:val="both"/>
      </w:pPr>
      <w:r>
        <w:rPr>
          <w:rFonts w:ascii="Calibri" w:hAnsi="Calibri" w:cs="Calibri"/>
          <w:sz w:val="20"/>
          <w:szCs w:val="2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236F9B" w:rsidRDefault="005231C2">
      <w:pPr>
        <w:pStyle w:val="Vchodzie"/>
        <w:spacing w:after="120"/>
        <w:jc w:val="both"/>
      </w:pPr>
      <w:r>
        <w:rPr>
          <w:rFonts w:ascii="Calibri" w:hAnsi="Calibri" w:cs="Calibri"/>
          <w:sz w:val="20"/>
          <w:szCs w:val="20"/>
        </w:rPr>
        <w:t>Rezerva na bonusy, rabaty, skontá a vrátenie kúpnej ceny pri reklamácii sa tvorí ako zníženie pôvodne dosiahnutých výnosov so súvzťažným zápisom v prospech účtu rezerv.</w:t>
      </w:r>
    </w:p>
    <w:p w:rsidR="008A014B" w:rsidRDefault="008A014B">
      <w:pPr>
        <w:pStyle w:val="Vchodzie"/>
        <w:spacing w:after="120"/>
        <w:jc w:val="both"/>
        <w:rPr>
          <w:rFonts w:ascii="Calibri" w:hAnsi="Calibri" w:cs="Calibri"/>
          <w:sz w:val="20"/>
          <w:szCs w:val="20"/>
        </w:rPr>
      </w:pPr>
      <w:r w:rsidRPr="008A014B">
        <w:rPr>
          <w:rFonts w:ascii="Calibri" w:hAnsi="Calibri" w:cs="Calibri"/>
          <w:sz w:val="20"/>
          <w:szCs w:val="20"/>
        </w:rPr>
        <w:t>Spoločnosť tvorila zákonné rezervy na zostatkové dovolenky a odvody z týchto súm  a z ostatných rezerv vytvorila rezervu na  overenie účtovnej závierky a výročnej správy. Spoločnosť predpokladá, že rezervy použije v</w:t>
      </w:r>
      <w:r w:rsidR="00AF77E8">
        <w:rPr>
          <w:rFonts w:ascii="Calibri" w:hAnsi="Calibri" w:cs="Calibri"/>
          <w:sz w:val="20"/>
          <w:szCs w:val="20"/>
        </w:rPr>
        <w:t> </w:t>
      </w:r>
      <w:r w:rsidRPr="008A014B">
        <w:rPr>
          <w:rFonts w:ascii="Calibri" w:hAnsi="Calibri" w:cs="Calibri"/>
          <w:sz w:val="20"/>
          <w:szCs w:val="20"/>
        </w:rPr>
        <w:t>roku</w:t>
      </w:r>
      <w:r w:rsidR="00AF77E8">
        <w:rPr>
          <w:rFonts w:ascii="Calibri" w:hAnsi="Calibri" w:cs="Calibri"/>
          <w:sz w:val="20"/>
          <w:szCs w:val="20"/>
        </w:rPr>
        <w:t xml:space="preserve"> </w:t>
      </w:r>
      <w:r w:rsidR="00AF77E8" w:rsidRPr="005E51F3">
        <w:rPr>
          <w:rFonts w:ascii="Calibri" w:hAnsi="Calibri" w:cs="Calibri"/>
          <w:sz w:val="20"/>
          <w:szCs w:val="20"/>
        </w:rPr>
        <w:t>2018.</w:t>
      </w:r>
      <w:r w:rsidRPr="008A014B">
        <w:rPr>
          <w:rFonts w:ascii="Calibri" w:hAnsi="Calibri" w:cs="Calibri"/>
          <w:sz w:val="20"/>
          <w:szCs w:val="20"/>
        </w:rPr>
        <w:t xml:space="preserve"> </w:t>
      </w:r>
    </w:p>
    <w:p w:rsidR="00236F9B" w:rsidRDefault="005231C2">
      <w:pPr>
        <w:pStyle w:val="Vchodzie"/>
        <w:spacing w:after="120"/>
        <w:jc w:val="both"/>
      </w:pPr>
      <w:r>
        <w:rPr>
          <w:rFonts w:ascii="Calibri" w:hAnsi="Calibri" w:cs="Calibri"/>
          <w:b/>
          <w:sz w:val="22"/>
          <w:szCs w:val="22"/>
        </w:rPr>
        <w:t>8.  Záväzky</w:t>
      </w:r>
    </w:p>
    <w:p w:rsidR="00236F9B" w:rsidRDefault="005231C2">
      <w:pPr>
        <w:pStyle w:val="Vchodzie"/>
        <w:spacing w:after="120"/>
        <w:jc w:val="both"/>
      </w:pPr>
      <w:r>
        <w:rPr>
          <w:rFonts w:ascii="Calibri" w:hAnsi="Calibri" w:cs="Calibri"/>
          <w:sz w:val="20"/>
          <w:szCs w:val="20"/>
        </w:rPr>
        <w:t xml:space="preserve">Záväzky pri ich vzniku sa oceňujú menovitou hodnotou. Záväzky pri ich prevzatí sa oceňujú obstarávacou cenou. </w:t>
      </w:r>
    </w:p>
    <w:p w:rsidR="00236F9B" w:rsidRDefault="005231C2">
      <w:pPr>
        <w:pStyle w:val="Vchodzie"/>
        <w:spacing w:after="120"/>
        <w:jc w:val="both"/>
      </w:pPr>
      <w:r>
        <w:rPr>
          <w:rFonts w:ascii="Calibri" w:hAnsi="Calibri" w:cs="Calibri"/>
          <w:b/>
          <w:sz w:val="22"/>
          <w:szCs w:val="22"/>
        </w:rPr>
        <w:t>9. Zamestnanecké požitky</w:t>
      </w:r>
    </w:p>
    <w:p w:rsidR="00236F9B" w:rsidRDefault="005231C2">
      <w:pPr>
        <w:pStyle w:val="Vchodzie"/>
        <w:spacing w:after="120"/>
        <w:jc w:val="both"/>
      </w:pPr>
      <w:r>
        <w:rPr>
          <w:rFonts w:ascii="Calibri" w:hAnsi="Calibri" w:cs="Calibri"/>
          <w:sz w:val="20"/>
          <w:szCs w:val="20"/>
        </w:rPr>
        <w:lastRenderedPageBreak/>
        <w:t>Platy, mzdy, príspevky do štátnych dôchodkových a poistných fondov, platená ročná dovolenka a  bonusy a ostatné nepeňažné požitky (napr. zdravotná starostlivosť, poistenie zodpovednosti za škodu) sa účtujú v účtovnom období, s ktorým vecne a časovo súvisia.</w:t>
      </w:r>
    </w:p>
    <w:p w:rsidR="00236F9B" w:rsidRDefault="005231C2">
      <w:pPr>
        <w:pStyle w:val="Vchodzie"/>
        <w:spacing w:after="120"/>
        <w:jc w:val="both"/>
      </w:pPr>
      <w:r>
        <w:rPr>
          <w:rFonts w:ascii="Calibri" w:hAnsi="Calibri" w:cs="Calibri"/>
          <w:sz w:val="20"/>
          <w:szCs w:val="20"/>
        </w:rPr>
        <w:t xml:space="preserve">Zamestnanec má na základe Zákonníka práce pri odchode do starobného dôchodku nárok na odmenu vo výške jednej priemernej mesačnej mzdy.    </w:t>
      </w:r>
    </w:p>
    <w:p w:rsidR="00236F9B" w:rsidRDefault="005231C2">
      <w:pPr>
        <w:pStyle w:val="Vchodzie"/>
        <w:spacing w:after="120"/>
        <w:jc w:val="both"/>
      </w:pPr>
      <w:r>
        <w:rPr>
          <w:rFonts w:ascii="Calibri" w:hAnsi="Calibri" w:cs="Calibri"/>
          <w:b/>
          <w:sz w:val="22"/>
          <w:szCs w:val="22"/>
        </w:rPr>
        <w:t>10. Splatná daň z príjmu</w:t>
      </w:r>
    </w:p>
    <w:p w:rsidR="00236F9B" w:rsidRDefault="005231C2">
      <w:pPr>
        <w:pStyle w:val="Vchodzie"/>
        <w:spacing w:after="120"/>
        <w:jc w:val="both"/>
      </w:pPr>
      <w:r>
        <w:rPr>
          <w:rFonts w:ascii="Calibri" w:hAnsi="Calibri" w:cs="Calibri"/>
          <w:sz w:val="20"/>
          <w:szCs w:val="2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výsledný daňový záväzok.</w:t>
      </w:r>
    </w:p>
    <w:p w:rsidR="00236F9B" w:rsidRDefault="005231C2">
      <w:pPr>
        <w:pStyle w:val="Vchodzie"/>
        <w:spacing w:after="120"/>
        <w:jc w:val="both"/>
      </w:pPr>
      <w:r>
        <w:rPr>
          <w:rFonts w:ascii="Calibri" w:hAnsi="Calibri" w:cs="Calibri"/>
          <w:b/>
          <w:sz w:val="22"/>
          <w:szCs w:val="22"/>
        </w:rPr>
        <w:t>11. Odložená daň z príjmu</w:t>
      </w:r>
    </w:p>
    <w:p w:rsidR="00236F9B" w:rsidRDefault="005231C2" w:rsidP="00B340A2">
      <w:pPr>
        <w:pStyle w:val="Vchodzie"/>
        <w:spacing w:after="120"/>
        <w:jc w:val="both"/>
      </w:pPr>
      <w:r>
        <w:rPr>
          <w:rFonts w:ascii="Calibri" w:hAnsi="Calibri" w:cs="Calibri"/>
          <w:sz w:val="20"/>
          <w:szCs w:val="20"/>
        </w:rPr>
        <w:t xml:space="preserve">Odložená daň z príjmu </w:t>
      </w:r>
      <w:r w:rsidR="00B340A2">
        <w:rPr>
          <w:rFonts w:ascii="Calibri" w:hAnsi="Calibri" w:cs="Calibri"/>
          <w:sz w:val="20"/>
          <w:szCs w:val="20"/>
        </w:rPr>
        <w:t>pre spoločnosť nevznikla.</w:t>
      </w:r>
      <w:r>
        <w:rPr>
          <w:rFonts w:ascii="Calibri" w:hAnsi="Calibri" w:cs="Calibri"/>
          <w:sz w:val="20"/>
          <w:szCs w:val="20"/>
        </w:rPr>
        <w:t xml:space="preserve"> </w:t>
      </w:r>
    </w:p>
    <w:p w:rsidR="00236F9B" w:rsidRDefault="005231C2">
      <w:pPr>
        <w:pStyle w:val="Vchodzie"/>
        <w:spacing w:after="120"/>
        <w:jc w:val="both"/>
      </w:pPr>
      <w:r>
        <w:rPr>
          <w:rFonts w:ascii="Calibri" w:hAnsi="Calibri" w:cs="Calibri"/>
          <w:b/>
          <w:sz w:val="22"/>
          <w:szCs w:val="22"/>
        </w:rPr>
        <w:t>12. Výdavky budúcich období a výnosy budúcich období</w:t>
      </w:r>
    </w:p>
    <w:p w:rsidR="00236F9B" w:rsidRDefault="005231C2">
      <w:pPr>
        <w:pStyle w:val="Vchodzie"/>
        <w:spacing w:after="120"/>
        <w:jc w:val="both"/>
      </w:pPr>
      <w:r>
        <w:rPr>
          <w:rFonts w:ascii="Calibri" w:hAnsi="Calibri" w:cs="Calibri"/>
          <w:sz w:val="20"/>
          <w:szCs w:val="20"/>
        </w:rPr>
        <w:t>Výdavky budúcich období a výnosy budúcich období sú vykázané vo výške, ktorá je potrebná na dodržanie zásady vecnej a časovej súvislosti s účtovným obdobím.</w:t>
      </w:r>
    </w:p>
    <w:p w:rsidR="00236F9B" w:rsidRDefault="005231C2">
      <w:pPr>
        <w:pStyle w:val="Vchodzie"/>
        <w:spacing w:after="120"/>
        <w:jc w:val="both"/>
      </w:pPr>
      <w:r>
        <w:rPr>
          <w:rFonts w:ascii="Calibri" w:hAnsi="Calibri" w:cs="Calibri"/>
          <w:b/>
          <w:sz w:val="22"/>
          <w:szCs w:val="22"/>
        </w:rPr>
        <w:t>13. Leasing (Spoločnosť je nájomca)</w:t>
      </w:r>
    </w:p>
    <w:p w:rsidR="00236F9B" w:rsidRDefault="005231C2">
      <w:pPr>
        <w:pStyle w:val="Vchodzie"/>
        <w:spacing w:after="120"/>
        <w:jc w:val="both"/>
      </w:pPr>
      <w:r>
        <w:rPr>
          <w:rFonts w:ascii="Calibri" w:hAnsi="Calibri" w:cs="Calibri"/>
          <w:sz w:val="20"/>
          <w:szCs w:val="20"/>
        </w:rPr>
        <w:t xml:space="preserve">Finančný leasing.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Finančné náklady sa vykazujú ako úroky. </w:t>
      </w:r>
    </w:p>
    <w:p w:rsidR="00236F9B" w:rsidRDefault="005231C2">
      <w:pPr>
        <w:pStyle w:val="Vchodzie"/>
        <w:spacing w:after="120"/>
        <w:jc w:val="both"/>
      </w:pPr>
      <w:r>
        <w:rPr>
          <w:rFonts w:ascii="Calibri" w:hAnsi="Calibri" w:cs="Calibri"/>
          <w:sz w:val="20"/>
          <w:szCs w:val="20"/>
        </w:rPr>
        <w:t>Finančný leasing (zmluvy uzatvorené po 1. januári 2004)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236F9B" w:rsidRDefault="005231C2">
      <w:pPr>
        <w:pStyle w:val="Vchodzie"/>
        <w:spacing w:after="120"/>
        <w:jc w:val="both"/>
      </w:pPr>
      <w:r>
        <w:rPr>
          <w:rFonts w:ascii="Calibri" w:hAnsi="Calibri" w:cs="Calibri"/>
          <w:b/>
          <w:sz w:val="22"/>
          <w:szCs w:val="22"/>
        </w:rPr>
        <w:t>14. Cudzia mena</w:t>
      </w:r>
    </w:p>
    <w:p w:rsidR="00236F9B" w:rsidRDefault="005231C2">
      <w:pPr>
        <w:pStyle w:val="Vchodzie"/>
        <w:spacing w:after="120"/>
        <w:jc w:val="both"/>
      </w:pPr>
      <w:r>
        <w:rPr>
          <w:rFonts w:ascii="Calibri" w:hAnsi="Calibri" w:cs="Calibri"/>
          <w:sz w:val="20"/>
          <w:szCs w:val="20"/>
        </w:rPr>
        <w:t xml:space="preserve">Majetok a záväzky vyjadrené v cudzej mene (okrem preddavkov prijatých a poskytnutých) sa prepočítavajú na eurá referenčným výmenným kurzom určeným a vyhláseným Európskou centrálnou bankou alebo Národnou bankou Slovenska v deň predchádzajúci dňu uskutočnenia účtovného prípadu alebo v deň, ku ktorému sa zostavuje účtovná závierka. Vzniknuté kurzové rozdiely sa účtujú s vplyvom na výsledok hospodárenia. </w:t>
      </w:r>
    </w:p>
    <w:p w:rsidR="00236F9B" w:rsidRDefault="005231C2">
      <w:pPr>
        <w:pStyle w:val="Vchodzie"/>
        <w:spacing w:after="120"/>
        <w:jc w:val="both"/>
      </w:pPr>
      <w:r>
        <w:rPr>
          <w:rFonts w:ascii="Calibri" w:hAnsi="Calibri" w:cs="Calibri"/>
          <w:b/>
          <w:sz w:val="22"/>
          <w:szCs w:val="22"/>
        </w:rPr>
        <w:t>15. Vykazovanie výnosov</w:t>
      </w:r>
    </w:p>
    <w:p w:rsidR="00236F9B" w:rsidRDefault="005231C2">
      <w:pPr>
        <w:pStyle w:val="Vchodzie"/>
        <w:spacing w:after="120"/>
        <w:jc w:val="both"/>
      </w:pPr>
      <w:r>
        <w:rPr>
          <w:rFonts w:ascii="Calibri" w:hAnsi="Calibri" w:cs="Calibri"/>
          <w:sz w:val="20"/>
          <w:szCs w:val="20"/>
        </w:rPr>
        <w:t>Výnosy z predaja výrobkov sa vykazujú v momente prenosu rizika a vlastníctva výrobku, obvykle po dodávke. Ak sa spoločnosť zaviaže dopraviť výrobky na určité miesto, výnosy sa vykazujú v momente doručenia výrobku do cieľového miesta.</w:t>
      </w:r>
    </w:p>
    <w:p w:rsidR="00236F9B" w:rsidRDefault="005231C2">
      <w:pPr>
        <w:pStyle w:val="Vchodzie"/>
        <w:spacing w:after="120"/>
        <w:jc w:val="both"/>
      </w:pPr>
      <w:r>
        <w:rPr>
          <w:rFonts w:ascii="Calibri" w:hAnsi="Calibri" w:cs="Calibri"/>
          <w:sz w:val="20"/>
          <w:szCs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236F9B" w:rsidRDefault="005231C2">
      <w:pPr>
        <w:pStyle w:val="Vchodzie"/>
        <w:spacing w:after="120"/>
        <w:jc w:val="both"/>
      </w:pPr>
      <w:r>
        <w:rPr>
          <w:rFonts w:ascii="Calibri" w:hAnsi="Calibri" w:cs="Calibri"/>
          <w:sz w:val="20"/>
          <w:szCs w:val="20"/>
        </w:rPr>
        <w:t>Výnosy sa vykazujú po odpočítaní dane z pridanej hodnoty, zliav a zrážok (rabaty, bonusy, skontá, dobropisy a pod.). Výnosové úroky sa účtujú rovnomerne v účtovných obdobiach, ktorých sa vecne a časovo týkajú.</w:t>
      </w:r>
    </w:p>
    <w:p w:rsidR="00236F9B" w:rsidRDefault="005231C2">
      <w:pPr>
        <w:pStyle w:val="Vchodzie"/>
        <w:spacing w:after="120"/>
        <w:jc w:val="both"/>
      </w:pPr>
      <w:r>
        <w:rPr>
          <w:rFonts w:ascii="Calibri" w:hAnsi="Calibri" w:cs="Calibri"/>
          <w:sz w:val="20"/>
          <w:szCs w:val="20"/>
        </w:rPr>
        <w:t>Výnosy spoločnosti tvoria z veľkej časti tržby z</w:t>
      </w:r>
      <w:r w:rsidR="00B340A2">
        <w:rPr>
          <w:rFonts w:ascii="Calibri" w:hAnsi="Calibri" w:cs="Calibri"/>
          <w:sz w:val="20"/>
          <w:szCs w:val="20"/>
        </w:rPr>
        <w:t> </w:t>
      </w:r>
      <w:proofErr w:type="spellStart"/>
      <w:r>
        <w:rPr>
          <w:rFonts w:ascii="Calibri" w:hAnsi="Calibri" w:cs="Calibri"/>
          <w:sz w:val="20"/>
          <w:szCs w:val="20"/>
        </w:rPr>
        <w:t>kovoobrábania</w:t>
      </w:r>
      <w:proofErr w:type="spellEnd"/>
      <w:r w:rsidR="00B340A2">
        <w:rPr>
          <w:rFonts w:ascii="Calibri" w:hAnsi="Calibri" w:cs="Calibri"/>
          <w:sz w:val="20"/>
          <w:szCs w:val="20"/>
        </w:rPr>
        <w:t>,</w:t>
      </w:r>
      <w:r w:rsidR="001E1BAA">
        <w:rPr>
          <w:rFonts w:ascii="Calibri" w:hAnsi="Calibri" w:cs="Calibri"/>
          <w:sz w:val="20"/>
          <w:szCs w:val="20"/>
        </w:rPr>
        <w:t xml:space="preserve"> </w:t>
      </w:r>
      <w:r w:rsidR="00B340A2">
        <w:rPr>
          <w:rFonts w:ascii="Calibri" w:hAnsi="Calibri" w:cs="Calibri"/>
          <w:sz w:val="20"/>
          <w:szCs w:val="20"/>
        </w:rPr>
        <w:t>tržby z predaja časti materiálu</w:t>
      </w:r>
      <w:r>
        <w:rPr>
          <w:rFonts w:ascii="Calibri" w:hAnsi="Calibri" w:cs="Calibri"/>
          <w:sz w:val="20"/>
          <w:szCs w:val="20"/>
        </w:rPr>
        <w:t xml:space="preserve"> a tržby z poskytovaných služieb hlavne tržby z</w:t>
      </w:r>
      <w:r w:rsidR="008A014B">
        <w:rPr>
          <w:rFonts w:ascii="Calibri" w:hAnsi="Calibri" w:cs="Calibri"/>
          <w:sz w:val="20"/>
          <w:szCs w:val="20"/>
        </w:rPr>
        <w:t> </w:t>
      </w:r>
      <w:r>
        <w:rPr>
          <w:rFonts w:ascii="Calibri" w:hAnsi="Calibri" w:cs="Calibri"/>
          <w:sz w:val="20"/>
          <w:szCs w:val="20"/>
        </w:rPr>
        <w:t>prenájmu</w:t>
      </w:r>
      <w:r w:rsidR="008A014B">
        <w:rPr>
          <w:rFonts w:ascii="Calibri" w:hAnsi="Calibri" w:cs="Calibri"/>
          <w:sz w:val="20"/>
          <w:szCs w:val="20"/>
        </w:rPr>
        <w:t xml:space="preserve"> </w:t>
      </w:r>
      <w:r w:rsidR="00B340A2">
        <w:rPr>
          <w:rFonts w:ascii="Calibri" w:hAnsi="Calibri" w:cs="Calibri"/>
          <w:sz w:val="20"/>
          <w:szCs w:val="20"/>
        </w:rPr>
        <w:t>nebytových priestorov, rezania materiálu a prepravy predaného materiálu.</w:t>
      </w:r>
    </w:p>
    <w:p w:rsidR="00236F9B" w:rsidRDefault="005231C2">
      <w:pPr>
        <w:pStyle w:val="Vchodzie"/>
        <w:spacing w:after="120"/>
        <w:jc w:val="both"/>
      </w:pPr>
      <w:r>
        <w:rPr>
          <w:rFonts w:ascii="Calibri" w:hAnsi="Calibri" w:cs="Calibri"/>
          <w:b/>
          <w:sz w:val="22"/>
          <w:szCs w:val="22"/>
        </w:rPr>
        <w:t>16. Oprava chýb minulých období</w:t>
      </w:r>
    </w:p>
    <w:p w:rsidR="00236F9B" w:rsidRDefault="005231C2">
      <w:pPr>
        <w:pStyle w:val="Vchodzie"/>
        <w:spacing w:after="120"/>
        <w:jc w:val="both"/>
        <w:rPr>
          <w:rFonts w:ascii="Calibri" w:hAnsi="Calibri" w:cs="Calibri"/>
          <w:sz w:val="20"/>
          <w:szCs w:val="20"/>
        </w:rPr>
      </w:pPr>
      <w:r>
        <w:rPr>
          <w:rFonts w:ascii="Calibri" w:hAnsi="Calibri" w:cs="Calibri"/>
          <w:sz w:val="20"/>
          <w:szCs w:val="20"/>
        </w:rPr>
        <w:t>V</w:t>
      </w:r>
      <w:r w:rsidR="00AF77E8">
        <w:rPr>
          <w:rFonts w:ascii="Calibri" w:hAnsi="Calibri" w:cs="Calibri"/>
          <w:sz w:val="20"/>
          <w:szCs w:val="20"/>
        </w:rPr>
        <w:t> </w:t>
      </w:r>
      <w:r>
        <w:rPr>
          <w:rFonts w:ascii="Calibri" w:hAnsi="Calibri" w:cs="Calibri"/>
          <w:sz w:val="20"/>
          <w:szCs w:val="20"/>
        </w:rPr>
        <w:t>roku</w:t>
      </w:r>
      <w:r w:rsidR="00AF77E8">
        <w:rPr>
          <w:rFonts w:ascii="Calibri" w:hAnsi="Calibri" w:cs="Calibri"/>
          <w:sz w:val="20"/>
          <w:szCs w:val="20"/>
        </w:rPr>
        <w:t xml:space="preserve"> </w:t>
      </w:r>
      <w:r w:rsidR="00AF77E8" w:rsidRPr="005E51F3">
        <w:rPr>
          <w:rFonts w:ascii="Calibri" w:hAnsi="Calibri" w:cs="Calibri"/>
          <w:sz w:val="20"/>
          <w:szCs w:val="20"/>
        </w:rPr>
        <w:t>2017</w:t>
      </w:r>
      <w:r>
        <w:rPr>
          <w:rFonts w:ascii="Calibri" w:hAnsi="Calibri" w:cs="Calibri"/>
          <w:sz w:val="20"/>
          <w:szCs w:val="20"/>
        </w:rPr>
        <w:t xml:space="preserve"> spoločnosť neúčtovala o oprave významných chýb na účte nerozdelené zisky minulých období.</w:t>
      </w:r>
    </w:p>
    <w:p w:rsidR="00AF77E8" w:rsidRDefault="00AF77E8">
      <w:pPr>
        <w:pStyle w:val="Vchodzie"/>
        <w:spacing w:after="120"/>
        <w:jc w:val="both"/>
      </w:pPr>
    </w:p>
    <w:p w:rsidR="00236F9B" w:rsidRPr="00C533B6" w:rsidRDefault="005231C2">
      <w:pPr>
        <w:pStyle w:val="Vchodzie"/>
        <w:spacing w:after="120"/>
        <w:jc w:val="both"/>
      </w:pPr>
      <w:r w:rsidRPr="00C533B6">
        <w:rPr>
          <w:rFonts w:ascii="Calibri" w:hAnsi="Calibri" w:cs="Calibri"/>
          <w:b/>
          <w:sz w:val="22"/>
          <w:szCs w:val="22"/>
        </w:rPr>
        <w:t>17. Porovnateľné údaje</w:t>
      </w:r>
    </w:p>
    <w:p w:rsidR="00236F9B" w:rsidRPr="00C533B6" w:rsidRDefault="005231C2">
      <w:pPr>
        <w:pStyle w:val="Vchodzie"/>
        <w:spacing w:after="120"/>
        <w:jc w:val="both"/>
      </w:pPr>
      <w:r w:rsidRPr="00C533B6">
        <w:rPr>
          <w:rFonts w:ascii="Calibri" w:hAnsi="Calibri" w:cs="Calibri"/>
          <w:sz w:val="20"/>
          <w:szCs w:val="20"/>
        </w:rPr>
        <w:lastRenderedPageBreak/>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236F9B" w:rsidRDefault="00236F9B">
      <w:pPr>
        <w:pStyle w:val="Vchodzie"/>
        <w:jc w:val="both"/>
      </w:pPr>
    </w:p>
    <w:p w:rsidR="00B340A2" w:rsidRDefault="00B340A2">
      <w:pPr>
        <w:pStyle w:val="Vchodzie"/>
        <w:jc w:val="center"/>
        <w:rPr>
          <w:rFonts w:ascii="Calibri" w:hAnsi="Calibri"/>
          <w:b/>
          <w:bCs/>
          <w:color w:val="00000A"/>
          <w:sz w:val="22"/>
          <w:szCs w:val="22"/>
        </w:rPr>
      </w:pPr>
    </w:p>
    <w:p w:rsidR="00236F9B" w:rsidRDefault="005231C2">
      <w:pPr>
        <w:pStyle w:val="Vchodzie"/>
        <w:jc w:val="center"/>
      </w:pPr>
      <w:r>
        <w:rPr>
          <w:rFonts w:ascii="Calibri" w:hAnsi="Calibri"/>
          <w:b/>
          <w:bCs/>
          <w:color w:val="00000A"/>
          <w:sz w:val="22"/>
          <w:szCs w:val="22"/>
        </w:rPr>
        <w:t>IV. Informácie, ktoré vysvetľujú a dopĺňajú súvahu a výkaz ziskov a strát</w:t>
      </w:r>
    </w:p>
    <w:p w:rsidR="00236F9B" w:rsidRDefault="00236F9B">
      <w:pPr>
        <w:pStyle w:val="Vchodzie"/>
        <w:jc w:val="center"/>
      </w:pPr>
    </w:p>
    <w:p w:rsidR="00236F9B" w:rsidRDefault="005231C2">
      <w:pPr>
        <w:pStyle w:val="Vchodzie"/>
      </w:pPr>
      <w:r>
        <w:rPr>
          <w:rFonts w:ascii="Calibri" w:hAnsi="Calibri"/>
          <w:b/>
          <w:color w:val="00000A"/>
          <w:sz w:val="22"/>
          <w:szCs w:val="22"/>
        </w:rPr>
        <w:t xml:space="preserve">(1) Účtovná jednotka neúčtovala o </w:t>
      </w:r>
      <w:proofErr w:type="spellStart"/>
      <w:r>
        <w:rPr>
          <w:rFonts w:ascii="Calibri" w:hAnsi="Calibri"/>
          <w:b/>
          <w:color w:val="00000A"/>
          <w:sz w:val="22"/>
          <w:szCs w:val="22"/>
        </w:rPr>
        <w:t>goodwille</w:t>
      </w:r>
      <w:proofErr w:type="spellEnd"/>
      <w:r>
        <w:rPr>
          <w:rFonts w:ascii="Calibri" w:hAnsi="Calibri"/>
          <w:b/>
          <w:color w:val="00000A"/>
          <w:sz w:val="22"/>
          <w:szCs w:val="22"/>
        </w:rPr>
        <w:t xml:space="preserve"> v bežnom účtovnom období ani v minulých účtovných obdobiach.</w:t>
      </w:r>
    </w:p>
    <w:p w:rsidR="00236F9B" w:rsidRDefault="00236F9B">
      <w:pPr>
        <w:pStyle w:val="Vchodzie"/>
      </w:pPr>
    </w:p>
    <w:p w:rsidR="00236F9B" w:rsidRDefault="005231C2">
      <w:pPr>
        <w:pStyle w:val="Vchodzie"/>
      </w:pPr>
      <w:r>
        <w:rPr>
          <w:rFonts w:ascii="Calibri" w:hAnsi="Calibri"/>
          <w:b/>
          <w:color w:val="00000A"/>
          <w:sz w:val="22"/>
          <w:szCs w:val="22"/>
        </w:rPr>
        <w:t>(2) Informácie o významných položkách majetku a záväzkoch zabezpečených derivátmi</w:t>
      </w:r>
    </w:p>
    <w:p w:rsidR="00236F9B" w:rsidRDefault="005231C2">
      <w:pPr>
        <w:pStyle w:val="Vchodzie"/>
        <w:ind w:left="-142" w:right="-468" w:firstLine="142"/>
      </w:pPr>
      <w:r>
        <w:rPr>
          <w:rFonts w:ascii="Calibri" w:hAnsi="Calibri" w:cs="Calibri"/>
          <w:sz w:val="20"/>
          <w:szCs w:val="20"/>
        </w:rPr>
        <w:t>V účtovnom období 201</w:t>
      </w:r>
      <w:r w:rsidR="007421F6">
        <w:rPr>
          <w:rFonts w:ascii="Calibri" w:hAnsi="Calibri" w:cs="Calibri"/>
          <w:sz w:val="20"/>
          <w:szCs w:val="20"/>
        </w:rPr>
        <w:t>7</w:t>
      </w:r>
      <w:r>
        <w:rPr>
          <w:rFonts w:ascii="Calibri" w:hAnsi="Calibri" w:cs="Calibri"/>
          <w:sz w:val="20"/>
          <w:szCs w:val="20"/>
        </w:rPr>
        <w:t xml:space="preserve"> účtovná jednotka nevykonala žiadne derivátové operácie. </w:t>
      </w:r>
    </w:p>
    <w:p w:rsidR="00236F9B" w:rsidRDefault="00236F9B">
      <w:pPr>
        <w:pStyle w:val="Vchodzie"/>
        <w:spacing w:after="14"/>
      </w:pPr>
    </w:p>
    <w:p w:rsidR="00236F9B" w:rsidRDefault="005231C2">
      <w:pPr>
        <w:pStyle w:val="Vchodzie"/>
        <w:spacing w:after="14"/>
      </w:pPr>
      <w:r>
        <w:rPr>
          <w:rFonts w:ascii="Calibri" w:hAnsi="Calibri"/>
          <w:b/>
          <w:color w:val="00000A"/>
          <w:sz w:val="22"/>
          <w:szCs w:val="22"/>
        </w:rPr>
        <w:t xml:space="preserve"> (3) Informácie o záväzkoch</w:t>
      </w:r>
    </w:p>
    <w:p w:rsidR="00236F9B" w:rsidRDefault="00236F9B">
      <w:pPr>
        <w:pStyle w:val="Vchodzie"/>
        <w:spacing w:after="14"/>
      </w:pPr>
    </w:p>
    <w:p w:rsidR="00236F9B" w:rsidRDefault="005231C2">
      <w:pPr>
        <w:pStyle w:val="Vchodzie"/>
        <w:spacing w:after="14"/>
      </w:pPr>
      <w:r>
        <w:rPr>
          <w:rFonts w:ascii="Calibri" w:hAnsi="Calibri"/>
          <w:b/>
          <w:color w:val="00000A"/>
          <w:sz w:val="22"/>
          <w:szCs w:val="22"/>
        </w:rPr>
        <w:t xml:space="preserve">a) Informácie o štruktúre záväzkov podľa zostatkovej doby splatnosti </w:t>
      </w:r>
    </w:p>
    <w:tbl>
      <w:tblPr>
        <w:tblW w:w="0" w:type="auto"/>
        <w:jc w:val="center"/>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3768"/>
        <w:gridCol w:w="3072"/>
        <w:gridCol w:w="2756"/>
      </w:tblGrid>
      <w:tr w:rsidR="00236F9B">
        <w:trPr>
          <w:trHeight w:val="941"/>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TopHeader"/>
            </w:pPr>
            <w:r>
              <w:rPr>
                <w:rFonts w:ascii="Calibri" w:hAnsi="Calibri"/>
                <w:b w:val="0"/>
                <w:sz w:val="20"/>
                <w:szCs w:val="20"/>
              </w:rPr>
              <w:t>Názov položky</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TopHeader"/>
            </w:pPr>
            <w:r>
              <w:rPr>
                <w:rFonts w:ascii="Calibri" w:hAnsi="Calibri"/>
                <w:b w:val="0"/>
                <w:sz w:val="20"/>
                <w:szCs w:val="20"/>
              </w:rPr>
              <w:t>Bežné účtovné obdobie</w:t>
            </w: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TopHeader"/>
            </w:pPr>
            <w:r>
              <w:rPr>
                <w:rFonts w:ascii="Calibri" w:hAnsi="Calibri"/>
                <w:b w:val="0"/>
                <w:sz w:val="20"/>
                <w:szCs w:val="20"/>
              </w:rPr>
              <w:t>Bezprostredne predchádzajúce účtovné obdobie</w:t>
            </w:r>
          </w:p>
        </w:tc>
      </w:tr>
      <w:tr w:rsidR="00236F9B">
        <w:trPr>
          <w:trHeight w:val="407"/>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Vchodzie"/>
            </w:pPr>
            <w:r>
              <w:rPr>
                <w:rFonts w:ascii="Calibri" w:hAnsi="Calibri"/>
                <w:b/>
                <w:bCs/>
                <w:sz w:val="20"/>
                <w:szCs w:val="20"/>
              </w:rPr>
              <w:t>Dlhodobé záväzky spolu</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Pr="00C533B6" w:rsidRDefault="00C533B6" w:rsidP="005E51F3">
            <w:pPr>
              <w:pStyle w:val="Vchodzie"/>
              <w:jc w:val="right"/>
            </w:pPr>
            <w:r w:rsidRPr="005E51F3">
              <w:rPr>
                <w:rFonts w:ascii="Calibri" w:hAnsi="Calibri"/>
                <w:b/>
                <w:bCs/>
                <w:sz w:val="20"/>
                <w:szCs w:val="20"/>
              </w:rPr>
              <w:t>17047</w:t>
            </w:r>
            <w:r w:rsidRPr="00C533B6">
              <w:rPr>
                <w:rFonts w:ascii="Calibri" w:hAnsi="Calibri"/>
                <w:b/>
                <w:bCs/>
                <w:sz w:val="20"/>
                <w:szCs w:val="20"/>
                <w:highlight w:val="yellow"/>
              </w:rPr>
              <w:t xml:space="preserve"> </w:t>
            </w:r>
            <w:r>
              <w:rPr>
                <w:rFonts w:ascii="Calibri" w:hAnsi="Calibri"/>
                <w:b/>
                <w:bCs/>
                <w:sz w:val="20"/>
                <w:szCs w:val="20"/>
              </w:rPr>
              <w:t xml:space="preserve">  </w:t>
            </w: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Pr="00C533B6" w:rsidRDefault="00C533B6" w:rsidP="005E51F3">
            <w:pPr>
              <w:pStyle w:val="Vchodzie"/>
              <w:jc w:val="right"/>
              <w:rPr>
                <w:strike/>
              </w:rPr>
            </w:pPr>
            <w:r w:rsidRPr="005E51F3">
              <w:rPr>
                <w:rFonts w:ascii="Calibri" w:hAnsi="Calibri"/>
                <w:b/>
                <w:bCs/>
                <w:sz w:val="20"/>
                <w:szCs w:val="20"/>
              </w:rPr>
              <w:t>39593</w:t>
            </w:r>
            <w:r w:rsidRPr="00C533B6">
              <w:rPr>
                <w:rFonts w:ascii="Calibri" w:hAnsi="Calibri"/>
                <w:b/>
                <w:bCs/>
                <w:strike/>
                <w:sz w:val="20"/>
                <w:szCs w:val="20"/>
              </w:rPr>
              <w:t xml:space="preserve"> </w:t>
            </w:r>
          </w:p>
        </w:tc>
      </w:tr>
      <w:tr w:rsidR="00236F9B">
        <w:trPr>
          <w:trHeight w:val="580"/>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Vchodzie"/>
            </w:pPr>
            <w:r>
              <w:rPr>
                <w:rFonts w:ascii="Calibri" w:hAnsi="Calibri"/>
                <w:sz w:val="20"/>
                <w:szCs w:val="20"/>
              </w:rPr>
              <w:t>Záväzky so zostatkovou dobou splatnosti nad päť rokov</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Pr="00C533B6" w:rsidRDefault="00236F9B" w:rsidP="006E57E4">
            <w:pPr>
              <w:pStyle w:val="Vchodzie"/>
              <w:jc w:val="right"/>
            </w:pP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Pr="00C533B6" w:rsidRDefault="00236F9B" w:rsidP="006E57E4">
            <w:pPr>
              <w:pStyle w:val="Vchodzie"/>
              <w:jc w:val="right"/>
            </w:pPr>
          </w:p>
        </w:tc>
      </w:tr>
      <w:tr w:rsidR="00236F9B">
        <w:trPr>
          <w:trHeight w:val="580"/>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Vchodzie"/>
            </w:pPr>
            <w:r>
              <w:rPr>
                <w:rFonts w:ascii="Calibri" w:hAnsi="Calibri"/>
                <w:sz w:val="20"/>
                <w:szCs w:val="20"/>
              </w:rPr>
              <w:t>Záväzky so zostatkovou dobou splatnosti jeden rok až päť rokov</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Pr="00C533B6" w:rsidRDefault="00C533B6" w:rsidP="005E51F3">
            <w:pPr>
              <w:pStyle w:val="Vchodzie"/>
              <w:jc w:val="right"/>
              <w:rPr>
                <w:strike/>
              </w:rPr>
            </w:pPr>
            <w:r w:rsidRPr="005E51F3">
              <w:rPr>
                <w:rFonts w:ascii="Calibri" w:hAnsi="Calibri"/>
                <w:sz w:val="20"/>
                <w:szCs w:val="20"/>
              </w:rPr>
              <w:t>17047</w:t>
            </w:r>
            <w:r w:rsidRPr="00C533B6">
              <w:rPr>
                <w:rFonts w:ascii="Calibri" w:hAnsi="Calibri"/>
                <w:strike/>
                <w:sz w:val="20"/>
                <w:szCs w:val="20"/>
                <w:highlight w:val="yellow"/>
              </w:rPr>
              <w:t xml:space="preserve"> </w:t>
            </w: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Pr="00C533B6" w:rsidRDefault="00C533B6" w:rsidP="005E51F3">
            <w:pPr>
              <w:pStyle w:val="Vchodzie"/>
              <w:jc w:val="right"/>
              <w:rPr>
                <w:strike/>
              </w:rPr>
            </w:pPr>
            <w:r w:rsidRPr="005E51F3">
              <w:rPr>
                <w:rFonts w:ascii="Calibri" w:hAnsi="Calibri"/>
                <w:sz w:val="20"/>
                <w:szCs w:val="20"/>
              </w:rPr>
              <w:t>39593</w:t>
            </w:r>
            <w:r w:rsidRPr="00C533B6">
              <w:rPr>
                <w:rFonts w:ascii="Calibri" w:hAnsi="Calibri"/>
                <w:strike/>
                <w:sz w:val="20"/>
                <w:szCs w:val="20"/>
                <w:highlight w:val="yellow"/>
              </w:rPr>
              <w:t xml:space="preserve"> </w:t>
            </w:r>
          </w:p>
        </w:tc>
      </w:tr>
      <w:tr w:rsidR="00236F9B">
        <w:trPr>
          <w:trHeight w:val="407"/>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Vchodzie"/>
            </w:pPr>
            <w:r>
              <w:rPr>
                <w:rFonts w:ascii="Calibri" w:hAnsi="Calibri"/>
                <w:b/>
                <w:bCs/>
                <w:sz w:val="20"/>
                <w:szCs w:val="20"/>
              </w:rPr>
              <w:t>Krátkodobé záväzky spolu</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Pr="00C533B6" w:rsidRDefault="007421F6" w:rsidP="00B340A2">
            <w:pPr>
              <w:pStyle w:val="Vchodzie"/>
              <w:jc w:val="right"/>
            </w:pPr>
            <w:r w:rsidRPr="00C533B6">
              <w:rPr>
                <w:rFonts w:ascii="Calibri" w:hAnsi="Calibri"/>
                <w:b/>
                <w:sz w:val="20"/>
                <w:szCs w:val="20"/>
              </w:rPr>
              <w:t>1348581</w:t>
            </w: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Pr="00C533B6" w:rsidRDefault="00C533B6" w:rsidP="005E51F3">
            <w:pPr>
              <w:pStyle w:val="Vchodzie"/>
              <w:jc w:val="right"/>
              <w:rPr>
                <w:strike/>
              </w:rPr>
            </w:pPr>
            <w:r w:rsidRPr="005E51F3">
              <w:rPr>
                <w:rFonts w:ascii="Calibri" w:hAnsi="Calibri"/>
                <w:b/>
                <w:sz w:val="20"/>
                <w:szCs w:val="20"/>
              </w:rPr>
              <w:t>1333379</w:t>
            </w:r>
            <w:r w:rsidRPr="00C533B6">
              <w:rPr>
                <w:rFonts w:ascii="Calibri" w:hAnsi="Calibri"/>
                <w:b/>
                <w:sz w:val="20"/>
                <w:szCs w:val="20"/>
                <w:highlight w:val="yellow"/>
              </w:rPr>
              <w:t xml:space="preserve"> </w:t>
            </w:r>
          </w:p>
        </w:tc>
      </w:tr>
      <w:tr w:rsidR="00236F9B">
        <w:trPr>
          <w:trHeight w:val="580"/>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Vchodzie"/>
            </w:pPr>
            <w:r>
              <w:rPr>
                <w:rFonts w:ascii="Calibri" w:hAnsi="Calibri"/>
                <w:sz w:val="20"/>
                <w:szCs w:val="20"/>
              </w:rPr>
              <w:t>Záväzky so zostatkovou dobou splatnosti do jedného roka vrátane</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Pr="00C533B6" w:rsidRDefault="00C533B6" w:rsidP="005E51F3">
            <w:pPr>
              <w:pStyle w:val="Vchodzie"/>
              <w:jc w:val="right"/>
              <w:rPr>
                <w:strike/>
              </w:rPr>
            </w:pPr>
            <w:r w:rsidRPr="005E51F3">
              <w:rPr>
                <w:rFonts w:ascii="Calibri" w:hAnsi="Calibri"/>
                <w:bCs/>
                <w:sz w:val="20"/>
                <w:szCs w:val="20"/>
              </w:rPr>
              <w:t>1433979</w:t>
            </w:r>
            <w:r w:rsidRPr="00C533B6">
              <w:rPr>
                <w:rFonts w:ascii="Calibri" w:hAnsi="Calibri"/>
                <w:bCs/>
                <w:sz w:val="20"/>
                <w:szCs w:val="20"/>
              </w:rPr>
              <w:t xml:space="preserve"> </w:t>
            </w:r>
            <w:r>
              <w:rPr>
                <w:rFonts w:ascii="Calibri" w:hAnsi="Calibri"/>
                <w:bCs/>
                <w:strike/>
                <w:sz w:val="20"/>
                <w:szCs w:val="20"/>
              </w:rPr>
              <w:t xml:space="preserve"> </w:t>
            </w: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Pr="00AF77E8" w:rsidRDefault="00AF77E8" w:rsidP="005E51F3">
            <w:pPr>
              <w:pStyle w:val="Vchodzie"/>
              <w:jc w:val="right"/>
              <w:rPr>
                <w:rFonts w:ascii="Calibri" w:hAnsi="Calibri"/>
                <w:b/>
                <w:strike/>
                <w:sz w:val="20"/>
                <w:szCs w:val="20"/>
              </w:rPr>
            </w:pPr>
            <w:r w:rsidRPr="005E51F3">
              <w:rPr>
                <w:rFonts w:ascii="Calibri" w:hAnsi="Calibri"/>
                <w:sz w:val="20"/>
                <w:szCs w:val="20"/>
              </w:rPr>
              <w:t xml:space="preserve"> 1329767</w:t>
            </w:r>
            <w:r w:rsidRPr="005E51F3">
              <w:rPr>
                <w:rFonts w:ascii="Calibri" w:hAnsi="Calibri"/>
                <w:b/>
                <w:strike/>
                <w:sz w:val="20"/>
                <w:szCs w:val="20"/>
              </w:rPr>
              <w:t xml:space="preserve">  </w:t>
            </w:r>
          </w:p>
        </w:tc>
      </w:tr>
      <w:tr w:rsidR="00236F9B">
        <w:trPr>
          <w:trHeight w:val="407"/>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Vchodzie"/>
            </w:pPr>
            <w:r>
              <w:rPr>
                <w:rFonts w:ascii="Calibri" w:hAnsi="Calibri"/>
                <w:sz w:val="20"/>
                <w:szCs w:val="20"/>
              </w:rPr>
              <w:t>Záväzky po lehote splatnosti</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Pr="00C533B6" w:rsidRDefault="00C533B6" w:rsidP="006E57E4">
            <w:pPr>
              <w:pStyle w:val="Vchodzie"/>
              <w:jc w:val="right"/>
              <w:rPr>
                <w:rFonts w:asciiTheme="minorHAnsi" w:hAnsiTheme="minorHAnsi" w:cstheme="minorHAnsi"/>
                <w:sz w:val="20"/>
                <w:szCs w:val="20"/>
              </w:rPr>
            </w:pPr>
            <w:r w:rsidRPr="005E51F3">
              <w:rPr>
                <w:rFonts w:asciiTheme="minorHAnsi" w:hAnsiTheme="minorHAnsi" w:cstheme="minorHAnsi"/>
                <w:sz w:val="20"/>
                <w:szCs w:val="20"/>
              </w:rPr>
              <w:t>3602</w:t>
            </w: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Pr="00C533B6" w:rsidRDefault="00C533B6" w:rsidP="006E57E4">
            <w:pPr>
              <w:pStyle w:val="Vchodzie"/>
              <w:jc w:val="right"/>
              <w:rPr>
                <w:rFonts w:asciiTheme="minorHAnsi" w:hAnsiTheme="minorHAnsi" w:cstheme="minorHAnsi"/>
                <w:sz w:val="20"/>
                <w:szCs w:val="20"/>
              </w:rPr>
            </w:pPr>
            <w:r w:rsidRPr="005E51F3">
              <w:rPr>
                <w:rFonts w:asciiTheme="minorHAnsi" w:hAnsiTheme="minorHAnsi" w:cstheme="minorHAnsi"/>
                <w:sz w:val="20"/>
                <w:szCs w:val="20"/>
              </w:rPr>
              <w:t>3612</w:t>
            </w:r>
          </w:p>
        </w:tc>
      </w:tr>
    </w:tbl>
    <w:p w:rsidR="00236F9B" w:rsidRDefault="00236F9B">
      <w:pPr>
        <w:pStyle w:val="Vchodzie"/>
        <w:spacing w:after="14"/>
      </w:pPr>
    </w:p>
    <w:p w:rsidR="00236F9B" w:rsidRDefault="005231C2">
      <w:pPr>
        <w:pStyle w:val="Vchodzie"/>
        <w:spacing w:after="14"/>
      </w:pPr>
      <w:r>
        <w:rPr>
          <w:rFonts w:ascii="Calibri" w:hAnsi="Calibri"/>
          <w:b/>
          <w:color w:val="00000A"/>
          <w:sz w:val="22"/>
          <w:szCs w:val="22"/>
        </w:rPr>
        <w:t>b) Informácie o záväzkoch s obmedzeným právom  nakladania</w:t>
      </w:r>
    </w:p>
    <w:p w:rsidR="00236F9B" w:rsidRDefault="005231C2">
      <w:pPr>
        <w:pStyle w:val="Vchodzie"/>
        <w:jc w:val="both"/>
      </w:pPr>
      <w:r>
        <w:rPr>
          <w:rFonts w:ascii="Calibri" w:hAnsi="Calibri"/>
          <w:color w:val="00000A"/>
          <w:sz w:val="20"/>
          <w:szCs w:val="20"/>
        </w:rPr>
        <w:t>Účtovná jednotka nemá záväzky kryté záložným právom, nemá zriadené obmedzenie v prospech veriteľov na ich pohľadávky.</w:t>
      </w:r>
    </w:p>
    <w:p w:rsidR="00236F9B" w:rsidRDefault="00236F9B">
      <w:pPr>
        <w:pStyle w:val="Vchodzie"/>
      </w:pPr>
    </w:p>
    <w:p w:rsidR="00236F9B" w:rsidRDefault="005231C2">
      <w:pPr>
        <w:pStyle w:val="Vchodzie"/>
        <w:spacing w:after="14"/>
      </w:pPr>
      <w:r>
        <w:rPr>
          <w:rFonts w:ascii="Calibri" w:hAnsi="Calibri"/>
          <w:b/>
          <w:color w:val="00000A"/>
          <w:sz w:val="22"/>
          <w:szCs w:val="22"/>
        </w:rPr>
        <w:t xml:space="preserve">(4) Informácie o vlastných akciách </w:t>
      </w:r>
    </w:p>
    <w:p w:rsidR="00236F9B" w:rsidRDefault="005231C2">
      <w:pPr>
        <w:pStyle w:val="Vchodzie"/>
      </w:pPr>
      <w:r>
        <w:rPr>
          <w:rFonts w:ascii="Calibri" w:hAnsi="Calibri"/>
          <w:color w:val="00000A"/>
          <w:sz w:val="20"/>
          <w:szCs w:val="20"/>
        </w:rPr>
        <w:t>Spoločnosť nevydala a nemá vlastné akcie.</w:t>
      </w:r>
    </w:p>
    <w:p w:rsidR="00236F9B" w:rsidRDefault="00236F9B">
      <w:pPr>
        <w:pStyle w:val="Vchodzie"/>
      </w:pPr>
    </w:p>
    <w:p w:rsidR="00236F9B" w:rsidRDefault="005231C2">
      <w:pPr>
        <w:pStyle w:val="Vchodzie"/>
        <w:jc w:val="both"/>
      </w:pPr>
      <w:r>
        <w:rPr>
          <w:rFonts w:ascii="Calibri" w:hAnsi="Calibri"/>
          <w:b/>
          <w:color w:val="00000A"/>
          <w:sz w:val="22"/>
          <w:szCs w:val="22"/>
        </w:rPr>
        <w:t xml:space="preserve">(5) Informácia o sume a dôvodoch vzniku jednotlivých položiek nákladov alebo výnosov, ktoré majú výnimočný rozsah alebo výskyt </w:t>
      </w:r>
    </w:p>
    <w:p w:rsidR="00236F9B" w:rsidRDefault="005231C2">
      <w:pPr>
        <w:pStyle w:val="Vchodzie"/>
      </w:pPr>
      <w:r>
        <w:rPr>
          <w:rFonts w:ascii="Calibri" w:hAnsi="Calibri"/>
          <w:color w:val="00000A"/>
          <w:sz w:val="20"/>
          <w:szCs w:val="20"/>
        </w:rPr>
        <w:t>Účtovná jednotka neúčtovala v roku 201</w:t>
      </w:r>
      <w:r w:rsidR="007421F6">
        <w:rPr>
          <w:rFonts w:ascii="Calibri" w:hAnsi="Calibri"/>
          <w:color w:val="00000A"/>
          <w:sz w:val="20"/>
          <w:szCs w:val="20"/>
        </w:rPr>
        <w:t>7</w:t>
      </w:r>
      <w:r>
        <w:rPr>
          <w:rFonts w:ascii="Calibri" w:hAnsi="Calibri"/>
          <w:color w:val="00000A"/>
          <w:sz w:val="20"/>
          <w:szCs w:val="20"/>
        </w:rPr>
        <w:t xml:space="preserve"> o výnosoch alebo nákladoch, ktoré majú výnimočný rozsah alebo výskyt.</w:t>
      </w:r>
    </w:p>
    <w:p w:rsidR="00236F9B" w:rsidRDefault="00236F9B">
      <w:pPr>
        <w:pStyle w:val="Vchodzie"/>
      </w:pPr>
    </w:p>
    <w:p w:rsidR="00236F9B" w:rsidRDefault="00236F9B">
      <w:pPr>
        <w:pStyle w:val="Vchodzie"/>
      </w:pPr>
    </w:p>
    <w:p w:rsidR="00236F9B" w:rsidRDefault="005231C2">
      <w:pPr>
        <w:pStyle w:val="Vchodzie"/>
        <w:jc w:val="center"/>
      </w:pPr>
      <w:r>
        <w:rPr>
          <w:rFonts w:ascii="Calibri" w:hAnsi="Calibri"/>
          <w:b/>
          <w:bCs/>
          <w:color w:val="00000A"/>
          <w:sz w:val="22"/>
          <w:szCs w:val="22"/>
        </w:rPr>
        <w:t>V. Informácie o iných aktívach a iných pasívach</w:t>
      </w:r>
    </w:p>
    <w:p w:rsidR="00236F9B" w:rsidRDefault="00236F9B">
      <w:pPr>
        <w:pStyle w:val="Vchodzie"/>
        <w:jc w:val="center"/>
      </w:pPr>
    </w:p>
    <w:p w:rsidR="00236F9B" w:rsidRDefault="005231C2">
      <w:pPr>
        <w:pStyle w:val="Vchodzie"/>
        <w:spacing w:after="17"/>
      </w:pPr>
      <w:r>
        <w:rPr>
          <w:rFonts w:ascii="Calibri" w:hAnsi="Calibri"/>
          <w:b/>
          <w:color w:val="00000A"/>
          <w:sz w:val="22"/>
          <w:szCs w:val="22"/>
        </w:rPr>
        <w:t xml:space="preserve">(1) Informácie o iných aktívach a iných pasívach: </w:t>
      </w:r>
    </w:p>
    <w:p w:rsidR="00236F9B" w:rsidRDefault="00236F9B">
      <w:pPr>
        <w:pStyle w:val="Vchodzie"/>
        <w:spacing w:after="17"/>
      </w:pPr>
    </w:p>
    <w:p w:rsidR="00236F9B" w:rsidRDefault="005231C2">
      <w:pPr>
        <w:pStyle w:val="Vchodzie"/>
        <w:spacing w:after="17"/>
      </w:pPr>
      <w:r>
        <w:rPr>
          <w:rFonts w:ascii="Calibri" w:hAnsi="Calibri"/>
          <w:b/>
          <w:color w:val="00000A"/>
          <w:sz w:val="22"/>
          <w:szCs w:val="22"/>
        </w:rPr>
        <w:t>a) Informácie o podmienenom majetku</w:t>
      </w:r>
    </w:p>
    <w:p w:rsidR="00236F9B" w:rsidRDefault="005231C2">
      <w:pPr>
        <w:pStyle w:val="Vchodzie"/>
        <w:spacing w:after="17"/>
      </w:pPr>
      <w:r>
        <w:rPr>
          <w:rFonts w:ascii="Calibri" w:hAnsi="Calibri"/>
          <w:color w:val="00000A"/>
          <w:sz w:val="20"/>
          <w:szCs w:val="20"/>
        </w:rPr>
        <w:t>Účtovná jednotka nemá vedomosť o  žiadnom podmienenom majetku, ktorý sa nevykazuje v súvahe.</w:t>
      </w:r>
    </w:p>
    <w:p w:rsidR="00236F9B" w:rsidRDefault="00236F9B">
      <w:pPr>
        <w:pStyle w:val="Vchodzie"/>
        <w:spacing w:after="17"/>
      </w:pPr>
    </w:p>
    <w:p w:rsidR="00236F9B" w:rsidRPr="006E57E4" w:rsidRDefault="005231C2">
      <w:pPr>
        <w:pStyle w:val="Nzov"/>
        <w:widowControl w:val="0"/>
        <w:spacing w:after="0"/>
        <w:jc w:val="left"/>
        <w:rPr>
          <w:sz w:val="22"/>
          <w:szCs w:val="22"/>
        </w:rPr>
      </w:pPr>
      <w:r w:rsidRPr="006E57E4">
        <w:rPr>
          <w:rFonts w:ascii="Calibri" w:hAnsi="Calibri"/>
          <w:sz w:val="22"/>
          <w:szCs w:val="22"/>
        </w:rPr>
        <w:t>b) Informácie o podmienených záväzkoch</w:t>
      </w:r>
    </w:p>
    <w:p w:rsidR="00F720FA" w:rsidRDefault="00F720FA" w:rsidP="00F720FA">
      <w:pPr>
        <w:pStyle w:val="Vchodzie"/>
        <w:spacing w:after="17"/>
        <w:jc w:val="both"/>
        <w:rPr>
          <w:rFonts w:ascii="Calibri" w:hAnsi="Calibri"/>
          <w:color w:val="00000A"/>
          <w:sz w:val="20"/>
          <w:szCs w:val="20"/>
        </w:rPr>
      </w:pPr>
      <w:r w:rsidRPr="00F720FA">
        <w:rPr>
          <w:rFonts w:ascii="Calibri" w:hAnsi="Calibri"/>
          <w:color w:val="00000A"/>
          <w:sz w:val="20"/>
          <w:szCs w:val="20"/>
        </w:rPr>
        <w:t xml:space="preserve">Vzhľadom na to, že viaceré oblasti slovenského daňového práva (napr. legislatíva ohľadom transferového oceňovania) doteraz neboli dostatočne overené praxou, existuje neistota v tom, ako ich budú daňové orgány </w:t>
      </w:r>
      <w:r w:rsidRPr="00F720FA">
        <w:rPr>
          <w:rFonts w:ascii="Calibri" w:hAnsi="Calibri"/>
          <w:color w:val="00000A"/>
          <w:sz w:val="20"/>
          <w:szCs w:val="20"/>
        </w:rPr>
        <w:lastRenderedPageBreak/>
        <w:t>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F720FA" w:rsidRPr="00F720FA" w:rsidRDefault="00F720FA" w:rsidP="00F720FA">
      <w:pPr>
        <w:pStyle w:val="Vchodzie"/>
        <w:spacing w:after="17"/>
        <w:jc w:val="both"/>
        <w:rPr>
          <w:rFonts w:ascii="Calibri" w:hAnsi="Calibri"/>
          <w:color w:val="00000A"/>
          <w:sz w:val="20"/>
          <w:szCs w:val="20"/>
        </w:rPr>
      </w:pPr>
    </w:p>
    <w:p w:rsidR="00F720FA" w:rsidRDefault="00F720FA" w:rsidP="00F720FA">
      <w:pPr>
        <w:pStyle w:val="Vchodzie"/>
        <w:spacing w:after="17"/>
        <w:jc w:val="both"/>
        <w:rPr>
          <w:rFonts w:ascii="Calibri" w:hAnsi="Calibri"/>
          <w:color w:val="00000A"/>
          <w:sz w:val="20"/>
          <w:szCs w:val="20"/>
        </w:rPr>
      </w:pPr>
      <w:r w:rsidRPr="00F720FA">
        <w:rPr>
          <w:rFonts w:ascii="Calibri" w:hAnsi="Calibri"/>
          <w:color w:val="00000A"/>
          <w:sz w:val="20"/>
          <w:szCs w:val="20"/>
        </w:rPr>
        <w:t>Zamestnanec má na základe Zákonníka práce pri odchode do starobného dôchodku nárok na odmenu vo výške jednej priemernej mesačnej mzdy. Spoločnosť odhadla, že výška takéhoto záväzku spoločnosti voči zamestnancom nie je významná. Účtovné výkazy neobsahujú žiadnu úpravu z tohto titulu.</w:t>
      </w:r>
    </w:p>
    <w:p w:rsidR="00F720FA" w:rsidRPr="00F720FA" w:rsidRDefault="00F720FA" w:rsidP="00F720FA">
      <w:pPr>
        <w:pStyle w:val="Vchodzie"/>
        <w:spacing w:after="17"/>
        <w:jc w:val="both"/>
        <w:rPr>
          <w:rFonts w:ascii="Calibri" w:hAnsi="Calibri"/>
          <w:color w:val="00000A"/>
          <w:sz w:val="20"/>
          <w:szCs w:val="20"/>
        </w:rPr>
      </w:pPr>
    </w:p>
    <w:p w:rsidR="00236F9B" w:rsidRDefault="00F720FA" w:rsidP="00F720FA">
      <w:pPr>
        <w:pStyle w:val="Vchodzie"/>
        <w:spacing w:after="17"/>
        <w:jc w:val="both"/>
        <w:rPr>
          <w:rFonts w:ascii="Calibri" w:hAnsi="Calibri"/>
          <w:color w:val="00000A"/>
          <w:sz w:val="20"/>
          <w:szCs w:val="20"/>
        </w:rPr>
      </w:pPr>
      <w:r w:rsidRPr="00F720FA">
        <w:rPr>
          <w:rFonts w:ascii="Calibri" w:hAnsi="Calibri"/>
          <w:color w:val="00000A"/>
          <w:sz w:val="20"/>
          <w:szCs w:val="20"/>
        </w:rPr>
        <w:t>Okrem vyššie uvedeného, nemá Spoločnosť vedomosť o inom podmienenom majetku alebo podmienených záväzkoch, ktoré sa nevykazujú v súvahe.</w:t>
      </w:r>
    </w:p>
    <w:p w:rsidR="00F720FA" w:rsidRDefault="00F720FA" w:rsidP="00F720FA">
      <w:pPr>
        <w:pStyle w:val="Vchodzie"/>
        <w:spacing w:after="17"/>
        <w:jc w:val="both"/>
      </w:pPr>
    </w:p>
    <w:p w:rsidR="00236F9B" w:rsidRDefault="005231C2">
      <w:pPr>
        <w:pStyle w:val="Vchodzie"/>
        <w:rPr>
          <w:rFonts w:ascii="Calibri" w:hAnsi="Calibri"/>
          <w:b/>
          <w:color w:val="00000A"/>
          <w:sz w:val="22"/>
          <w:szCs w:val="22"/>
        </w:rPr>
      </w:pPr>
      <w:r>
        <w:rPr>
          <w:rFonts w:ascii="Calibri" w:hAnsi="Calibri"/>
          <w:b/>
          <w:color w:val="00000A"/>
          <w:sz w:val="22"/>
          <w:szCs w:val="22"/>
        </w:rPr>
        <w:t xml:space="preserve"> (2) Informácia o ostatných finančných povinnostiach, ktoré sa nevykazujú v účtovných výkazoch</w:t>
      </w:r>
    </w:p>
    <w:p w:rsidR="00236F9B" w:rsidRDefault="005231C2">
      <w:pPr>
        <w:pStyle w:val="Vchodzie"/>
        <w:jc w:val="both"/>
      </w:pPr>
      <w:r>
        <w:rPr>
          <w:rFonts w:ascii="Calibri" w:hAnsi="Calibri"/>
          <w:color w:val="00000A"/>
          <w:sz w:val="20"/>
          <w:szCs w:val="20"/>
        </w:rPr>
        <w:t>Spoločnosti nebolo udelené výlučné právo alebo osobitné právo poskytovať služby vo verejnom záujme. Na spoločnosť sa rovnako nevzťahuje § 23d ods. 6 zákona o účtovníctve.</w:t>
      </w:r>
    </w:p>
    <w:p w:rsidR="00236F9B" w:rsidRDefault="00236F9B">
      <w:pPr>
        <w:pStyle w:val="Vchodzie"/>
      </w:pPr>
    </w:p>
    <w:tbl>
      <w:tblPr>
        <w:tblW w:w="5000" w:type="pct"/>
        <w:tblCellSpacing w:w="15" w:type="dxa"/>
        <w:tblCellMar>
          <w:top w:w="15" w:type="dxa"/>
          <w:left w:w="15" w:type="dxa"/>
          <w:bottom w:w="15" w:type="dxa"/>
          <w:right w:w="15" w:type="dxa"/>
        </w:tblCellMar>
        <w:tblLook w:val="04A0"/>
      </w:tblPr>
      <w:tblGrid>
        <w:gridCol w:w="9503"/>
      </w:tblGrid>
      <w:tr w:rsidR="00C533B6" w:rsidRPr="00C533B6" w:rsidTr="00B264AD">
        <w:trPr>
          <w:tblCellSpacing w:w="15" w:type="dxa"/>
        </w:trPr>
        <w:tc>
          <w:tcPr>
            <w:tcW w:w="4968" w:type="pct"/>
            <w:vAlign w:val="center"/>
          </w:tcPr>
          <w:p w:rsidR="00C533B6" w:rsidRPr="00C533B6" w:rsidRDefault="005231C2" w:rsidP="00B264AD">
            <w:pPr>
              <w:rPr>
                <w:rFonts w:ascii="Times New Roman" w:eastAsia="Times New Roman" w:hAnsi="Times New Roman" w:cs="Times New Roman"/>
                <w:color w:val="FF0000"/>
                <w:sz w:val="24"/>
                <w:szCs w:val="24"/>
              </w:rPr>
            </w:pPr>
            <w:r>
              <w:rPr>
                <w:rFonts w:ascii="Calibri" w:hAnsi="Calibri"/>
                <w:b/>
                <w:color w:val="00000A"/>
              </w:rPr>
              <w:t xml:space="preserve">(3) Informácie ku skutočnostiam sledovaným na podsúvahových účtoch  </w:t>
            </w:r>
          </w:p>
        </w:tc>
      </w:tr>
    </w:tbl>
    <w:p w:rsidR="00F720FA" w:rsidRDefault="00F720FA">
      <w:pPr>
        <w:pStyle w:val="Vchodzie"/>
        <w:jc w:val="both"/>
        <w:rPr>
          <w:rFonts w:ascii="Calibri" w:hAnsi="Calibri"/>
          <w:color w:val="00000A"/>
          <w:sz w:val="20"/>
          <w:szCs w:val="20"/>
        </w:rPr>
      </w:pPr>
    </w:p>
    <w:p w:rsidR="00310480" w:rsidRDefault="00310480">
      <w:pPr>
        <w:pStyle w:val="Vchodzie"/>
        <w:jc w:val="center"/>
        <w:rPr>
          <w:rFonts w:ascii="Calibri" w:hAnsi="Calibri"/>
          <w:b/>
          <w:bCs/>
          <w:color w:val="00000A"/>
          <w:sz w:val="22"/>
          <w:szCs w:val="22"/>
        </w:rPr>
      </w:pPr>
    </w:p>
    <w:p w:rsidR="00236F9B" w:rsidRDefault="005231C2">
      <w:pPr>
        <w:pStyle w:val="Vchodzie"/>
        <w:jc w:val="center"/>
      </w:pPr>
      <w:r>
        <w:rPr>
          <w:rFonts w:ascii="Calibri" w:hAnsi="Calibri"/>
          <w:b/>
          <w:bCs/>
          <w:color w:val="00000A"/>
          <w:sz w:val="22"/>
          <w:szCs w:val="22"/>
        </w:rPr>
        <w:t>VI. Udalosti, ktoré nastali po dni, ku ktorému sa zostavuje účtovná závierka</w:t>
      </w:r>
    </w:p>
    <w:p w:rsidR="00236F9B" w:rsidRDefault="00236F9B">
      <w:pPr>
        <w:pStyle w:val="Vchodzie"/>
        <w:jc w:val="center"/>
      </w:pPr>
    </w:p>
    <w:p w:rsidR="00236F9B" w:rsidRDefault="005231C2">
      <w:pPr>
        <w:pStyle w:val="Vchodzie"/>
        <w:jc w:val="both"/>
      </w:pPr>
      <w:r>
        <w:rPr>
          <w:rFonts w:ascii="Calibri" w:hAnsi="Calibri"/>
          <w:bCs/>
          <w:color w:val="00000A"/>
          <w:sz w:val="20"/>
          <w:szCs w:val="20"/>
        </w:rPr>
        <w:t>Po 31. decembri 201</w:t>
      </w:r>
      <w:r w:rsidR="007421F6">
        <w:rPr>
          <w:rFonts w:ascii="Calibri" w:hAnsi="Calibri"/>
          <w:bCs/>
          <w:color w:val="00000A"/>
          <w:sz w:val="20"/>
          <w:szCs w:val="20"/>
        </w:rPr>
        <w:t>7</w:t>
      </w:r>
      <w:r>
        <w:rPr>
          <w:rFonts w:ascii="Calibri" w:hAnsi="Calibri"/>
          <w:bCs/>
          <w:color w:val="00000A"/>
          <w:sz w:val="20"/>
          <w:szCs w:val="20"/>
        </w:rPr>
        <w:t xml:space="preserve"> do dňa zostavenia účtovnej závierky spoločnosti nenastali také udalosti, ktoré by si vyžadovali zverejnenie alebo vykázanie v účtovnej závierke za rok 201</w:t>
      </w:r>
      <w:r w:rsidR="007421F6">
        <w:rPr>
          <w:rFonts w:ascii="Calibri" w:hAnsi="Calibri"/>
          <w:bCs/>
          <w:color w:val="00000A"/>
          <w:sz w:val="20"/>
          <w:szCs w:val="20"/>
        </w:rPr>
        <w:t>7</w:t>
      </w:r>
      <w:r>
        <w:rPr>
          <w:rFonts w:ascii="Calibri" w:hAnsi="Calibri"/>
          <w:bCs/>
          <w:color w:val="00000A"/>
          <w:sz w:val="20"/>
          <w:szCs w:val="20"/>
        </w:rPr>
        <w:t>.</w:t>
      </w:r>
    </w:p>
    <w:p w:rsidR="00236F9B" w:rsidRDefault="00236F9B">
      <w:pPr>
        <w:pStyle w:val="Vchodzie"/>
        <w:jc w:val="both"/>
      </w:pPr>
      <w:bookmarkStart w:id="1" w:name="_GoBack"/>
      <w:bookmarkEnd w:id="1"/>
    </w:p>
    <w:sectPr w:rsidR="00236F9B" w:rsidSect="005C39BF">
      <w:headerReference w:type="default" r:id="rId7"/>
      <w:pgSz w:w="11906" w:h="17338"/>
      <w:pgMar w:top="1717" w:right="1156" w:bottom="879" w:left="1337" w:header="708" w:footer="0" w:gutter="0"/>
      <w:cols w:space="708"/>
      <w:formProt w:val="0"/>
      <w:docGrid w:linePitch="2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39F" w:rsidRDefault="009B339F">
      <w:pPr>
        <w:spacing w:after="0" w:line="240" w:lineRule="auto"/>
      </w:pPr>
      <w:r>
        <w:separator/>
      </w:r>
    </w:p>
  </w:endnote>
  <w:endnote w:type="continuationSeparator" w:id="0">
    <w:p w:rsidR="009B339F" w:rsidRDefault="009B33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Narrow">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39F" w:rsidRDefault="009B339F">
      <w:pPr>
        <w:spacing w:after="0" w:line="240" w:lineRule="auto"/>
      </w:pPr>
      <w:r>
        <w:separator/>
      </w:r>
    </w:p>
  </w:footnote>
  <w:footnote w:type="continuationSeparator" w:id="0">
    <w:p w:rsidR="009B339F" w:rsidRDefault="009B33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1FB" w:rsidRDefault="00F66926">
    <w:pPr>
      <w:pStyle w:val="Hlavika"/>
    </w:pPr>
    <w:r>
      <w:t>Poznámky Uč. POD 3-01</w:t>
    </w:r>
    <w:r w:rsidR="005801FB">
      <w:t xml:space="preserve">                                    IČO: 34 123 768        DIČ: 2020400360</w:t>
    </w:r>
  </w:p>
  <w:p w:rsidR="005801FB" w:rsidRDefault="005801FB">
    <w:pPr>
      <w:pStyle w:val="Hlavika"/>
    </w:pPr>
  </w:p>
  <w:p w:rsidR="00236F9B" w:rsidRDefault="00236F9B">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E01C4"/>
    <w:multiLevelType w:val="multilevel"/>
    <w:tmpl w:val="E190DEAE"/>
    <w:lvl w:ilvl="0">
      <w:start w:val="1"/>
      <w:numFmt w:val="none"/>
      <w:pStyle w:val="Nadpis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D2D5F8C"/>
    <w:multiLevelType w:val="multilevel"/>
    <w:tmpl w:val="8F682E66"/>
    <w:lvl w:ilvl="0">
      <w:start w:val="2"/>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236F9B"/>
    <w:rsid w:val="0000638B"/>
    <w:rsid w:val="00007A32"/>
    <w:rsid w:val="00020BF4"/>
    <w:rsid w:val="001150AB"/>
    <w:rsid w:val="0019660E"/>
    <w:rsid w:val="001E1BAA"/>
    <w:rsid w:val="00236F9B"/>
    <w:rsid w:val="00302FCF"/>
    <w:rsid w:val="00307F28"/>
    <w:rsid w:val="00310480"/>
    <w:rsid w:val="00440E79"/>
    <w:rsid w:val="0048297A"/>
    <w:rsid w:val="005231C2"/>
    <w:rsid w:val="005801FB"/>
    <w:rsid w:val="005C2ED6"/>
    <w:rsid w:val="005C39BF"/>
    <w:rsid w:val="005D1514"/>
    <w:rsid w:val="005E51F3"/>
    <w:rsid w:val="006D6C42"/>
    <w:rsid w:val="006E57E4"/>
    <w:rsid w:val="007421F6"/>
    <w:rsid w:val="00783FB9"/>
    <w:rsid w:val="008A014B"/>
    <w:rsid w:val="009375C3"/>
    <w:rsid w:val="009B339F"/>
    <w:rsid w:val="00AF77E8"/>
    <w:rsid w:val="00B264AD"/>
    <w:rsid w:val="00B340A2"/>
    <w:rsid w:val="00BB5B35"/>
    <w:rsid w:val="00C04CE3"/>
    <w:rsid w:val="00C50B7A"/>
    <w:rsid w:val="00C533B6"/>
    <w:rsid w:val="00C82F35"/>
    <w:rsid w:val="00E30D22"/>
    <w:rsid w:val="00F66926"/>
    <w:rsid w:val="00F720F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C39BF"/>
  </w:style>
  <w:style w:type="paragraph" w:styleId="Nadpis1">
    <w:name w:val="heading 1"/>
    <w:basedOn w:val="Vchodzie"/>
    <w:next w:val="Telotextu"/>
    <w:rsid w:val="005C39BF"/>
    <w:pPr>
      <w:keepNext/>
      <w:numPr>
        <w:numId w:val="1"/>
      </w:numPr>
      <w:spacing w:before="240" w:after="60"/>
      <w:outlineLvl w:val="0"/>
    </w:pPr>
    <w:rPr>
      <w:rFonts w:ascii="Cambria" w:hAnsi="Cambria"/>
      <w:b/>
      <w:bCs/>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chodzie">
    <w:name w:val="Východzie"/>
    <w:rsid w:val="005C39BF"/>
    <w:pPr>
      <w:suppressAutoHyphens/>
      <w:spacing w:after="0" w:line="100" w:lineRule="atLeast"/>
    </w:pPr>
    <w:rPr>
      <w:rFonts w:ascii="Arial" w:eastAsia="Arial Unicode MS" w:hAnsi="Arial" w:cs="Arial"/>
      <w:color w:val="000000"/>
      <w:sz w:val="24"/>
      <w:szCs w:val="24"/>
      <w:lang w:eastAsia="en-US"/>
    </w:rPr>
  </w:style>
  <w:style w:type="character" w:customStyle="1" w:styleId="HlavikaChar">
    <w:name w:val="Hlavička Char"/>
    <w:basedOn w:val="Predvolenpsmoodseku"/>
    <w:uiPriority w:val="99"/>
    <w:rsid w:val="005C39BF"/>
  </w:style>
  <w:style w:type="character" w:customStyle="1" w:styleId="PtaChar">
    <w:name w:val="Päta Char"/>
    <w:basedOn w:val="Predvolenpsmoodseku"/>
    <w:rsid w:val="005C39BF"/>
  </w:style>
  <w:style w:type="character" w:customStyle="1" w:styleId="ZkladntextChar">
    <w:name w:val="Základný text Char"/>
    <w:basedOn w:val="Predvolenpsmoodseku"/>
    <w:rsid w:val="005C39BF"/>
    <w:rPr>
      <w:rFonts w:ascii="Times New Roman" w:eastAsia="Times New Roman" w:hAnsi="Times New Roman" w:cs="Times New Roman"/>
      <w:b/>
      <w:bCs/>
      <w:sz w:val="24"/>
      <w:szCs w:val="24"/>
      <w:lang w:eastAsia="cs-CZ"/>
    </w:rPr>
  </w:style>
  <w:style w:type="character" w:customStyle="1" w:styleId="Nadpis1Char">
    <w:name w:val="Nadpis 1 Char"/>
    <w:basedOn w:val="Predvolenpsmoodseku"/>
    <w:rsid w:val="005C39BF"/>
    <w:rPr>
      <w:rFonts w:ascii="Cambria" w:eastAsia="Times New Roman" w:hAnsi="Cambria" w:cs="Times New Roman"/>
      <w:b/>
      <w:bCs/>
      <w:sz w:val="32"/>
      <w:szCs w:val="32"/>
    </w:rPr>
  </w:style>
  <w:style w:type="character" w:customStyle="1" w:styleId="NzovChar">
    <w:name w:val="Názov Char"/>
    <w:basedOn w:val="Predvolenpsmoodseku"/>
    <w:rsid w:val="005C39BF"/>
    <w:rPr>
      <w:rFonts w:ascii="Arial Narrow" w:eastAsia="Times New Roman" w:hAnsi="Arial Narrow" w:cs="Times New Roman"/>
      <w:b/>
      <w:bCs/>
      <w:sz w:val="32"/>
      <w:szCs w:val="32"/>
    </w:rPr>
  </w:style>
  <w:style w:type="character" w:customStyle="1" w:styleId="ListLabel1">
    <w:name w:val="ListLabel 1"/>
    <w:rsid w:val="005C39BF"/>
    <w:rPr>
      <w:rFonts w:cs="Times New Roman"/>
    </w:rPr>
  </w:style>
  <w:style w:type="character" w:customStyle="1" w:styleId="ListLabel2">
    <w:name w:val="ListLabel 2"/>
    <w:rsid w:val="005C39BF"/>
    <w:rPr>
      <w:rFonts w:eastAsia="Calibri" w:cs="Calibri"/>
    </w:rPr>
  </w:style>
  <w:style w:type="character" w:customStyle="1" w:styleId="ListLabel3">
    <w:name w:val="ListLabel 3"/>
    <w:rsid w:val="005C39BF"/>
    <w:rPr>
      <w:rFonts w:cs="Courier New"/>
    </w:rPr>
  </w:style>
  <w:style w:type="character" w:customStyle="1" w:styleId="ListLabel4">
    <w:name w:val="ListLabel 4"/>
    <w:rsid w:val="005C39BF"/>
    <w:rPr>
      <w:rFonts w:eastAsia="Times New Roman" w:cs="Arial Narrow"/>
    </w:rPr>
  </w:style>
  <w:style w:type="character" w:customStyle="1" w:styleId="ListLabel5">
    <w:name w:val="ListLabel 5"/>
    <w:rsid w:val="005C39BF"/>
    <w:rPr>
      <w:rFonts w:cs="Calibri"/>
    </w:rPr>
  </w:style>
  <w:style w:type="character" w:customStyle="1" w:styleId="ListLabel6">
    <w:name w:val="ListLabel 6"/>
    <w:rsid w:val="005C39BF"/>
    <w:rPr>
      <w:rFonts w:cs="Courier New"/>
    </w:rPr>
  </w:style>
  <w:style w:type="character" w:customStyle="1" w:styleId="ListLabel7">
    <w:name w:val="ListLabel 7"/>
    <w:rsid w:val="005C39BF"/>
    <w:rPr>
      <w:rFonts w:cs="Wingdings"/>
    </w:rPr>
  </w:style>
  <w:style w:type="character" w:customStyle="1" w:styleId="ListLabel8">
    <w:name w:val="ListLabel 8"/>
    <w:rsid w:val="005C39BF"/>
    <w:rPr>
      <w:rFonts w:cs="Symbol"/>
    </w:rPr>
  </w:style>
  <w:style w:type="character" w:customStyle="1" w:styleId="ListLabel9">
    <w:name w:val="ListLabel 9"/>
    <w:rsid w:val="005C39BF"/>
    <w:rPr>
      <w:rFonts w:cs="Calibri"/>
    </w:rPr>
  </w:style>
  <w:style w:type="character" w:customStyle="1" w:styleId="ListLabel10">
    <w:name w:val="ListLabel 10"/>
    <w:rsid w:val="005C39BF"/>
    <w:rPr>
      <w:rFonts w:cs="Courier New"/>
    </w:rPr>
  </w:style>
  <w:style w:type="character" w:customStyle="1" w:styleId="ListLabel11">
    <w:name w:val="ListLabel 11"/>
    <w:rsid w:val="005C39BF"/>
    <w:rPr>
      <w:rFonts w:cs="Wingdings"/>
    </w:rPr>
  </w:style>
  <w:style w:type="character" w:customStyle="1" w:styleId="ListLabel12">
    <w:name w:val="ListLabel 12"/>
    <w:rsid w:val="005C39BF"/>
    <w:rPr>
      <w:rFonts w:cs="Symbol"/>
    </w:rPr>
  </w:style>
  <w:style w:type="character" w:customStyle="1" w:styleId="ListLabel13">
    <w:name w:val="ListLabel 13"/>
    <w:rsid w:val="005C39BF"/>
    <w:rPr>
      <w:rFonts w:cs="Calibri"/>
    </w:rPr>
  </w:style>
  <w:style w:type="character" w:customStyle="1" w:styleId="ListLabel14">
    <w:name w:val="ListLabel 14"/>
    <w:rsid w:val="005C39BF"/>
    <w:rPr>
      <w:rFonts w:cs="Courier New"/>
    </w:rPr>
  </w:style>
  <w:style w:type="character" w:customStyle="1" w:styleId="ListLabel15">
    <w:name w:val="ListLabel 15"/>
    <w:rsid w:val="005C39BF"/>
    <w:rPr>
      <w:rFonts w:cs="Wingdings"/>
    </w:rPr>
  </w:style>
  <w:style w:type="character" w:customStyle="1" w:styleId="ListLabel16">
    <w:name w:val="ListLabel 16"/>
    <w:rsid w:val="005C39BF"/>
    <w:rPr>
      <w:rFonts w:cs="Symbol"/>
    </w:rPr>
  </w:style>
  <w:style w:type="paragraph" w:customStyle="1" w:styleId="Nadpis">
    <w:name w:val="Nadpis"/>
    <w:basedOn w:val="Vchodzie"/>
    <w:next w:val="Telotextu"/>
    <w:rsid w:val="005C39BF"/>
    <w:pPr>
      <w:keepNext/>
      <w:spacing w:before="240" w:after="120"/>
    </w:pPr>
    <w:rPr>
      <w:rFonts w:cs="Mangal"/>
      <w:sz w:val="28"/>
      <w:szCs w:val="28"/>
    </w:rPr>
  </w:style>
  <w:style w:type="paragraph" w:customStyle="1" w:styleId="Telotextu">
    <w:name w:val="Telo textu"/>
    <w:basedOn w:val="Vchodzie"/>
    <w:rsid w:val="005C39BF"/>
    <w:pPr>
      <w:spacing w:after="120"/>
      <w:jc w:val="both"/>
    </w:pPr>
    <w:rPr>
      <w:rFonts w:ascii="Times New Roman" w:hAnsi="Times New Roman"/>
      <w:b/>
      <w:bCs/>
      <w:lang w:eastAsia="cs-CZ"/>
    </w:rPr>
  </w:style>
  <w:style w:type="paragraph" w:styleId="Zoznam">
    <w:name w:val="List"/>
    <w:basedOn w:val="Telotextu"/>
    <w:rsid w:val="005C39BF"/>
    <w:rPr>
      <w:rFonts w:cs="Mangal"/>
    </w:rPr>
  </w:style>
  <w:style w:type="paragraph" w:styleId="Popis">
    <w:name w:val="caption"/>
    <w:basedOn w:val="Vchodzie"/>
    <w:rsid w:val="005C39BF"/>
    <w:pPr>
      <w:suppressLineNumbers/>
      <w:spacing w:before="120" w:after="120"/>
    </w:pPr>
    <w:rPr>
      <w:rFonts w:cs="Mangal"/>
      <w:i/>
      <w:iCs/>
    </w:rPr>
  </w:style>
  <w:style w:type="paragraph" w:customStyle="1" w:styleId="Index">
    <w:name w:val="Index"/>
    <w:basedOn w:val="Vchodzie"/>
    <w:rsid w:val="005C39BF"/>
    <w:pPr>
      <w:suppressLineNumbers/>
    </w:pPr>
    <w:rPr>
      <w:rFonts w:cs="Mangal"/>
    </w:rPr>
  </w:style>
  <w:style w:type="paragraph" w:styleId="Hlavika">
    <w:name w:val="header"/>
    <w:basedOn w:val="Vchodzie"/>
    <w:uiPriority w:val="99"/>
    <w:rsid w:val="005C39BF"/>
    <w:pPr>
      <w:suppressLineNumbers/>
      <w:tabs>
        <w:tab w:val="center" w:pos="4536"/>
        <w:tab w:val="right" w:pos="9072"/>
      </w:tabs>
    </w:pPr>
  </w:style>
  <w:style w:type="paragraph" w:styleId="Pta">
    <w:name w:val="footer"/>
    <w:basedOn w:val="Vchodzie"/>
    <w:rsid w:val="005C39BF"/>
    <w:pPr>
      <w:suppressLineNumbers/>
      <w:tabs>
        <w:tab w:val="center" w:pos="4536"/>
        <w:tab w:val="right" w:pos="9072"/>
      </w:tabs>
    </w:pPr>
  </w:style>
  <w:style w:type="paragraph" w:styleId="Odsekzoznamu">
    <w:name w:val="List Paragraph"/>
    <w:basedOn w:val="Vchodzie"/>
    <w:rsid w:val="005C39BF"/>
    <w:pPr>
      <w:spacing w:after="200" w:line="276" w:lineRule="auto"/>
      <w:ind w:left="720"/>
      <w:contextualSpacing/>
    </w:pPr>
    <w:rPr>
      <w:rFonts w:ascii="Calibri" w:eastAsia="Calibri" w:hAnsi="Calibri"/>
      <w:sz w:val="22"/>
      <w:szCs w:val="22"/>
    </w:rPr>
  </w:style>
  <w:style w:type="paragraph" w:customStyle="1" w:styleId="TopHeader">
    <w:name w:val="Top Header"/>
    <w:basedOn w:val="Vchodzie"/>
    <w:rsid w:val="005C39BF"/>
    <w:pPr>
      <w:jc w:val="center"/>
    </w:pPr>
    <w:rPr>
      <w:b/>
      <w:bCs/>
      <w:sz w:val="22"/>
      <w:szCs w:val="22"/>
    </w:rPr>
  </w:style>
  <w:style w:type="paragraph" w:customStyle="1" w:styleId="Tabulka">
    <w:name w:val="Tabulka"/>
    <w:basedOn w:val="Vchodzie"/>
    <w:rsid w:val="005C39BF"/>
    <w:rPr>
      <w:rFonts w:ascii="Times New Roman" w:hAnsi="Times New Roman"/>
      <w:sz w:val="18"/>
      <w:szCs w:val="20"/>
    </w:rPr>
  </w:style>
  <w:style w:type="paragraph" w:customStyle="1" w:styleId="Pismenka">
    <w:name w:val="Pismenka"/>
    <w:basedOn w:val="Telotextu"/>
    <w:rsid w:val="005C39BF"/>
    <w:pPr>
      <w:tabs>
        <w:tab w:val="left" w:pos="426"/>
      </w:tabs>
      <w:ind w:hanging="426"/>
    </w:pPr>
    <w:rPr>
      <w:bCs w:val="0"/>
      <w:sz w:val="18"/>
      <w:szCs w:val="20"/>
      <w:lang w:eastAsia="en-US"/>
    </w:rPr>
  </w:style>
  <w:style w:type="paragraph" w:styleId="Nzov">
    <w:name w:val="Title"/>
    <w:basedOn w:val="Vchodzie"/>
    <w:next w:val="Podnzov"/>
    <w:rsid w:val="005C39BF"/>
    <w:pPr>
      <w:keepNext/>
      <w:spacing w:before="28" w:after="220"/>
      <w:jc w:val="center"/>
    </w:pPr>
    <w:rPr>
      <w:b/>
      <w:bCs/>
      <w:sz w:val="32"/>
      <w:szCs w:val="32"/>
    </w:rPr>
  </w:style>
  <w:style w:type="paragraph" w:customStyle="1" w:styleId="Podnzov">
    <w:name w:val="Podnázov"/>
    <w:basedOn w:val="Nadpis"/>
    <w:next w:val="Telotextu"/>
    <w:rsid w:val="005C39BF"/>
    <w:pPr>
      <w:jc w:val="center"/>
    </w:pPr>
    <w:rPr>
      <w:i/>
      <w:iCs/>
    </w:rPr>
  </w:style>
  <w:style w:type="character" w:customStyle="1" w:styleId="ra">
    <w:name w:val="ra"/>
    <w:basedOn w:val="Predvolenpsmoodseku"/>
    <w:rsid w:val="00C50B7A"/>
  </w:style>
  <w:style w:type="paragraph" w:styleId="Textbubliny">
    <w:name w:val="Balloon Text"/>
    <w:basedOn w:val="Normlny"/>
    <w:link w:val="TextbublinyChar"/>
    <w:uiPriority w:val="99"/>
    <w:semiHidden/>
    <w:unhideWhenUsed/>
    <w:rsid w:val="005801F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801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2266</Words>
  <Characters>12920</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Kukucova</dc:creator>
  <cp:lastModifiedBy>Terezia Kaczova</cp:lastModifiedBy>
  <cp:revision>2</cp:revision>
  <dcterms:created xsi:type="dcterms:W3CDTF">2018-03-29T11:13:00Z</dcterms:created>
  <dcterms:modified xsi:type="dcterms:W3CDTF">2018-03-29T11:13:00Z</dcterms:modified>
</cp:coreProperties>
</file>