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tblBorders>
          <w:top w:val="single" w:sz="4" w:space="0" w:color="auto"/>
          <w:left w:val="single" w:sz="4" w:space="0" w:color="auto"/>
          <w:bottom w:val="single" w:sz="4" w:space="0" w:color="auto"/>
          <w:right w:val="single" w:sz="4" w:space="0" w:color="auto"/>
        </w:tblBorders>
        <w:tblLook w:val="04A0"/>
      </w:tblPr>
      <w:tblGrid>
        <w:gridCol w:w="9854"/>
      </w:tblGrid>
      <w:tr w:rsidR="00CE4FC0" w:rsidRPr="00CE4FC0" w:rsidTr="00D60C0F">
        <w:tc>
          <w:tcPr>
            <w:tcW w:w="5000" w:type="pct"/>
            <w:tcBorders>
              <w:top w:val="single" w:sz="4" w:space="0" w:color="auto"/>
              <w:bottom w:val="single" w:sz="4" w:space="0" w:color="auto"/>
            </w:tcBorders>
            <w:shd w:val="clear" w:color="auto" w:fill="C0C0C0"/>
          </w:tcPr>
          <w:p w:rsidR="00CE4FC0" w:rsidRPr="00CE4FC0" w:rsidRDefault="00CE4FC0" w:rsidP="00CE4FC0">
            <w:pPr>
              <w:jc w:val="center"/>
              <w:rPr>
                <w:rFonts w:ascii="Calibri" w:eastAsia="Times New Roman" w:hAnsi="Calibri" w:cs="Times New Roman"/>
                <w:b/>
                <w:sz w:val="32"/>
                <w:szCs w:val="32"/>
              </w:rPr>
            </w:pPr>
            <w:r w:rsidRPr="00CE4FC0">
              <w:rPr>
                <w:rFonts w:ascii="Calibri" w:eastAsia="Times New Roman" w:hAnsi="Calibri" w:cs="Times New Roman"/>
                <w:b/>
                <w:sz w:val="32"/>
                <w:szCs w:val="32"/>
              </w:rPr>
              <w:t>Článok I - Všeobecné informácie</w:t>
            </w:r>
          </w:p>
        </w:tc>
      </w:tr>
    </w:tbl>
    <w:p w:rsidR="00CE4FC0" w:rsidRPr="00CE4FC0" w:rsidRDefault="00CE4FC0" w:rsidP="00CE4FC0">
      <w:pPr>
        <w:spacing w:after="200" w:line="276" w:lineRule="auto"/>
        <w:jc w:val="center"/>
        <w:rPr>
          <w:rFonts w:ascii="Calibri" w:eastAsia="Times New Roman" w:hAnsi="Calibri" w:cs="Times New Roman"/>
          <w:sz w:val="20"/>
          <w:szCs w:val="20"/>
        </w:rPr>
      </w:pPr>
    </w:p>
    <w:tbl>
      <w:tblPr>
        <w:tblW w:w="5000" w:type="pct"/>
        <w:tblBorders>
          <w:top w:val="single" w:sz="4" w:space="0" w:color="auto"/>
          <w:left w:val="single" w:sz="4" w:space="0" w:color="auto"/>
          <w:bottom w:val="single" w:sz="4" w:space="0" w:color="auto"/>
          <w:right w:val="single" w:sz="4" w:space="0" w:color="auto"/>
        </w:tblBorders>
        <w:tblLook w:val="04A0"/>
      </w:tblPr>
      <w:tblGrid>
        <w:gridCol w:w="9854"/>
      </w:tblGrid>
      <w:tr w:rsidR="00CE4FC0" w:rsidRPr="00CE4FC0" w:rsidTr="00D60C0F">
        <w:tc>
          <w:tcPr>
            <w:tcW w:w="5000" w:type="pct"/>
            <w:tcBorders>
              <w:top w:val="single" w:sz="4" w:space="0" w:color="auto"/>
              <w:bottom w:val="single" w:sz="4" w:space="0" w:color="auto"/>
            </w:tcBorders>
            <w:shd w:val="clear" w:color="auto" w:fill="C0C0C0"/>
          </w:tcPr>
          <w:p w:rsidR="00CE4FC0" w:rsidRPr="00CE4FC0" w:rsidRDefault="00CE4FC0" w:rsidP="00CE4FC0">
            <w:pPr>
              <w:jc w:val="center"/>
              <w:rPr>
                <w:rFonts w:ascii="Calibri" w:eastAsia="Times New Roman" w:hAnsi="Calibri" w:cs="Times New Roman"/>
                <w:b/>
                <w:sz w:val="20"/>
                <w:szCs w:val="20"/>
              </w:rPr>
            </w:pPr>
            <w:r w:rsidRPr="00CE4FC0">
              <w:rPr>
                <w:rFonts w:ascii="Calibri" w:eastAsia="Times New Roman" w:hAnsi="Calibri" w:cs="Times New Roman"/>
                <w:b/>
                <w:sz w:val="20"/>
                <w:szCs w:val="20"/>
              </w:rPr>
              <w:t>I. 1 a) Názov a sídlo spoločnosti</w:t>
            </w:r>
          </w:p>
        </w:tc>
      </w:tr>
    </w:tbl>
    <w:p w:rsidR="00CE4FC0" w:rsidRPr="00CE4FC0" w:rsidRDefault="00CE4FC0" w:rsidP="00CE4FC0">
      <w:pPr>
        <w:spacing w:after="200" w:line="276" w:lineRule="auto"/>
        <w:jc w:val="center"/>
        <w:rPr>
          <w:rFonts w:ascii="Calibri" w:eastAsia="Times New Roman" w:hAnsi="Calibri" w:cs="Times New Roman"/>
          <w:sz w:val="20"/>
          <w:szCs w:val="20"/>
        </w:rPr>
      </w:pPr>
    </w:p>
    <w:p w:rsidR="00CE4FC0" w:rsidRPr="00CE4FC0" w:rsidRDefault="00CE4FC0" w:rsidP="00CE4FC0">
      <w:pPr>
        <w:autoSpaceDE w:val="0"/>
        <w:autoSpaceDN w:val="0"/>
        <w:adjustRightInd w:val="0"/>
        <w:rPr>
          <w:rFonts w:ascii="Microsoft Sans Serif" w:eastAsia="Times New Roman" w:hAnsi="Microsoft Sans Serif" w:cs="Microsoft Sans Serif"/>
          <w:sz w:val="17"/>
          <w:szCs w:val="17"/>
          <w:lang w:eastAsia="sk-SK"/>
        </w:rPr>
      </w:pPr>
      <w:r w:rsidRPr="00CE4FC0">
        <w:rPr>
          <w:rFonts w:ascii="Microsoft Sans Serif" w:eastAsia="Times New Roman" w:hAnsi="Microsoft Sans Serif" w:cs="Microsoft Sans Serif"/>
          <w:sz w:val="17"/>
          <w:szCs w:val="17"/>
          <w:lang w:eastAsia="sk-SK"/>
        </w:rPr>
        <w:t>AMW a.s.</w:t>
      </w:r>
    </w:p>
    <w:p w:rsidR="00CE4FC0" w:rsidRPr="00CE4FC0" w:rsidRDefault="00CE4FC0" w:rsidP="00CE4FC0">
      <w:pPr>
        <w:autoSpaceDE w:val="0"/>
        <w:autoSpaceDN w:val="0"/>
        <w:adjustRightInd w:val="0"/>
        <w:rPr>
          <w:rFonts w:ascii="Microsoft Sans Serif" w:eastAsia="Times New Roman" w:hAnsi="Microsoft Sans Serif" w:cs="Microsoft Sans Serif"/>
          <w:sz w:val="17"/>
          <w:szCs w:val="17"/>
          <w:lang w:eastAsia="sk-SK"/>
        </w:rPr>
      </w:pPr>
      <w:r w:rsidRPr="00CE4FC0">
        <w:rPr>
          <w:rFonts w:ascii="Microsoft Sans Serif" w:eastAsia="Times New Roman" w:hAnsi="Microsoft Sans Serif" w:cs="Microsoft Sans Serif"/>
          <w:sz w:val="17"/>
          <w:szCs w:val="17"/>
          <w:lang w:eastAsia="sk-SK"/>
        </w:rPr>
        <w:t>Mostová 2</w:t>
      </w:r>
    </w:p>
    <w:p w:rsidR="00CE4FC0" w:rsidRPr="00CE4FC0" w:rsidRDefault="00CE4FC0" w:rsidP="00CE4FC0">
      <w:pPr>
        <w:autoSpaceDE w:val="0"/>
        <w:autoSpaceDN w:val="0"/>
        <w:adjustRightInd w:val="0"/>
        <w:rPr>
          <w:rFonts w:ascii="Microsoft Sans Serif" w:eastAsia="Times New Roman" w:hAnsi="Microsoft Sans Serif" w:cs="Microsoft Sans Serif"/>
          <w:sz w:val="17"/>
          <w:szCs w:val="17"/>
          <w:lang w:eastAsia="sk-SK"/>
        </w:rPr>
      </w:pPr>
      <w:r w:rsidRPr="00CE4FC0">
        <w:rPr>
          <w:rFonts w:ascii="Microsoft Sans Serif" w:eastAsia="Times New Roman" w:hAnsi="Microsoft Sans Serif" w:cs="Microsoft Sans Serif"/>
          <w:sz w:val="17"/>
          <w:szCs w:val="17"/>
          <w:lang w:eastAsia="sk-SK"/>
        </w:rPr>
        <w:t>811 01 Bratislava</w:t>
      </w:r>
    </w:p>
    <w:p w:rsidR="00CE4FC0" w:rsidRPr="00CE4FC0" w:rsidRDefault="00CE4FC0" w:rsidP="00CE4FC0">
      <w:pPr>
        <w:autoSpaceDE w:val="0"/>
        <w:autoSpaceDN w:val="0"/>
        <w:adjustRightInd w:val="0"/>
        <w:rPr>
          <w:rFonts w:ascii="Microsoft Sans Serif" w:eastAsia="Times New Roman" w:hAnsi="Microsoft Sans Serif" w:cs="Microsoft Sans Serif"/>
          <w:sz w:val="17"/>
          <w:szCs w:val="17"/>
          <w:lang w:eastAsia="sk-SK"/>
        </w:rPr>
      </w:pPr>
      <w:r w:rsidRPr="00CE4FC0">
        <w:rPr>
          <w:rFonts w:ascii="Microsoft Sans Serif" w:eastAsia="Times New Roman" w:hAnsi="Microsoft Sans Serif" w:cs="Microsoft Sans Serif"/>
          <w:sz w:val="17"/>
          <w:szCs w:val="17"/>
          <w:lang w:eastAsia="sk-SK"/>
        </w:rPr>
        <w:t>Dátum založenia : 29.03.2007</w:t>
      </w:r>
    </w:p>
    <w:p w:rsidR="00CE4FC0" w:rsidRPr="00CE4FC0" w:rsidRDefault="00CE4FC0" w:rsidP="00CE4FC0">
      <w:pPr>
        <w:autoSpaceDE w:val="0"/>
        <w:autoSpaceDN w:val="0"/>
        <w:adjustRightInd w:val="0"/>
        <w:rPr>
          <w:rFonts w:ascii="Microsoft Sans Serif" w:eastAsia="Times New Roman" w:hAnsi="Microsoft Sans Serif" w:cs="Microsoft Sans Serif"/>
          <w:sz w:val="17"/>
          <w:szCs w:val="17"/>
          <w:lang w:eastAsia="sk-SK"/>
        </w:rPr>
      </w:pPr>
      <w:r w:rsidRPr="00CE4FC0">
        <w:rPr>
          <w:rFonts w:ascii="Microsoft Sans Serif" w:eastAsia="Times New Roman" w:hAnsi="Microsoft Sans Serif" w:cs="Microsoft Sans Serif"/>
          <w:sz w:val="17"/>
          <w:szCs w:val="17"/>
          <w:lang w:eastAsia="sk-SK"/>
        </w:rPr>
        <w:t>Dátum vzniku     : 18.04.2007</w:t>
      </w:r>
    </w:p>
    <w:p w:rsidR="00CE4FC0" w:rsidRPr="00CE4FC0" w:rsidRDefault="00CE4FC0" w:rsidP="00CE4FC0">
      <w:pPr>
        <w:spacing w:after="200" w:line="276" w:lineRule="auto"/>
        <w:jc w:val="center"/>
        <w:rPr>
          <w:rFonts w:ascii="Calibri" w:eastAsia="Times New Roman" w:hAnsi="Calibri" w:cs="Times New Roman"/>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27"/>
        <w:gridCol w:w="4927"/>
      </w:tblGrid>
      <w:tr w:rsidR="00CE4FC0" w:rsidRPr="00CE4FC0" w:rsidTr="00D60C0F">
        <w:tc>
          <w:tcPr>
            <w:tcW w:w="5000" w:type="pct"/>
            <w:gridSpan w:val="2"/>
            <w:shd w:val="clear" w:color="auto" w:fill="C0C0C0"/>
          </w:tcPr>
          <w:p w:rsidR="00CE4FC0" w:rsidRPr="00CE4FC0" w:rsidRDefault="00CE4FC0" w:rsidP="00CE4FC0">
            <w:pPr>
              <w:jc w:val="center"/>
              <w:rPr>
                <w:rFonts w:ascii="Calibri" w:eastAsia="Times New Roman" w:hAnsi="Calibri" w:cs="Times New Roman"/>
                <w:b/>
                <w:sz w:val="20"/>
                <w:szCs w:val="20"/>
              </w:rPr>
            </w:pPr>
            <w:r w:rsidRPr="00CE4FC0">
              <w:rPr>
                <w:rFonts w:ascii="Calibri" w:eastAsia="Times New Roman" w:hAnsi="Calibri" w:cs="Times New Roman"/>
                <w:b/>
                <w:sz w:val="20"/>
                <w:szCs w:val="20"/>
              </w:rPr>
              <w:t>I. 1 b) Opis vykonávanej činnosti</w:t>
            </w:r>
          </w:p>
        </w:tc>
      </w:tr>
      <w:tr w:rsidR="00CE4FC0" w:rsidRPr="00CE4FC0" w:rsidTr="00D60C0F">
        <w:tc>
          <w:tcPr>
            <w:tcW w:w="2500"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Činnosti podľa výpisu z OR</w:t>
            </w:r>
          </w:p>
        </w:tc>
        <w:tc>
          <w:tcPr>
            <w:tcW w:w="2500"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Vykonávané od</w:t>
            </w:r>
          </w:p>
        </w:tc>
      </w:tr>
      <w:tr w:rsidR="00CE4FC0" w:rsidRPr="00CE4FC0" w:rsidTr="00D60C0F">
        <w:tc>
          <w:tcPr>
            <w:tcW w:w="2500"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podnikateľské poradenstvo v rozsahu voľných živností</w:t>
            </w:r>
          </w:p>
        </w:tc>
        <w:tc>
          <w:tcPr>
            <w:tcW w:w="2500"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18.04.2007</w:t>
            </w:r>
          </w:p>
        </w:tc>
      </w:tr>
      <w:tr w:rsidR="00CE4FC0" w:rsidRPr="00CE4FC0" w:rsidTr="00D60C0F">
        <w:tc>
          <w:tcPr>
            <w:tcW w:w="2500"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sprostredkovateľská činnosť v rozsahu voľných živností</w:t>
            </w:r>
          </w:p>
        </w:tc>
        <w:tc>
          <w:tcPr>
            <w:tcW w:w="2500"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18.04.2007</w:t>
            </w:r>
          </w:p>
        </w:tc>
      </w:tr>
      <w:tr w:rsidR="00CE4FC0" w:rsidRPr="00CE4FC0" w:rsidTr="00D60C0F">
        <w:tc>
          <w:tcPr>
            <w:tcW w:w="2500"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prenájom nehnuteľností spojený s poskytovaním aj iných  ako základných služieb - prenájom hnuteľných vecí</w:t>
            </w:r>
          </w:p>
        </w:tc>
        <w:tc>
          <w:tcPr>
            <w:tcW w:w="2500"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18.04.2007</w:t>
            </w:r>
          </w:p>
        </w:tc>
      </w:tr>
      <w:tr w:rsidR="00CE4FC0" w:rsidRPr="00CE4FC0" w:rsidTr="00D60C0F">
        <w:tc>
          <w:tcPr>
            <w:tcW w:w="2500"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prenájom hnuteľných vecí v rozsahu voľných živností</w:t>
            </w:r>
          </w:p>
        </w:tc>
        <w:tc>
          <w:tcPr>
            <w:tcW w:w="2500"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18.04.2007</w:t>
            </w:r>
          </w:p>
        </w:tc>
      </w:tr>
      <w:tr w:rsidR="00CE4FC0" w:rsidRPr="00CE4FC0" w:rsidTr="00D60C0F">
        <w:tc>
          <w:tcPr>
            <w:tcW w:w="2500"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správa nehnuteľností</w:t>
            </w:r>
          </w:p>
        </w:tc>
        <w:tc>
          <w:tcPr>
            <w:tcW w:w="2500"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18.04.2007</w:t>
            </w:r>
          </w:p>
        </w:tc>
      </w:tr>
      <w:tr w:rsidR="00CE4FC0" w:rsidRPr="00CE4FC0" w:rsidTr="00D60C0F">
        <w:tc>
          <w:tcPr>
            <w:tcW w:w="2500"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kuriérske služby</w:t>
            </w:r>
          </w:p>
        </w:tc>
        <w:tc>
          <w:tcPr>
            <w:tcW w:w="2500"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20.12.2012</w:t>
            </w:r>
          </w:p>
        </w:tc>
      </w:tr>
      <w:tr w:rsidR="00CE4FC0" w:rsidRPr="00CE4FC0" w:rsidTr="00D60C0F">
        <w:tc>
          <w:tcPr>
            <w:tcW w:w="2500"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kúpa tovaru za účelom jeho predaja konečnému spotrebiteľovi / maloobchod/ v rozsahu voľných živností</w:t>
            </w:r>
          </w:p>
        </w:tc>
        <w:tc>
          <w:tcPr>
            <w:tcW w:w="2500"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18.04.2007</w:t>
            </w:r>
          </w:p>
        </w:tc>
      </w:tr>
    </w:tbl>
    <w:p w:rsidR="00CE4FC0" w:rsidRPr="00CE4FC0" w:rsidRDefault="00CE4FC0" w:rsidP="00CE4FC0">
      <w:pPr>
        <w:spacing w:after="200" w:line="276" w:lineRule="auto"/>
        <w:jc w:val="center"/>
        <w:rPr>
          <w:rFonts w:ascii="Calibri" w:eastAsia="Times New Roman" w:hAnsi="Calibri" w:cs="Times New Roman"/>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854"/>
      </w:tblGrid>
      <w:tr w:rsidR="00CE4FC0" w:rsidRPr="00CE4FC0" w:rsidTr="00D60C0F">
        <w:tc>
          <w:tcPr>
            <w:tcW w:w="5000" w:type="pct"/>
            <w:shd w:val="clear" w:color="auto" w:fill="C0C0C0"/>
          </w:tcPr>
          <w:p w:rsidR="00CE4FC0" w:rsidRPr="00CE4FC0" w:rsidRDefault="00CE4FC0" w:rsidP="00CE4FC0">
            <w:pPr>
              <w:jc w:val="center"/>
              <w:rPr>
                <w:rFonts w:ascii="Calibri" w:eastAsia="Times New Roman" w:hAnsi="Calibri" w:cs="Times New Roman"/>
                <w:b/>
                <w:sz w:val="20"/>
                <w:szCs w:val="20"/>
              </w:rPr>
            </w:pPr>
            <w:r w:rsidRPr="00CE4FC0">
              <w:rPr>
                <w:rFonts w:ascii="Calibri" w:eastAsia="Times New Roman" w:hAnsi="Calibri" w:cs="Times New Roman"/>
                <w:b/>
                <w:sz w:val="20"/>
                <w:szCs w:val="20"/>
              </w:rPr>
              <w:t>I. 2) Informácie o ÚJ, kde je spoločnosť neobmedzene ručiacim spoločníkom</w:t>
            </w:r>
          </w:p>
        </w:tc>
      </w:tr>
    </w:tbl>
    <w:p w:rsidR="00CE4FC0" w:rsidRPr="00CE4FC0" w:rsidRDefault="00CE4FC0" w:rsidP="00CE4FC0">
      <w:pPr>
        <w:spacing w:after="200" w:line="276" w:lineRule="auto"/>
        <w:jc w:val="center"/>
        <w:rPr>
          <w:rFonts w:ascii="Calibri" w:eastAsia="Times New Roman" w:hAnsi="Calibri" w:cs="Times New Roman"/>
          <w:sz w:val="20"/>
          <w:szCs w:val="20"/>
        </w:rPr>
      </w:pPr>
    </w:p>
    <w:p w:rsidR="00CE4FC0" w:rsidRPr="00CE4FC0" w:rsidRDefault="00CE4FC0" w:rsidP="00CE4FC0">
      <w:pPr>
        <w:autoSpaceDE w:val="0"/>
        <w:autoSpaceDN w:val="0"/>
        <w:adjustRightInd w:val="0"/>
        <w:rPr>
          <w:rFonts w:ascii="Microsoft Sans Serif" w:eastAsia="Times New Roman" w:hAnsi="Microsoft Sans Serif" w:cs="Microsoft Sans Serif"/>
          <w:sz w:val="17"/>
          <w:szCs w:val="17"/>
          <w:lang w:eastAsia="sk-SK"/>
        </w:rPr>
      </w:pPr>
      <w:r w:rsidRPr="00CE4FC0">
        <w:rPr>
          <w:rFonts w:ascii="Microsoft Sans Serif" w:eastAsia="Times New Roman" w:hAnsi="Microsoft Sans Serif" w:cs="Microsoft Sans Serif"/>
          <w:sz w:val="17"/>
          <w:szCs w:val="17"/>
          <w:lang w:eastAsia="sk-SK"/>
        </w:rPr>
        <w:t>Spoločnosť nie je neobmedzene ručiacim spoločníkom v žiadnej inej obchodnej spoločnosti.</w:t>
      </w:r>
    </w:p>
    <w:p w:rsidR="00CE4FC0" w:rsidRPr="00CE4FC0" w:rsidRDefault="00CE4FC0" w:rsidP="00CE4FC0">
      <w:pPr>
        <w:spacing w:after="200" w:line="276" w:lineRule="auto"/>
        <w:jc w:val="center"/>
        <w:rPr>
          <w:rFonts w:ascii="Calibri" w:eastAsia="Times New Roman" w:hAnsi="Calibri" w:cs="Times New Roman"/>
          <w:sz w:val="20"/>
          <w:szCs w:val="20"/>
        </w:rPr>
      </w:pPr>
    </w:p>
    <w:tbl>
      <w:tblPr>
        <w:tblW w:w="5000" w:type="pct"/>
        <w:tblBorders>
          <w:top w:val="single" w:sz="4" w:space="0" w:color="auto"/>
          <w:left w:val="single" w:sz="4" w:space="0" w:color="auto"/>
          <w:bottom w:val="single" w:sz="4" w:space="0" w:color="auto"/>
          <w:right w:val="single" w:sz="4" w:space="0" w:color="auto"/>
        </w:tblBorders>
        <w:tblLook w:val="04A0"/>
      </w:tblPr>
      <w:tblGrid>
        <w:gridCol w:w="9854"/>
      </w:tblGrid>
      <w:tr w:rsidR="00CE4FC0" w:rsidRPr="00CE4FC0" w:rsidTr="00D60C0F">
        <w:tc>
          <w:tcPr>
            <w:tcW w:w="5000" w:type="pct"/>
            <w:tcBorders>
              <w:top w:val="single" w:sz="4" w:space="0" w:color="auto"/>
              <w:bottom w:val="single" w:sz="4" w:space="0" w:color="auto"/>
            </w:tcBorders>
            <w:shd w:val="clear" w:color="auto" w:fill="C0C0C0"/>
          </w:tcPr>
          <w:p w:rsidR="00CE4FC0" w:rsidRPr="00CE4FC0" w:rsidRDefault="00CE4FC0" w:rsidP="00CE4FC0">
            <w:pPr>
              <w:jc w:val="center"/>
              <w:rPr>
                <w:rFonts w:ascii="Calibri" w:eastAsia="Times New Roman" w:hAnsi="Calibri" w:cs="Times New Roman"/>
                <w:b/>
                <w:sz w:val="20"/>
                <w:szCs w:val="20"/>
              </w:rPr>
            </w:pPr>
            <w:r w:rsidRPr="00CE4FC0">
              <w:rPr>
                <w:rFonts w:ascii="Calibri" w:eastAsia="Times New Roman" w:hAnsi="Calibri" w:cs="Times New Roman"/>
                <w:b/>
                <w:sz w:val="20"/>
                <w:szCs w:val="20"/>
              </w:rPr>
              <w:t>I. 3) Dátum schválenia účtovnej závierky za bezprostredne predchádzajúce obdobie</w:t>
            </w:r>
          </w:p>
        </w:tc>
      </w:tr>
    </w:tbl>
    <w:p w:rsidR="00CE4FC0" w:rsidRPr="00CE4FC0" w:rsidRDefault="00CE4FC0" w:rsidP="00CE4FC0">
      <w:pPr>
        <w:spacing w:after="200" w:line="276" w:lineRule="auto"/>
        <w:rPr>
          <w:rFonts w:ascii="Calibri" w:eastAsia="Times New Roman" w:hAnsi="Calibri" w:cs="Times New Roman"/>
          <w:sz w:val="20"/>
          <w:szCs w:val="20"/>
        </w:rPr>
      </w:pPr>
    </w:p>
    <w:p w:rsidR="00CE4FC0" w:rsidRPr="00CE4FC0" w:rsidRDefault="00CE4FC0" w:rsidP="00CE4FC0">
      <w:pPr>
        <w:spacing w:after="200" w:line="276" w:lineRule="auto"/>
        <w:rPr>
          <w:rFonts w:ascii="Calibri" w:eastAsia="Times New Roman" w:hAnsi="Calibri" w:cs="Times New Roman"/>
          <w:sz w:val="20"/>
          <w:szCs w:val="20"/>
        </w:rPr>
      </w:pPr>
      <w:r w:rsidRPr="00CE4FC0">
        <w:rPr>
          <w:rFonts w:ascii="Calibri" w:eastAsia="Times New Roman" w:hAnsi="Calibri" w:cs="Times New Roman"/>
          <w:sz w:val="20"/>
          <w:szCs w:val="20"/>
        </w:rPr>
        <w:t>Dátum schválenia účtovnej závierky za bezprostredne predchádzajúce obdobie : 22.05.2017</w:t>
      </w:r>
    </w:p>
    <w:p w:rsidR="00CE4FC0" w:rsidRPr="00CE4FC0" w:rsidRDefault="00CE4FC0" w:rsidP="00CE4FC0">
      <w:pPr>
        <w:spacing w:after="200" w:line="276" w:lineRule="auto"/>
        <w:rPr>
          <w:rFonts w:ascii="Calibri" w:eastAsia="Times New Roman" w:hAnsi="Calibri" w:cs="Times New Roman"/>
          <w:sz w:val="20"/>
          <w:szCs w:val="20"/>
        </w:rPr>
      </w:pPr>
      <w:r w:rsidRPr="00CE4FC0">
        <w:rPr>
          <w:rFonts w:ascii="Calibri" w:eastAsia="Times New Roman" w:hAnsi="Calibri" w:cs="Times New Roman"/>
          <w:sz w:val="20"/>
          <w:szCs w:val="20"/>
        </w:rPr>
        <w:t>Schvaľovací orgán : Valné zhromaždenie</w:t>
      </w:r>
    </w:p>
    <w:p w:rsidR="00CE4FC0" w:rsidRPr="00CE4FC0" w:rsidRDefault="00CE4FC0" w:rsidP="00CE4FC0">
      <w:pPr>
        <w:spacing w:after="200" w:line="276" w:lineRule="auto"/>
        <w:rPr>
          <w:rFonts w:ascii="Calibri" w:eastAsia="Times New Roman" w:hAnsi="Calibri" w:cs="Times New Roman"/>
          <w:sz w:val="20"/>
          <w:szCs w:val="20"/>
        </w:rPr>
      </w:pPr>
    </w:p>
    <w:tbl>
      <w:tblPr>
        <w:tblW w:w="5000" w:type="pct"/>
        <w:tblBorders>
          <w:top w:val="single" w:sz="4" w:space="0" w:color="auto"/>
          <w:left w:val="single" w:sz="4" w:space="0" w:color="auto"/>
          <w:bottom w:val="single" w:sz="4" w:space="0" w:color="auto"/>
          <w:right w:val="single" w:sz="4" w:space="0" w:color="auto"/>
        </w:tblBorders>
        <w:tblLook w:val="04A0"/>
      </w:tblPr>
      <w:tblGrid>
        <w:gridCol w:w="9854"/>
      </w:tblGrid>
      <w:tr w:rsidR="00CE4FC0" w:rsidRPr="00CE4FC0" w:rsidTr="00D60C0F">
        <w:tc>
          <w:tcPr>
            <w:tcW w:w="5000" w:type="pct"/>
            <w:tcBorders>
              <w:top w:val="single" w:sz="4" w:space="0" w:color="auto"/>
              <w:bottom w:val="single" w:sz="4" w:space="0" w:color="auto"/>
            </w:tcBorders>
            <w:shd w:val="clear" w:color="auto" w:fill="C0C0C0"/>
          </w:tcPr>
          <w:p w:rsidR="00CE4FC0" w:rsidRPr="00CE4FC0" w:rsidRDefault="00CE4FC0" w:rsidP="00CE4FC0">
            <w:pPr>
              <w:jc w:val="center"/>
              <w:rPr>
                <w:rFonts w:ascii="Calibri" w:eastAsia="Times New Roman" w:hAnsi="Calibri" w:cs="Times New Roman"/>
                <w:b/>
                <w:sz w:val="20"/>
                <w:szCs w:val="20"/>
              </w:rPr>
            </w:pPr>
            <w:r w:rsidRPr="00CE4FC0">
              <w:rPr>
                <w:rFonts w:ascii="Calibri" w:eastAsia="Times New Roman" w:hAnsi="Calibri" w:cs="Times New Roman"/>
                <w:b/>
                <w:sz w:val="20"/>
                <w:szCs w:val="20"/>
              </w:rPr>
              <w:t>I. 4) Právny dôvod  na zostavenie ÚZ</w:t>
            </w:r>
          </w:p>
        </w:tc>
      </w:tr>
    </w:tbl>
    <w:p w:rsidR="00CE4FC0" w:rsidRPr="00CE4FC0" w:rsidRDefault="00CE4FC0" w:rsidP="00CE4FC0">
      <w:pPr>
        <w:spacing w:after="200" w:line="276" w:lineRule="auto"/>
        <w:rPr>
          <w:rFonts w:ascii="Calibri" w:eastAsia="Times New Roman" w:hAnsi="Calibri" w:cs="Times New Roman"/>
          <w:sz w:val="20"/>
          <w:szCs w:val="20"/>
        </w:rPr>
      </w:pPr>
    </w:p>
    <w:p w:rsidR="00CE4FC0" w:rsidRPr="00CE4FC0" w:rsidRDefault="00CE4FC0" w:rsidP="00CE4FC0">
      <w:pPr>
        <w:autoSpaceDE w:val="0"/>
        <w:autoSpaceDN w:val="0"/>
        <w:adjustRightInd w:val="0"/>
        <w:rPr>
          <w:rFonts w:ascii="Microsoft Sans Serif" w:eastAsia="Times New Roman" w:hAnsi="Microsoft Sans Serif" w:cs="Microsoft Sans Serif"/>
          <w:sz w:val="17"/>
          <w:szCs w:val="17"/>
          <w:lang w:eastAsia="sk-SK"/>
        </w:rPr>
      </w:pPr>
      <w:r w:rsidRPr="00CE4FC0">
        <w:rPr>
          <w:rFonts w:ascii="Microsoft Sans Serif" w:eastAsia="Times New Roman" w:hAnsi="Microsoft Sans Serif" w:cs="Microsoft Sans Serif"/>
          <w:sz w:val="17"/>
          <w:szCs w:val="17"/>
          <w:lang w:eastAsia="sk-SK"/>
        </w:rPr>
        <w:t>Účtovná závierka obchodnej spoločnosti zostavená k 31. decembru 2017  je zostavená ako riadna účtovná závierka podľa §17 ods. 6 zákona č. 431/2002 Z.z. o účtovníctve v znení neskorších predpisov. Účtovná závierka bola zostavená za predpokladu nepretržitého pokračovania činnosti. Nie sú známe žiadne skutočnosti, ktoré nastali po dni, ku ktorému sa zostavuje účtovná závierka do dňa zostavenia účtovnej závierky, ktoré by mohli mať vplyv na zmenu vykázaných skutočností v účtovnej závierke.</w:t>
      </w:r>
    </w:p>
    <w:p w:rsidR="00CE4FC0" w:rsidRPr="00CE4FC0" w:rsidRDefault="00CE4FC0" w:rsidP="00CE4FC0">
      <w:pPr>
        <w:spacing w:after="200" w:line="276" w:lineRule="auto"/>
        <w:jc w:val="center"/>
        <w:rPr>
          <w:rFonts w:ascii="Calibri" w:eastAsia="Times New Roman" w:hAnsi="Calibri" w:cs="Times New Roman"/>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84"/>
        <w:gridCol w:w="3283"/>
        <w:gridCol w:w="3287"/>
      </w:tblGrid>
      <w:tr w:rsidR="00CE4FC0" w:rsidRPr="00CE4FC0" w:rsidTr="00D60C0F">
        <w:tc>
          <w:tcPr>
            <w:tcW w:w="5000" w:type="pct"/>
            <w:gridSpan w:val="3"/>
            <w:shd w:val="clear" w:color="auto" w:fill="C0C0C0"/>
          </w:tcPr>
          <w:p w:rsidR="00CE4FC0" w:rsidRPr="00CE4FC0" w:rsidRDefault="00CE4FC0" w:rsidP="00CE4FC0">
            <w:pPr>
              <w:jc w:val="center"/>
              <w:rPr>
                <w:rFonts w:ascii="Calibri" w:eastAsia="Times New Roman" w:hAnsi="Calibri" w:cs="Times New Roman"/>
                <w:b/>
                <w:sz w:val="20"/>
                <w:szCs w:val="20"/>
              </w:rPr>
            </w:pPr>
            <w:r w:rsidRPr="00CE4FC0">
              <w:rPr>
                <w:rFonts w:ascii="Calibri" w:eastAsia="Times New Roman" w:hAnsi="Calibri" w:cs="Times New Roman"/>
                <w:b/>
                <w:sz w:val="20"/>
                <w:szCs w:val="20"/>
              </w:rPr>
              <w:t>I. 6) Priemerný prepočítaný počet zamestnancov</w:t>
            </w:r>
          </w:p>
        </w:tc>
      </w:tr>
      <w:tr w:rsidR="00CE4FC0" w:rsidRPr="00CE4FC0" w:rsidTr="00D60C0F">
        <w:tc>
          <w:tcPr>
            <w:tcW w:w="1666"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Názov položky</w:t>
            </w:r>
          </w:p>
        </w:tc>
        <w:tc>
          <w:tcPr>
            <w:tcW w:w="1666"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Bežné účtovné obdobie</w:t>
            </w:r>
          </w:p>
        </w:tc>
        <w:tc>
          <w:tcPr>
            <w:tcW w:w="1668"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Bezprostredne predchádzajúce účtovné obdobie</w:t>
            </w: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Priemerný prepočítaný počet zamestnancov</w:t>
            </w:r>
          </w:p>
        </w:tc>
        <w:tc>
          <w:tcPr>
            <w:tcW w:w="1666"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10</w:t>
            </w:r>
          </w:p>
        </w:tc>
        <w:tc>
          <w:tcPr>
            <w:tcW w:w="1668"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12</w:t>
            </w: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Stav zamestnancov ku dňu, ku ktorému sa zostavuje účtovná závierka, z toho:</w:t>
            </w:r>
          </w:p>
        </w:tc>
        <w:tc>
          <w:tcPr>
            <w:tcW w:w="1666"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10</w:t>
            </w:r>
          </w:p>
        </w:tc>
        <w:tc>
          <w:tcPr>
            <w:tcW w:w="1668"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12</w:t>
            </w: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počet vedúcich zamestnancov</w:t>
            </w:r>
          </w:p>
        </w:tc>
        <w:tc>
          <w:tcPr>
            <w:tcW w:w="1666"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2</w:t>
            </w:r>
          </w:p>
        </w:tc>
        <w:tc>
          <w:tcPr>
            <w:tcW w:w="1668"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2</w:t>
            </w:r>
          </w:p>
        </w:tc>
      </w:tr>
    </w:tbl>
    <w:p w:rsidR="00CE4FC0" w:rsidRPr="00CE4FC0" w:rsidRDefault="00CE4FC0" w:rsidP="00CE4FC0">
      <w:pPr>
        <w:spacing w:after="200" w:line="276" w:lineRule="auto"/>
        <w:rPr>
          <w:rFonts w:ascii="Calibri" w:eastAsia="Times New Roman" w:hAnsi="Calibri" w:cs="Times New Roman"/>
          <w:sz w:val="20"/>
          <w:szCs w:val="20"/>
        </w:rPr>
      </w:pPr>
    </w:p>
    <w:tbl>
      <w:tblPr>
        <w:tblW w:w="5000" w:type="pct"/>
        <w:tblBorders>
          <w:top w:val="single" w:sz="4" w:space="0" w:color="auto"/>
          <w:left w:val="single" w:sz="4" w:space="0" w:color="auto"/>
          <w:bottom w:val="single" w:sz="4" w:space="0" w:color="auto"/>
          <w:right w:val="single" w:sz="4" w:space="0" w:color="auto"/>
        </w:tblBorders>
        <w:tblLook w:val="04A0"/>
      </w:tblPr>
      <w:tblGrid>
        <w:gridCol w:w="9854"/>
      </w:tblGrid>
      <w:tr w:rsidR="00CE4FC0" w:rsidRPr="00CE4FC0" w:rsidTr="00D60C0F">
        <w:tc>
          <w:tcPr>
            <w:tcW w:w="5000" w:type="pct"/>
            <w:tcBorders>
              <w:top w:val="single" w:sz="4" w:space="0" w:color="auto"/>
              <w:bottom w:val="single" w:sz="4" w:space="0" w:color="auto"/>
            </w:tcBorders>
            <w:shd w:val="clear" w:color="auto" w:fill="C0C0C0"/>
          </w:tcPr>
          <w:p w:rsidR="00CE4FC0" w:rsidRPr="00CE4FC0" w:rsidRDefault="00CE4FC0" w:rsidP="00CE4FC0">
            <w:pPr>
              <w:jc w:val="center"/>
              <w:rPr>
                <w:rFonts w:ascii="Calibri" w:eastAsia="Times New Roman" w:hAnsi="Calibri" w:cs="Times New Roman"/>
                <w:b/>
                <w:sz w:val="32"/>
                <w:szCs w:val="32"/>
              </w:rPr>
            </w:pPr>
            <w:r w:rsidRPr="00CE4FC0">
              <w:rPr>
                <w:rFonts w:ascii="Calibri" w:eastAsia="Times New Roman" w:hAnsi="Calibri" w:cs="Times New Roman"/>
                <w:b/>
                <w:sz w:val="32"/>
                <w:szCs w:val="32"/>
              </w:rPr>
              <w:lastRenderedPageBreak/>
              <w:t>Článok II - Informácie o prijatých postupoch</w:t>
            </w:r>
          </w:p>
        </w:tc>
      </w:tr>
    </w:tbl>
    <w:p w:rsidR="00CE4FC0" w:rsidRPr="00CE4FC0" w:rsidRDefault="00CE4FC0" w:rsidP="00CE4FC0">
      <w:pPr>
        <w:spacing w:after="200" w:line="276" w:lineRule="auto"/>
        <w:rPr>
          <w:rFonts w:ascii="Calibri" w:eastAsia="Times New Roman" w:hAnsi="Calibri" w:cs="Times New Roman"/>
          <w:sz w:val="20"/>
          <w:szCs w:val="20"/>
        </w:rPr>
      </w:pPr>
    </w:p>
    <w:tbl>
      <w:tblPr>
        <w:tblW w:w="5000" w:type="pct"/>
        <w:tblBorders>
          <w:top w:val="single" w:sz="4" w:space="0" w:color="auto"/>
          <w:left w:val="single" w:sz="4" w:space="0" w:color="auto"/>
          <w:bottom w:val="single" w:sz="4" w:space="0" w:color="auto"/>
          <w:right w:val="single" w:sz="4" w:space="0" w:color="auto"/>
        </w:tblBorders>
        <w:tblLook w:val="04A0"/>
      </w:tblPr>
      <w:tblGrid>
        <w:gridCol w:w="9854"/>
      </w:tblGrid>
      <w:tr w:rsidR="00CE4FC0" w:rsidRPr="00CE4FC0" w:rsidTr="00D60C0F">
        <w:tc>
          <w:tcPr>
            <w:tcW w:w="5000" w:type="pct"/>
            <w:tcBorders>
              <w:top w:val="single" w:sz="4" w:space="0" w:color="auto"/>
              <w:bottom w:val="single" w:sz="4" w:space="0" w:color="auto"/>
            </w:tcBorders>
            <w:shd w:val="clear" w:color="auto" w:fill="C0C0C0"/>
          </w:tcPr>
          <w:p w:rsidR="00CE4FC0" w:rsidRPr="00CE4FC0" w:rsidRDefault="00CE4FC0" w:rsidP="00CE4FC0">
            <w:pPr>
              <w:jc w:val="center"/>
              <w:rPr>
                <w:rFonts w:ascii="Calibri" w:eastAsia="Times New Roman" w:hAnsi="Calibri" w:cs="Times New Roman"/>
                <w:b/>
                <w:sz w:val="20"/>
                <w:szCs w:val="20"/>
              </w:rPr>
            </w:pPr>
            <w:r w:rsidRPr="00CE4FC0">
              <w:rPr>
                <w:rFonts w:ascii="Calibri" w:eastAsia="Times New Roman" w:hAnsi="Calibri" w:cs="Times New Roman"/>
                <w:b/>
                <w:sz w:val="20"/>
                <w:szCs w:val="20"/>
              </w:rPr>
              <w:t>II. 1) Predpoklad zostavenia účtovnej závierky</w:t>
            </w:r>
          </w:p>
        </w:tc>
      </w:tr>
    </w:tbl>
    <w:p w:rsidR="00CE4FC0" w:rsidRPr="00CE4FC0" w:rsidRDefault="00CE4FC0" w:rsidP="00CE4FC0">
      <w:pPr>
        <w:spacing w:after="200" w:line="276" w:lineRule="auto"/>
        <w:rPr>
          <w:rFonts w:ascii="Calibri" w:eastAsia="Times New Roman" w:hAnsi="Calibri" w:cs="Times New Roman"/>
          <w:sz w:val="20"/>
          <w:szCs w:val="20"/>
        </w:rPr>
      </w:pPr>
    </w:p>
    <w:p w:rsidR="00CE4FC0" w:rsidRPr="00CE4FC0" w:rsidRDefault="00CE4FC0" w:rsidP="00CE4FC0">
      <w:pPr>
        <w:spacing w:after="200" w:line="276" w:lineRule="auto"/>
        <w:rPr>
          <w:rFonts w:ascii="Calibri" w:eastAsia="Times New Roman" w:hAnsi="Calibri" w:cs="Times New Roman"/>
          <w:sz w:val="20"/>
          <w:szCs w:val="20"/>
        </w:rPr>
      </w:pPr>
      <w:r w:rsidRPr="00CE4FC0">
        <w:rPr>
          <w:rFonts w:ascii="Calibri" w:eastAsia="Times New Roman" w:hAnsi="Calibri" w:cs="Times New Roman"/>
          <w:sz w:val="20"/>
          <w:szCs w:val="20"/>
        </w:rPr>
        <w:t>Účtovná závierka bola zostavená za predpokladu : nepretržitého pokračovania činnosti</w:t>
      </w:r>
    </w:p>
    <w:p w:rsidR="00CE4FC0" w:rsidRPr="00CE4FC0" w:rsidRDefault="00CE4FC0" w:rsidP="00CE4FC0">
      <w:pPr>
        <w:spacing w:after="200" w:line="276" w:lineRule="auto"/>
        <w:rPr>
          <w:rFonts w:ascii="Calibri" w:eastAsia="Times New Roman" w:hAnsi="Calibri" w:cs="Times New Roman"/>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854"/>
      </w:tblGrid>
      <w:tr w:rsidR="00CE4FC0" w:rsidRPr="00CE4FC0" w:rsidTr="00D60C0F">
        <w:tc>
          <w:tcPr>
            <w:tcW w:w="5000" w:type="pct"/>
            <w:shd w:val="clear" w:color="auto" w:fill="C0C0C0"/>
          </w:tcPr>
          <w:p w:rsidR="00CE4FC0" w:rsidRPr="00CE4FC0" w:rsidRDefault="00CE4FC0" w:rsidP="00CE4FC0">
            <w:pPr>
              <w:jc w:val="center"/>
              <w:rPr>
                <w:rFonts w:ascii="Calibri" w:eastAsia="Times New Roman" w:hAnsi="Calibri" w:cs="Times New Roman"/>
                <w:b/>
                <w:sz w:val="20"/>
                <w:szCs w:val="20"/>
              </w:rPr>
            </w:pPr>
            <w:r w:rsidRPr="00CE4FC0">
              <w:rPr>
                <w:rFonts w:ascii="Calibri" w:eastAsia="Times New Roman" w:hAnsi="Calibri" w:cs="Times New Roman"/>
                <w:b/>
                <w:sz w:val="20"/>
                <w:szCs w:val="20"/>
              </w:rPr>
              <w:t>II. 2) Účtovné metódy a zásady</w:t>
            </w:r>
          </w:p>
        </w:tc>
      </w:tr>
    </w:tbl>
    <w:p w:rsidR="00CE4FC0" w:rsidRPr="00CE4FC0" w:rsidRDefault="00CE4FC0" w:rsidP="00CE4FC0">
      <w:pPr>
        <w:spacing w:after="200" w:line="276" w:lineRule="auto"/>
        <w:rPr>
          <w:rFonts w:ascii="Calibri" w:eastAsia="Times New Roman" w:hAnsi="Calibri" w:cs="Times New Roman"/>
          <w:sz w:val="20"/>
          <w:szCs w:val="20"/>
        </w:rPr>
      </w:pPr>
    </w:p>
    <w:p w:rsidR="00CE4FC0" w:rsidRPr="00CE4FC0" w:rsidRDefault="00CE4FC0" w:rsidP="00CE4FC0">
      <w:pPr>
        <w:autoSpaceDE w:val="0"/>
        <w:autoSpaceDN w:val="0"/>
        <w:adjustRightInd w:val="0"/>
        <w:rPr>
          <w:rFonts w:ascii="Times New Roman" w:eastAsia="Times New Roman" w:hAnsi="Times New Roman" w:cs="Times New Roman"/>
          <w:lang w:eastAsia="sk-SK"/>
        </w:rPr>
      </w:pPr>
      <w:r w:rsidRPr="00CE4FC0">
        <w:rPr>
          <w:rFonts w:ascii="Times New Roman" w:eastAsia="Times New Roman" w:hAnsi="Times New Roman" w:cs="Times New Roman"/>
          <w:lang w:eastAsia="sk-SK"/>
        </w:rPr>
        <w:t>Účtovné metódy a všeobecné účtovné zásady boli účtovnou jednotkou konzistentne aplikované počas celého účtovného obdobia. V rámci platného zákona o účtovníctve.</w:t>
      </w:r>
    </w:p>
    <w:p w:rsidR="00CE4FC0" w:rsidRPr="00CE4FC0" w:rsidRDefault="00CE4FC0" w:rsidP="00CE4FC0">
      <w:pPr>
        <w:spacing w:after="200" w:line="276" w:lineRule="auto"/>
        <w:rPr>
          <w:rFonts w:ascii="Calibri" w:eastAsia="Times New Roman" w:hAnsi="Calibri" w:cs="Times New Roman"/>
          <w:sz w:val="20"/>
          <w:szCs w:val="20"/>
        </w:rPr>
      </w:pPr>
    </w:p>
    <w:tbl>
      <w:tblPr>
        <w:tblW w:w="5000" w:type="pct"/>
        <w:tblBorders>
          <w:top w:val="single" w:sz="4" w:space="0" w:color="auto"/>
          <w:left w:val="single" w:sz="4" w:space="0" w:color="auto"/>
          <w:bottom w:val="single" w:sz="4" w:space="0" w:color="auto"/>
          <w:right w:val="single" w:sz="4" w:space="0" w:color="auto"/>
        </w:tblBorders>
        <w:tblLook w:val="04A0"/>
      </w:tblPr>
      <w:tblGrid>
        <w:gridCol w:w="9854"/>
      </w:tblGrid>
      <w:tr w:rsidR="00CE4FC0" w:rsidRPr="00CE4FC0" w:rsidTr="00D60C0F">
        <w:tc>
          <w:tcPr>
            <w:tcW w:w="5000" w:type="pct"/>
            <w:tcBorders>
              <w:top w:val="single" w:sz="4" w:space="0" w:color="auto"/>
              <w:bottom w:val="single" w:sz="4" w:space="0" w:color="auto"/>
            </w:tcBorders>
            <w:shd w:val="clear" w:color="auto" w:fill="C0C0C0"/>
          </w:tcPr>
          <w:p w:rsidR="00CE4FC0" w:rsidRPr="00CE4FC0" w:rsidRDefault="00CE4FC0" w:rsidP="00CE4FC0">
            <w:pPr>
              <w:jc w:val="center"/>
              <w:rPr>
                <w:rFonts w:ascii="Calibri" w:eastAsia="Times New Roman" w:hAnsi="Calibri" w:cs="Times New Roman"/>
                <w:b/>
              </w:rPr>
            </w:pPr>
            <w:r w:rsidRPr="00CE4FC0">
              <w:rPr>
                <w:rFonts w:ascii="Calibri" w:eastAsia="Times New Roman" w:hAnsi="Calibri" w:cs="Times New Roman"/>
                <w:b/>
              </w:rPr>
              <w:t>II. 4) Spôsob oceňovania jednotlivých zložiek majetku a záväzkov</w:t>
            </w:r>
          </w:p>
        </w:tc>
      </w:tr>
    </w:tbl>
    <w:p w:rsidR="00CE4FC0" w:rsidRPr="00CE4FC0" w:rsidRDefault="00CE4FC0" w:rsidP="00CE4FC0">
      <w:pPr>
        <w:spacing w:after="200" w:line="276" w:lineRule="auto"/>
        <w:rPr>
          <w:rFonts w:ascii="Calibri" w:eastAsia="Times New Roman" w:hAnsi="Calibri" w:cs="Times New Roman"/>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41"/>
        <w:gridCol w:w="1641"/>
        <w:gridCol w:w="1646"/>
        <w:gridCol w:w="1642"/>
        <w:gridCol w:w="1642"/>
        <w:gridCol w:w="1642"/>
      </w:tblGrid>
      <w:tr w:rsidR="00CE4FC0" w:rsidRPr="00CE4FC0" w:rsidTr="00D60C0F">
        <w:tc>
          <w:tcPr>
            <w:tcW w:w="5000" w:type="pct"/>
            <w:gridSpan w:val="6"/>
            <w:shd w:val="clear" w:color="auto" w:fill="C0C0C0"/>
          </w:tcPr>
          <w:p w:rsidR="00CE4FC0" w:rsidRPr="00CE4FC0" w:rsidRDefault="00CE4FC0" w:rsidP="00CE4FC0">
            <w:pPr>
              <w:jc w:val="center"/>
              <w:rPr>
                <w:rFonts w:ascii="Calibri" w:eastAsia="Times New Roman" w:hAnsi="Calibri" w:cs="Times New Roman"/>
                <w:b/>
                <w:sz w:val="20"/>
                <w:szCs w:val="20"/>
              </w:rPr>
            </w:pPr>
            <w:r w:rsidRPr="00CE4FC0">
              <w:rPr>
                <w:rFonts w:ascii="Calibri" w:eastAsia="Times New Roman" w:hAnsi="Calibri" w:cs="Times New Roman"/>
                <w:b/>
                <w:sz w:val="20"/>
                <w:szCs w:val="20"/>
              </w:rPr>
              <w:t>II. 4 a-e) Spôsob ocenenia jednotlivých zložiek majetku a záväzkov</w:t>
            </w:r>
          </w:p>
        </w:tc>
      </w:tr>
      <w:tr w:rsidR="00CE4FC0" w:rsidRPr="00CE4FC0" w:rsidTr="00D60C0F">
        <w:tc>
          <w:tcPr>
            <w:tcW w:w="833"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Názov položky</w:t>
            </w:r>
          </w:p>
        </w:tc>
        <w:tc>
          <w:tcPr>
            <w:tcW w:w="833"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Bližšia špecifikácia</w:t>
            </w:r>
          </w:p>
        </w:tc>
        <w:tc>
          <w:tcPr>
            <w:tcW w:w="835"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Výskyt v ÚJ</w:t>
            </w:r>
          </w:p>
        </w:tc>
        <w:tc>
          <w:tcPr>
            <w:tcW w:w="833"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Spôsob oceňovania</w:t>
            </w:r>
          </w:p>
        </w:tc>
        <w:tc>
          <w:tcPr>
            <w:tcW w:w="833"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Riadok v UZ</w:t>
            </w:r>
          </w:p>
        </w:tc>
        <w:tc>
          <w:tcPr>
            <w:tcW w:w="833"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Poznámky podľa bodov 4b-4e Čl. II Opatrenia</w:t>
            </w: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Dlhodobý nehmotný majetok</w:t>
            </w:r>
          </w:p>
        </w:tc>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nakúpený:</w:t>
            </w:r>
          </w:p>
        </w:tc>
        <w:tc>
          <w:tcPr>
            <w:tcW w:w="835" w:type="pct"/>
          </w:tcPr>
          <w:p w:rsidR="00CE4FC0" w:rsidRPr="00CE4FC0" w:rsidRDefault="00CE4FC0" w:rsidP="00CE4FC0">
            <w:pPr>
              <w:jc w:val="right"/>
              <w:rPr>
                <w:rFonts w:ascii="Calibri" w:eastAsia="Times New Roman" w:hAnsi="Calibri" w:cs="Times New Roman"/>
                <w:sz w:val="20"/>
                <w:szCs w:val="20"/>
              </w:rPr>
            </w:pPr>
          </w:p>
        </w:tc>
        <w:tc>
          <w:tcPr>
            <w:tcW w:w="833"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Obstarávacia cena</w:t>
            </w:r>
          </w:p>
        </w:tc>
        <w:tc>
          <w:tcPr>
            <w:tcW w:w="833" w:type="pct"/>
          </w:tcPr>
          <w:p w:rsidR="00CE4FC0" w:rsidRPr="00CE4FC0" w:rsidRDefault="00CE4FC0" w:rsidP="00CE4FC0">
            <w:pPr>
              <w:jc w:val="right"/>
              <w:rPr>
                <w:rFonts w:ascii="Calibri" w:eastAsia="Times New Roman" w:hAnsi="Calibri" w:cs="Times New Roman"/>
                <w:sz w:val="20"/>
                <w:szCs w:val="20"/>
              </w:rPr>
            </w:pPr>
          </w:p>
        </w:tc>
        <w:tc>
          <w:tcPr>
            <w:tcW w:w="833"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p>
        </w:tc>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vytvorené vlastnou činnosťou:</w:t>
            </w:r>
          </w:p>
        </w:tc>
        <w:tc>
          <w:tcPr>
            <w:tcW w:w="835" w:type="pct"/>
          </w:tcPr>
          <w:p w:rsidR="00CE4FC0" w:rsidRPr="00CE4FC0" w:rsidRDefault="00CE4FC0" w:rsidP="00CE4FC0">
            <w:pPr>
              <w:jc w:val="right"/>
              <w:rPr>
                <w:rFonts w:ascii="Calibri" w:eastAsia="Times New Roman" w:hAnsi="Calibri" w:cs="Times New Roman"/>
                <w:sz w:val="20"/>
                <w:szCs w:val="20"/>
              </w:rPr>
            </w:pPr>
          </w:p>
        </w:tc>
        <w:tc>
          <w:tcPr>
            <w:tcW w:w="833"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Vlastné náklady</w:t>
            </w:r>
          </w:p>
        </w:tc>
        <w:tc>
          <w:tcPr>
            <w:tcW w:w="833" w:type="pct"/>
          </w:tcPr>
          <w:p w:rsidR="00CE4FC0" w:rsidRPr="00CE4FC0" w:rsidRDefault="00CE4FC0" w:rsidP="00CE4FC0">
            <w:pPr>
              <w:jc w:val="right"/>
              <w:rPr>
                <w:rFonts w:ascii="Calibri" w:eastAsia="Times New Roman" w:hAnsi="Calibri" w:cs="Times New Roman"/>
                <w:sz w:val="20"/>
                <w:szCs w:val="20"/>
              </w:rPr>
            </w:pPr>
          </w:p>
        </w:tc>
        <w:tc>
          <w:tcPr>
            <w:tcW w:w="833"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p>
        </w:tc>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obstaraný inak (darom):</w:t>
            </w:r>
          </w:p>
        </w:tc>
        <w:tc>
          <w:tcPr>
            <w:tcW w:w="835" w:type="pct"/>
          </w:tcPr>
          <w:p w:rsidR="00CE4FC0" w:rsidRPr="00CE4FC0" w:rsidRDefault="00CE4FC0" w:rsidP="00CE4FC0">
            <w:pPr>
              <w:jc w:val="right"/>
              <w:rPr>
                <w:rFonts w:ascii="Calibri" w:eastAsia="Times New Roman" w:hAnsi="Calibri" w:cs="Times New Roman"/>
                <w:sz w:val="20"/>
                <w:szCs w:val="20"/>
              </w:rPr>
            </w:pPr>
          </w:p>
        </w:tc>
        <w:tc>
          <w:tcPr>
            <w:tcW w:w="833"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Reálna hodnota</w:t>
            </w:r>
          </w:p>
        </w:tc>
        <w:tc>
          <w:tcPr>
            <w:tcW w:w="833" w:type="pct"/>
          </w:tcPr>
          <w:p w:rsidR="00CE4FC0" w:rsidRPr="00CE4FC0" w:rsidRDefault="00CE4FC0" w:rsidP="00CE4FC0">
            <w:pPr>
              <w:jc w:val="right"/>
              <w:rPr>
                <w:rFonts w:ascii="Calibri" w:eastAsia="Times New Roman" w:hAnsi="Calibri" w:cs="Times New Roman"/>
                <w:sz w:val="20"/>
                <w:szCs w:val="20"/>
              </w:rPr>
            </w:pPr>
          </w:p>
        </w:tc>
        <w:tc>
          <w:tcPr>
            <w:tcW w:w="833"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Dlhodobý hmotný majetok</w:t>
            </w:r>
          </w:p>
        </w:tc>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nakúpený:</w:t>
            </w:r>
          </w:p>
        </w:tc>
        <w:tc>
          <w:tcPr>
            <w:tcW w:w="835"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áno</w:t>
            </w:r>
          </w:p>
        </w:tc>
        <w:tc>
          <w:tcPr>
            <w:tcW w:w="833"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Obstarávacia cena</w:t>
            </w:r>
          </w:p>
        </w:tc>
        <w:tc>
          <w:tcPr>
            <w:tcW w:w="833"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11</w:t>
            </w:r>
          </w:p>
        </w:tc>
        <w:tc>
          <w:tcPr>
            <w:tcW w:w="833"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p>
        </w:tc>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vytvorené vlastnou činnosťou:</w:t>
            </w:r>
          </w:p>
        </w:tc>
        <w:tc>
          <w:tcPr>
            <w:tcW w:w="835" w:type="pct"/>
          </w:tcPr>
          <w:p w:rsidR="00CE4FC0" w:rsidRPr="00CE4FC0" w:rsidRDefault="00CE4FC0" w:rsidP="00CE4FC0">
            <w:pPr>
              <w:jc w:val="right"/>
              <w:rPr>
                <w:rFonts w:ascii="Calibri" w:eastAsia="Times New Roman" w:hAnsi="Calibri" w:cs="Times New Roman"/>
                <w:sz w:val="20"/>
                <w:szCs w:val="20"/>
              </w:rPr>
            </w:pPr>
          </w:p>
        </w:tc>
        <w:tc>
          <w:tcPr>
            <w:tcW w:w="833"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Vlastné náklady</w:t>
            </w:r>
          </w:p>
        </w:tc>
        <w:tc>
          <w:tcPr>
            <w:tcW w:w="833" w:type="pct"/>
          </w:tcPr>
          <w:p w:rsidR="00CE4FC0" w:rsidRPr="00CE4FC0" w:rsidRDefault="00CE4FC0" w:rsidP="00CE4FC0">
            <w:pPr>
              <w:jc w:val="right"/>
              <w:rPr>
                <w:rFonts w:ascii="Calibri" w:eastAsia="Times New Roman" w:hAnsi="Calibri" w:cs="Times New Roman"/>
                <w:sz w:val="20"/>
                <w:szCs w:val="20"/>
              </w:rPr>
            </w:pPr>
          </w:p>
        </w:tc>
        <w:tc>
          <w:tcPr>
            <w:tcW w:w="833"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p>
        </w:tc>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obstaraný inak (darom):</w:t>
            </w:r>
          </w:p>
        </w:tc>
        <w:tc>
          <w:tcPr>
            <w:tcW w:w="835" w:type="pct"/>
          </w:tcPr>
          <w:p w:rsidR="00CE4FC0" w:rsidRPr="00CE4FC0" w:rsidRDefault="00CE4FC0" w:rsidP="00CE4FC0">
            <w:pPr>
              <w:jc w:val="right"/>
              <w:rPr>
                <w:rFonts w:ascii="Calibri" w:eastAsia="Times New Roman" w:hAnsi="Calibri" w:cs="Times New Roman"/>
                <w:sz w:val="20"/>
                <w:szCs w:val="20"/>
              </w:rPr>
            </w:pPr>
          </w:p>
        </w:tc>
        <w:tc>
          <w:tcPr>
            <w:tcW w:w="833"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Reálna hodnota</w:t>
            </w:r>
          </w:p>
        </w:tc>
        <w:tc>
          <w:tcPr>
            <w:tcW w:w="833" w:type="pct"/>
          </w:tcPr>
          <w:p w:rsidR="00CE4FC0" w:rsidRPr="00CE4FC0" w:rsidRDefault="00CE4FC0" w:rsidP="00CE4FC0">
            <w:pPr>
              <w:jc w:val="right"/>
              <w:rPr>
                <w:rFonts w:ascii="Calibri" w:eastAsia="Times New Roman" w:hAnsi="Calibri" w:cs="Times New Roman"/>
                <w:sz w:val="20"/>
                <w:szCs w:val="20"/>
              </w:rPr>
            </w:pPr>
          </w:p>
        </w:tc>
        <w:tc>
          <w:tcPr>
            <w:tcW w:w="833"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Dlhodobý finančný majetok</w:t>
            </w:r>
          </w:p>
        </w:tc>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Podielové cenné papiere a podiely v prepojených účtovných jednotkách</w:t>
            </w:r>
          </w:p>
        </w:tc>
        <w:tc>
          <w:tcPr>
            <w:tcW w:w="835" w:type="pct"/>
          </w:tcPr>
          <w:p w:rsidR="00CE4FC0" w:rsidRPr="00CE4FC0" w:rsidRDefault="00CE4FC0" w:rsidP="00CE4FC0">
            <w:pPr>
              <w:jc w:val="right"/>
              <w:rPr>
                <w:rFonts w:ascii="Calibri" w:eastAsia="Times New Roman" w:hAnsi="Calibri" w:cs="Times New Roman"/>
                <w:sz w:val="20"/>
                <w:szCs w:val="20"/>
              </w:rPr>
            </w:pPr>
          </w:p>
        </w:tc>
        <w:tc>
          <w:tcPr>
            <w:tcW w:w="833"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Obstarávacia cena</w:t>
            </w:r>
          </w:p>
        </w:tc>
        <w:tc>
          <w:tcPr>
            <w:tcW w:w="833" w:type="pct"/>
          </w:tcPr>
          <w:p w:rsidR="00CE4FC0" w:rsidRPr="00CE4FC0" w:rsidRDefault="00CE4FC0" w:rsidP="00CE4FC0">
            <w:pPr>
              <w:jc w:val="right"/>
              <w:rPr>
                <w:rFonts w:ascii="Calibri" w:eastAsia="Times New Roman" w:hAnsi="Calibri" w:cs="Times New Roman"/>
                <w:sz w:val="20"/>
                <w:szCs w:val="20"/>
              </w:rPr>
            </w:pPr>
          </w:p>
        </w:tc>
        <w:tc>
          <w:tcPr>
            <w:tcW w:w="833"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Zásoby</w:t>
            </w:r>
          </w:p>
        </w:tc>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obstarané kúpou:</w:t>
            </w:r>
          </w:p>
        </w:tc>
        <w:tc>
          <w:tcPr>
            <w:tcW w:w="835" w:type="pct"/>
          </w:tcPr>
          <w:p w:rsidR="00CE4FC0" w:rsidRPr="00CE4FC0" w:rsidRDefault="00CE4FC0" w:rsidP="00CE4FC0">
            <w:pPr>
              <w:jc w:val="right"/>
              <w:rPr>
                <w:rFonts w:ascii="Calibri" w:eastAsia="Times New Roman" w:hAnsi="Calibri" w:cs="Times New Roman"/>
                <w:sz w:val="20"/>
                <w:szCs w:val="20"/>
              </w:rPr>
            </w:pPr>
          </w:p>
        </w:tc>
        <w:tc>
          <w:tcPr>
            <w:tcW w:w="833"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Obstarávacia cena</w:t>
            </w:r>
          </w:p>
        </w:tc>
        <w:tc>
          <w:tcPr>
            <w:tcW w:w="833" w:type="pct"/>
          </w:tcPr>
          <w:p w:rsidR="00CE4FC0" w:rsidRPr="00CE4FC0" w:rsidRDefault="00CE4FC0" w:rsidP="00CE4FC0">
            <w:pPr>
              <w:jc w:val="right"/>
              <w:rPr>
                <w:rFonts w:ascii="Calibri" w:eastAsia="Times New Roman" w:hAnsi="Calibri" w:cs="Times New Roman"/>
                <w:sz w:val="20"/>
                <w:szCs w:val="20"/>
              </w:rPr>
            </w:pPr>
          </w:p>
        </w:tc>
        <w:tc>
          <w:tcPr>
            <w:tcW w:w="833"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p>
        </w:tc>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vytvorené vlastnou činnosťou:</w:t>
            </w:r>
          </w:p>
        </w:tc>
        <w:tc>
          <w:tcPr>
            <w:tcW w:w="835" w:type="pct"/>
          </w:tcPr>
          <w:p w:rsidR="00CE4FC0" w:rsidRPr="00CE4FC0" w:rsidRDefault="00CE4FC0" w:rsidP="00CE4FC0">
            <w:pPr>
              <w:jc w:val="right"/>
              <w:rPr>
                <w:rFonts w:ascii="Calibri" w:eastAsia="Times New Roman" w:hAnsi="Calibri" w:cs="Times New Roman"/>
                <w:sz w:val="20"/>
                <w:szCs w:val="20"/>
              </w:rPr>
            </w:pPr>
          </w:p>
        </w:tc>
        <w:tc>
          <w:tcPr>
            <w:tcW w:w="833"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Vlastné náklady</w:t>
            </w:r>
          </w:p>
        </w:tc>
        <w:tc>
          <w:tcPr>
            <w:tcW w:w="833" w:type="pct"/>
          </w:tcPr>
          <w:p w:rsidR="00CE4FC0" w:rsidRPr="00CE4FC0" w:rsidRDefault="00CE4FC0" w:rsidP="00CE4FC0">
            <w:pPr>
              <w:jc w:val="right"/>
              <w:rPr>
                <w:rFonts w:ascii="Calibri" w:eastAsia="Times New Roman" w:hAnsi="Calibri" w:cs="Times New Roman"/>
                <w:sz w:val="20"/>
                <w:szCs w:val="20"/>
              </w:rPr>
            </w:pPr>
          </w:p>
        </w:tc>
        <w:tc>
          <w:tcPr>
            <w:tcW w:w="833"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p>
        </w:tc>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obstarané inak (darom):</w:t>
            </w:r>
          </w:p>
        </w:tc>
        <w:tc>
          <w:tcPr>
            <w:tcW w:w="835" w:type="pct"/>
          </w:tcPr>
          <w:p w:rsidR="00CE4FC0" w:rsidRPr="00CE4FC0" w:rsidRDefault="00CE4FC0" w:rsidP="00CE4FC0">
            <w:pPr>
              <w:jc w:val="right"/>
              <w:rPr>
                <w:rFonts w:ascii="Calibri" w:eastAsia="Times New Roman" w:hAnsi="Calibri" w:cs="Times New Roman"/>
                <w:sz w:val="20"/>
                <w:szCs w:val="20"/>
              </w:rPr>
            </w:pPr>
          </w:p>
        </w:tc>
        <w:tc>
          <w:tcPr>
            <w:tcW w:w="833"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Reálna hodnota</w:t>
            </w:r>
          </w:p>
        </w:tc>
        <w:tc>
          <w:tcPr>
            <w:tcW w:w="833" w:type="pct"/>
          </w:tcPr>
          <w:p w:rsidR="00CE4FC0" w:rsidRPr="00CE4FC0" w:rsidRDefault="00CE4FC0" w:rsidP="00CE4FC0">
            <w:pPr>
              <w:jc w:val="right"/>
              <w:rPr>
                <w:rFonts w:ascii="Calibri" w:eastAsia="Times New Roman" w:hAnsi="Calibri" w:cs="Times New Roman"/>
                <w:sz w:val="20"/>
                <w:szCs w:val="20"/>
              </w:rPr>
            </w:pPr>
          </w:p>
        </w:tc>
        <w:tc>
          <w:tcPr>
            <w:tcW w:w="833"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p>
        </w:tc>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ZV a zákazková výstavba nehnuteľnosti určenej na predaj:</w:t>
            </w:r>
          </w:p>
        </w:tc>
        <w:tc>
          <w:tcPr>
            <w:tcW w:w="835" w:type="pct"/>
          </w:tcPr>
          <w:p w:rsidR="00CE4FC0" w:rsidRPr="00CE4FC0" w:rsidRDefault="00CE4FC0" w:rsidP="00CE4FC0">
            <w:pPr>
              <w:jc w:val="right"/>
              <w:rPr>
                <w:rFonts w:ascii="Calibri" w:eastAsia="Times New Roman" w:hAnsi="Calibri" w:cs="Times New Roman"/>
                <w:sz w:val="20"/>
                <w:szCs w:val="20"/>
              </w:rPr>
            </w:pPr>
          </w:p>
        </w:tc>
        <w:tc>
          <w:tcPr>
            <w:tcW w:w="833"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Menovitá hodnota</w:t>
            </w:r>
          </w:p>
        </w:tc>
        <w:tc>
          <w:tcPr>
            <w:tcW w:w="833" w:type="pct"/>
          </w:tcPr>
          <w:p w:rsidR="00CE4FC0" w:rsidRPr="00CE4FC0" w:rsidRDefault="00CE4FC0" w:rsidP="00CE4FC0">
            <w:pPr>
              <w:jc w:val="right"/>
              <w:rPr>
                <w:rFonts w:ascii="Calibri" w:eastAsia="Times New Roman" w:hAnsi="Calibri" w:cs="Times New Roman"/>
                <w:sz w:val="20"/>
                <w:szCs w:val="20"/>
              </w:rPr>
            </w:pPr>
          </w:p>
        </w:tc>
        <w:tc>
          <w:tcPr>
            <w:tcW w:w="833"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Pohľadávky</w:t>
            </w:r>
          </w:p>
        </w:tc>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 xml:space="preserve">Vlastné </w:t>
            </w:r>
            <w:r w:rsidRPr="00CE4FC0">
              <w:rPr>
                <w:rFonts w:ascii="Calibri" w:eastAsia="Times New Roman" w:hAnsi="Calibri" w:cs="Times New Roman"/>
                <w:sz w:val="20"/>
                <w:szCs w:val="20"/>
              </w:rPr>
              <w:lastRenderedPageBreak/>
              <w:t>pohľadávky:</w:t>
            </w:r>
          </w:p>
        </w:tc>
        <w:tc>
          <w:tcPr>
            <w:tcW w:w="835"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lastRenderedPageBreak/>
              <w:t>áno</w:t>
            </w:r>
          </w:p>
        </w:tc>
        <w:tc>
          <w:tcPr>
            <w:tcW w:w="833"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 xml:space="preserve">Menovitá </w:t>
            </w:r>
            <w:r w:rsidRPr="00CE4FC0">
              <w:rPr>
                <w:rFonts w:ascii="Calibri" w:eastAsia="Times New Roman" w:hAnsi="Calibri" w:cs="Times New Roman"/>
                <w:sz w:val="20"/>
                <w:szCs w:val="20"/>
              </w:rPr>
              <w:lastRenderedPageBreak/>
              <w:t>hodnota</w:t>
            </w:r>
          </w:p>
        </w:tc>
        <w:tc>
          <w:tcPr>
            <w:tcW w:w="833"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lastRenderedPageBreak/>
              <w:t>53</w:t>
            </w:r>
          </w:p>
        </w:tc>
        <w:tc>
          <w:tcPr>
            <w:tcW w:w="833"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p>
        </w:tc>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Kúpené pohľadávky:</w:t>
            </w:r>
          </w:p>
        </w:tc>
        <w:tc>
          <w:tcPr>
            <w:tcW w:w="835" w:type="pct"/>
          </w:tcPr>
          <w:p w:rsidR="00CE4FC0" w:rsidRPr="00CE4FC0" w:rsidRDefault="00CE4FC0" w:rsidP="00CE4FC0">
            <w:pPr>
              <w:jc w:val="right"/>
              <w:rPr>
                <w:rFonts w:ascii="Calibri" w:eastAsia="Times New Roman" w:hAnsi="Calibri" w:cs="Times New Roman"/>
                <w:sz w:val="20"/>
                <w:szCs w:val="20"/>
              </w:rPr>
            </w:pPr>
          </w:p>
        </w:tc>
        <w:tc>
          <w:tcPr>
            <w:tcW w:w="833"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Obstarávacia cena</w:t>
            </w:r>
          </w:p>
        </w:tc>
        <w:tc>
          <w:tcPr>
            <w:tcW w:w="833" w:type="pct"/>
          </w:tcPr>
          <w:p w:rsidR="00CE4FC0" w:rsidRPr="00CE4FC0" w:rsidRDefault="00CE4FC0" w:rsidP="00CE4FC0">
            <w:pPr>
              <w:jc w:val="right"/>
              <w:rPr>
                <w:rFonts w:ascii="Calibri" w:eastAsia="Times New Roman" w:hAnsi="Calibri" w:cs="Times New Roman"/>
                <w:sz w:val="20"/>
                <w:szCs w:val="20"/>
              </w:rPr>
            </w:pPr>
          </w:p>
        </w:tc>
        <w:tc>
          <w:tcPr>
            <w:tcW w:w="833"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Krátkodobý finančný majetok</w:t>
            </w:r>
          </w:p>
        </w:tc>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Finančné účty</w:t>
            </w:r>
          </w:p>
        </w:tc>
        <w:tc>
          <w:tcPr>
            <w:tcW w:w="835"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áno</w:t>
            </w:r>
          </w:p>
        </w:tc>
        <w:tc>
          <w:tcPr>
            <w:tcW w:w="833"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Obstarávacia cena</w:t>
            </w:r>
          </w:p>
        </w:tc>
        <w:tc>
          <w:tcPr>
            <w:tcW w:w="833"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71</w:t>
            </w:r>
          </w:p>
        </w:tc>
        <w:tc>
          <w:tcPr>
            <w:tcW w:w="833"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Časové rozlíšenie na strane aktív súvahy:</w:t>
            </w:r>
          </w:p>
        </w:tc>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Náklady budúcich období a príjmy budúcich období</w:t>
            </w:r>
          </w:p>
        </w:tc>
        <w:tc>
          <w:tcPr>
            <w:tcW w:w="835"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áno</w:t>
            </w:r>
          </w:p>
        </w:tc>
        <w:tc>
          <w:tcPr>
            <w:tcW w:w="833"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Menovitá hodnota</w:t>
            </w:r>
          </w:p>
        </w:tc>
        <w:tc>
          <w:tcPr>
            <w:tcW w:w="833"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74</w:t>
            </w:r>
          </w:p>
        </w:tc>
        <w:tc>
          <w:tcPr>
            <w:tcW w:w="833"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Záväzky, vrátane rezerv, dlhopisov, pôžičiek a úverov:</w:t>
            </w:r>
          </w:p>
        </w:tc>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 xml:space="preserve">Záväzky zo soc.fondu, záväzky z obchodného styku krátkodobé, záväzky voči zamestnancom, záväzky zo sociálneho poistenia, </w:t>
            </w:r>
          </w:p>
        </w:tc>
        <w:tc>
          <w:tcPr>
            <w:tcW w:w="835"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áno</w:t>
            </w:r>
          </w:p>
        </w:tc>
        <w:tc>
          <w:tcPr>
            <w:tcW w:w="833"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Menovitá hodnota</w:t>
            </w:r>
          </w:p>
        </w:tc>
        <w:tc>
          <w:tcPr>
            <w:tcW w:w="833"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101</w:t>
            </w:r>
          </w:p>
        </w:tc>
        <w:tc>
          <w:tcPr>
            <w:tcW w:w="833"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Časové rozlíšenie na strane pasív súvahy:</w:t>
            </w:r>
          </w:p>
        </w:tc>
        <w:tc>
          <w:tcPr>
            <w:tcW w:w="833" w:type="pct"/>
          </w:tcPr>
          <w:p w:rsidR="00CE4FC0" w:rsidRPr="00CE4FC0" w:rsidRDefault="00CE4FC0" w:rsidP="00CE4FC0">
            <w:pPr>
              <w:rPr>
                <w:rFonts w:ascii="Calibri" w:eastAsia="Times New Roman" w:hAnsi="Calibri" w:cs="Times New Roman"/>
                <w:sz w:val="20"/>
                <w:szCs w:val="20"/>
              </w:rPr>
            </w:pPr>
          </w:p>
        </w:tc>
        <w:tc>
          <w:tcPr>
            <w:tcW w:w="835" w:type="pct"/>
          </w:tcPr>
          <w:p w:rsidR="00CE4FC0" w:rsidRPr="00CE4FC0" w:rsidRDefault="00CE4FC0" w:rsidP="00CE4FC0">
            <w:pPr>
              <w:jc w:val="right"/>
              <w:rPr>
                <w:rFonts w:ascii="Calibri" w:eastAsia="Times New Roman" w:hAnsi="Calibri" w:cs="Times New Roman"/>
                <w:sz w:val="20"/>
                <w:szCs w:val="20"/>
              </w:rPr>
            </w:pPr>
          </w:p>
        </w:tc>
        <w:tc>
          <w:tcPr>
            <w:tcW w:w="833"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Menovitá hodnota</w:t>
            </w:r>
          </w:p>
        </w:tc>
        <w:tc>
          <w:tcPr>
            <w:tcW w:w="833" w:type="pct"/>
          </w:tcPr>
          <w:p w:rsidR="00CE4FC0" w:rsidRPr="00CE4FC0" w:rsidRDefault="00CE4FC0" w:rsidP="00CE4FC0">
            <w:pPr>
              <w:jc w:val="right"/>
              <w:rPr>
                <w:rFonts w:ascii="Calibri" w:eastAsia="Times New Roman" w:hAnsi="Calibri" w:cs="Times New Roman"/>
                <w:sz w:val="20"/>
                <w:szCs w:val="20"/>
              </w:rPr>
            </w:pPr>
          </w:p>
        </w:tc>
        <w:tc>
          <w:tcPr>
            <w:tcW w:w="833"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Deriváty:</w:t>
            </w:r>
          </w:p>
        </w:tc>
        <w:tc>
          <w:tcPr>
            <w:tcW w:w="833" w:type="pct"/>
          </w:tcPr>
          <w:p w:rsidR="00CE4FC0" w:rsidRPr="00CE4FC0" w:rsidRDefault="00CE4FC0" w:rsidP="00CE4FC0">
            <w:pPr>
              <w:rPr>
                <w:rFonts w:ascii="Calibri" w:eastAsia="Times New Roman" w:hAnsi="Calibri" w:cs="Times New Roman"/>
                <w:sz w:val="20"/>
                <w:szCs w:val="20"/>
              </w:rPr>
            </w:pPr>
          </w:p>
        </w:tc>
        <w:tc>
          <w:tcPr>
            <w:tcW w:w="835" w:type="pct"/>
          </w:tcPr>
          <w:p w:rsidR="00CE4FC0" w:rsidRPr="00CE4FC0" w:rsidRDefault="00CE4FC0" w:rsidP="00CE4FC0">
            <w:pPr>
              <w:jc w:val="right"/>
              <w:rPr>
                <w:rFonts w:ascii="Calibri" w:eastAsia="Times New Roman" w:hAnsi="Calibri" w:cs="Times New Roman"/>
                <w:sz w:val="20"/>
                <w:szCs w:val="20"/>
              </w:rPr>
            </w:pPr>
          </w:p>
        </w:tc>
        <w:tc>
          <w:tcPr>
            <w:tcW w:w="833"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Menovitá hodnota</w:t>
            </w:r>
          </w:p>
        </w:tc>
        <w:tc>
          <w:tcPr>
            <w:tcW w:w="833" w:type="pct"/>
          </w:tcPr>
          <w:p w:rsidR="00CE4FC0" w:rsidRPr="00CE4FC0" w:rsidRDefault="00CE4FC0" w:rsidP="00CE4FC0">
            <w:pPr>
              <w:jc w:val="right"/>
              <w:rPr>
                <w:rFonts w:ascii="Calibri" w:eastAsia="Times New Roman" w:hAnsi="Calibri" w:cs="Times New Roman"/>
                <w:sz w:val="20"/>
                <w:szCs w:val="20"/>
              </w:rPr>
            </w:pPr>
          </w:p>
        </w:tc>
        <w:tc>
          <w:tcPr>
            <w:tcW w:w="833"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Majetok a záväzky zabezpečené derivátmi:</w:t>
            </w:r>
          </w:p>
        </w:tc>
        <w:tc>
          <w:tcPr>
            <w:tcW w:w="833" w:type="pct"/>
          </w:tcPr>
          <w:p w:rsidR="00CE4FC0" w:rsidRPr="00CE4FC0" w:rsidRDefault="00CE4FC0" w:rsidP="00CE4FC0">
            <w:pPr>
              <w:rPr>
                <w:rFonts w:ascii="Calibri" w:eastAsia="Times New Roman" w:hAnsi="Calibri" w:cs="Times New Roman"/>
                <w:sz w:val="20"/>
                <w:szCs w:val="20"/>
              </w:rPr>
            </w:pPr>
          </w:p>
        </w:tc>
        <w:tc>
          <w:tcPr>
            <w:tcW w:w="835" w:type="pct"/>
          </w:tcPr>
          <w:p w:rsidR="00CE4FC0" w:rsidRPr="00CE4FC0" w:rsidRDefault="00CE4FC0" w:rsidP="00CE4FC0">
            <w:pPr>
              <w:jc w:val="right"/>
              <w:rPr>
                <w:rFonts w:ascii="Calibri" w:eastAsia="Times New Roman" w:hAnsi="Calibri" w:cs="Times New Roman"/>
                <w:sz w:val="20"/>
                <w:szCs w:val="20"/>
              </w:rPr>
            </w:pPr>
          </w:p>
        </w:tc>
        <w:tc>
          <w:tcPr>
            <w:tcW w:w="833"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Menovitá hodnota</w:t>
            </w:r>
          </w:p>
        </w:tc>
        <w:tc>
          <w:tcPr>
            <w:tcW w:w="833" w:type="pct"/>
          </w:tcPr>
          <w:p w:rsidR="00CE4FC0" w:rsidRPr="00CE4FC0" w:rsidRDefault="00CE4FC0" w:rsidP="00CE4FC0">
            <w:pPr>
              <w:jc w:val="right"/>
              <w:rPr>
                <w:rFonts w:ascii="Calibri" w:eastAsia="Times New Roman" w:hAnsi="Calibri" w:cs="Times New Roman"/>
                <w:sz w:val="20"/>
                <w:szCs w:val="20"/>
              </w:rPr>
            </w:pPr>
          </w:p>
        </w:tc>
        <w:tc>
          <w:tcPr>
            <w:tcW w:w="833"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Prenajatý majetok a majetok obstaraný na základe zmluvy o kúpe prenajatej veci:</w:t>
            </w:r>
          </w:p>
        </w:tc>
        <w:tc>
          <w:tcPr>
            <w:tcW w:w="833" w:type="pct"/>
          </w:tcPr>
          <w:p w:rsidR="00CE4FC0" w:rsidRPr="00CE4FC0" w:rsidRDefault="00CE4FC0" w:rsidP="00CE4FC0">
            <w:pPr>
              <w:rPr>
                <w:rFonts w:ascii="Calibri" w:eastAsia="Times New Roman" w:hAnsi="Calibri" w:cs="Times New Roman"/>
                <w:sz w:val="20"/>
                <w:szCs w:val="20"/>
              </w:rPr>
            </w:pPr>
          </w:p>
        </w:tc>
        <w:tc>
          <w:tcPr>
            <w:tcW w:w="835" w:type="pct"/>
          </w:tcPr>
          <w:p w:rsidR="00CE4FC0" w:rsidRPr="00CE4FC0" w:rsidRDefault="00CE4FC0" w:rsidP="00CE4FC0">
            <w:pPr>
              <w:jc w:val="right"/>
              <w:rPr>
                <w:rFonts w:ascii="Calibri" w:eastAsia="Times New Roman" w:hAnsi="Calibri" w:cs="Times New Roman"/>
                <w:sz w:val="20"/>
                <w:szCs w:val="20"/>
              </w:rPr>
            </w:pPr>
          </w:p>
        </w:tc>
        <w:tc>
          <w:tcPr>
            <w:tcW w:w="833"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Obstarávacia cena</w:t>
            </w:r>
          </w:p>
        </w:tc>
        <w:tc>
          <w:tcPr>
            <w:tcW w:w="833" w:type="pct"/>
          </w:tcPr>
          <w:p w:rsidR="00CE4FC0" w:rsidRPr="00CE4FC0" w:rsidRDefault="00CE4FC0" w:rsidP="00CE4FC0">
            <w:pPr>
              <w:jc w:val="right"/>
              <w:rPr>
                <w:rFonts w:ascii="Calibri" w:eastAsia="Times New Roman" w:hAnsi="Calibri" w:cs="Times New Roman"/>
                <w:sz w:val="20"/>
                <w:szCs w:val="20"/>
              </w:rPr>
            </w:pPr>
          </w:p>
        </w:tc>
        <w:tc>
          <w:tcPr>
            <w:tcW w:w="833"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Splatná daň z príjmov a odložená daň z príjmov:</w:t>
            </w:r>
          </w:p>
        </w:tc>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Splatná daň z príjmov, odložený daňový záväzok</w:t>
            </w:r>
          </w:p>
        </w:tc>
        <w:tc>
          <w:tcPr>
            <w:tcW w:w="835"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áno</w:t>
            </w:r>
          </w:p>
        </w:tc>
        <w:tc>
          <w:tcPr>
            <w:tcW w:w="833"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Menovitá hodnota</w:t>
            </w:r>
          </w:p>
        </w:tc>
        <w:tc>
          <w:tcPr>
            <w:tcW w:w="833"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133</w:t>
            </w:r>
          </w:p>
        </w:tc>
        <w:tc>
          <w:tcPr>
            <w:tcW w:w="833" w:type="pct"/>
          </w:tcPr>
          <w:p w:rsidR="00CE4FC0" w:rsidRPr="00CE4FC0" w:rsidRDefault="00CE4FC0" w:rsidP="00CE4FC0">
            <w:pPr>
              <w:jc w:val="right"/>
              <w:rPr>
                <w:rFonts w:ascii="Calibri" w:eastAsia="Times New Roman" w:hAnsi="Calibri" w:cs="Times New Roman"/>
                <w:sz w:val="20"/>
                <w:szCs w:val="20"/>
              </w:rPr>
            </w:pPr>
          </w:p>
        </w:tc>
      </w:tr>
    </w:tbl>
    <w:p w:rsidR="00CE4FC0" w:rsidRPr="00CE4FC0" w:rsidRDefault="00CE4FC0" w:rsidP="00CE4FC0">
      <w:pPr>
        <w:spacing w:after="200" w:line="276" w:lineRule="auto"/>
        <w:rPr>
          <w:rFonts w:ascii="Calibri" w:eastAsia="Times New Roman" w:hAnsi="Calibri" w:cs="Times New Roman"/>
          <w:sz w:val="20"/>
          <w:szCs w:val="20"/>
        </w:rPr>
      </w:pPr>
    </w:p>
    <w:tbl>
      <w:tblPr>
        <w:tblW w:w="5000" w:type="pct"/>
        <w:tblBorders>
          <w:top w:val="single" w:sz="4" w:space="0" w:color="auto"/>
          <w:left w:val="single" w:sz="4" w:space="0" w:color="auto"/>
          <w:bottom w:val="single" w:sz="4" w:space="0" w:color="auto"/>
          <w:right w:val="single" w:sz="4" w:space="0" w:color="auto"/>
        </w:tblBorders>
        <w:tblLook w:val="04A0"/>
      </w:tblPr>
      <w:tblGrid>
        <w:gridCol w:w="9854"/>
      </w:tblGrid>
      <w:tr w:rsidR="00CE4FC0" w:rsidRPr="00CE4FC0" w:rsidTr="00D60C0F">
        <w:tc>
          <w:tcPr>
            <w:tcW w:w="5000" w:type="pct"/>
            <w:tcBorders>
              <w:top w:val="single" w:sz="4" w:space="0" w:color="auto"/>
              <w:bottom w:val="single" w:sz="4" w:space="0" w:color="auto"/>
            </w:tcBorders>
            <w:shd w:val="clear" w:color="auto" w:fill="C0C0C0"/>
          </w:tcPr>
          <w:p w:rsidR="00CE4FC0" w:rsidRPr="00CE4FC0" w:rsidRDefault="00CE4FC0" w:rsidP="00CE4FC0">
            <w:pPr>
              <w:jc w:val="center"/>
              <w:rPr>
                <w:rFonts w:ascii="Calibri" w:eastAsia="Times New Roman" w:hAnsi="Calibri" w:cs="Times New Roman"/>
                <w:b/>
              </w:rPr>
            </w:pPr>
            <w:r w:rsidRPr="00CE4FC0">
              <w:rPr>
                <w:rFonts w:ascii="Calibri" w:eastAsia="Times New Roman" w:hAnsi="Calibri" w:cs="Times New Roman"/>
                <w:b/>
              </w:rPr>
              <w:t>II. 4f) Odpisový plán</w:t>
            </w:r>
          </w:p>
        </w:tc>
      </w:tr>
    </w:tbl>
    <w:p w:rsidR="00CE4FC0" w:rsidRPr="00CE4FC0" w:rsidRDefault="00CE4FC0" w:rsidP="00CE4FC0">
      <w:pPr>
        <w:spacing w:after="200" w:line="276" w:lineRule="auto"/>
        <w:rPr>
          <w:rFonts w:ascii="Calibri" w:eastAsia="Times New Roman" w:hAnsi="Calibri" w:cs="Times New Roman"/>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854"/>
      </w:tblGrid>
      <w:tr w:rsidR="00CE4FC0" w:rsidRPr="00CE4FC0" w:rsidTr="00D60C0F">
        <w:tc>
          <w:tcPr>
            <w:tcW w:w="5000" w:type="pct"/>
            <w:shd w:val="clear" w:color="auto" w:fill="C0C0C0"/>
          </w:tcPr>
          <w:p w:rsidR="00CE4FC0" w:rsidRPr="00CE4FC0" w:rsidRDefault="00CE4FC0" w:rsidP="00CE4FC0">
            <w:pPr>
              <w:jc w:val="center"/>
              <w:rPr>
                <w:rFonts w:ascii="Calibri" w:eastAsia="Times New Roman" w:hAnsi="Calibri" w:cs="Times New Roman"/>
                <w:b/>
                <w:sz w:val="20"/>
                <w:szCs w:val="20"/>
              </w:rPr>
            </w:pPr>
            <w:r w:rsidRPr="00CE4FC0">
              <w:rPr>
                <w:rFonts w:ascii="Calibri" w:eastAsia="Times New Roman" w:hAnsi="Calibri" w:cs="Times New Roman"/>
                <w:b/>
                <w:sz w:val="20"/>
                <w:szCs w:val="20"/>
              </w:rPr>
              <w:t>II. 4 f1) Dlhodobý nehmotný majetok</w:t>
            </w:r>
          </w:p>
        </w:tc>
      </w:tr>
    </w:tbl>
    <w:p w:rsidR="00CE4FC0" w:rsidRPr="00CE4FC0" w:rsidRDefault="00CE4FC0" w:rsidP="00CE4FC0">
      <w:pPr>
        <w:spacing w:after="200" w:line="276" w:lineRule="auto"/>
        <w:rPr>
          <w:rFonts w:ascii="Calibri" w:eastAsia="Times New Roman" w:hAnsi="Calibri" w:cs="Times New Roman"/>
          <w:sz w:val="20"/>
          <w:szCs w:val="20"/>
        </w:rPr>
      </w:pPr>
    </w:p>
    <w:p w:rsidR="00CE4FC0" w:rsidRPr="00CE4FC0" w:rsidRDefault="00CE4FC0" w:rsidP="00CE4FC0">
      <w:pPr>
        <w:autoSpaceDE w:val="0"/>
        <w:autoSpaceDN w:val="0"/>
        <w:adjustRightInd w:val="0"/>
        <w:rPr>
          <w:rFonts w:ascii="Microsoft Sans Serif" w:eastAsia="Times New Roman" w:hAnsi="Microsoft Sans Serif" w:cs="Microsoft Sans Serif"/>
          <w:sz w:val="17"/>
          <w:szCs w:val="17"/>
          <w:lang w:eastAsia="sk-SK"/>
        </w:rPr>
      </w:pPr>
      <w:r w:rsidRPr="00CE4FC0">
        <w:rPr>
          <w:rFonts w:ascii="Microsoft Sans Serif" w:eastAsia="Times New Roman" w:hAnsi="Microsoft Sans Serif" w:cs="Microsoft Sans Serif"/>
          <w:sz w:val="17"/>
          <w:szCs w:val="17"/>
          <w:lang w:eastAsia="sk-SK"/>
        </w:rPr>
        <w:t>Spoločnosť nevlastní dlhodobý nehmotný majetok.</w:t>
      </w:r>
    </w:p>
    <w:p w:rsidR="00CE4FC0" w:rsidRDefault="00CE4FC0" w:rsidP="00CE4FC0">
      <w:pPr>
        <w:spacing w:after="200" w:line="276" w:lineRule="auto"/>
        <w:rPr>
          <w:rFonts w:ascii="Calibri" w:eastAsia="Times New Roman" w:hAnsi="Calibri" w:cs="Times New Roman"/>
          <w:sz w:val="20"/>
          <w:szCs w:val="20"/>
        </w:rPr>
      </w:pPr>
    </w:p>
    <w:p w:rsidR="00CE4FC0" w:rsidRPr="00CE4FC0" w:rsidRDefault="00CE4FC0" w:rsidP="00CE4FC0">
      <w:pPr>
        <w:spacing w:after="200" w:line="276" w:lineRule="auto"/>
        <w:rPr>
          <w:rFonts w:ascii="Calibri" w:eastAsia="Times New Roman" w:hAnsi="Calibri" w:cs="Times New Roman"/>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41"/>
        <w:gridCol w:w="1641"/>
        <w:gridCol w:w="1644"/>
        <w:gridCol w:w="1644"/>
        <w:gridCol w:w="1644"/>
        <w:gridCol w:w="1640"/>
      </w:tblGrid>
      <w:tr w:rsidR="00CE4FC0" w:rsidRPr="00CE4FC0" w:rsidTr="00D60C0F">
        <w:tc>
          <w:tcPr>
            <w:tcW w:w="5000" w:type="pct"/>
            <w:gridSpan w:val="6"/>
            <w:shd w:val="clear" w:color="auto" w:fill="C0C0C0"/>
          </w:tcPr>
          <w:p w:rsidR="00CE4FC0" w:rsidRPr="00CE4FC0" w:rsidRDefault="00CE4FC0" w:rsidP="00CE4FC0">
            <w:pPr>
              <w:jc w:val="center"/>
              <w:rPr>
                <w:rFonts w:ascii="Calibri" w:eastAsia="Times New Roman" w:hAnsi="Calibri" w:cs="Times New Roman"/>
                <w:b/>
                <w:sz w:val="20"/>
                <w:szCs w:val="20"/>
              </w:rPr>
            </w:pPr>
            <w:r w:rsidRPr="00CE4FC0">
              <w:rPr>
                <w:rFonts w:ascii="Calibri" w:eastAsia="Times New Roman" w:hAnsi="Calibri" w:cs="Times New Roman"/>
                <w:b/>
                <w:sz w:val="20"/>
                <w:szCs w:val="20"/>
              </w:rPr>
              <w:t>II. 4 f2) Dlhodobý hmotný majetok</w:t>
            </w:r>
          </w:p>
        </w:tc>
      </w:tr>
      <w:tr w:rsidR="00CE4FC0" w:rsidRPr="00CE4FC0" w:rsidTr="00D60C0F">
        <w:tc>
          <w:tcPr>
            <w:tcW w:w="833"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Druh</w:t>
            </w:r>
          </w:p>
        </w:tc>
        <w:tc>
          <w:tcPr>
            <w:tcW w:w="833"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Doba odpisovania</w:t>
            </w:r>
          </w:p>
        </w:tc>
        <w:tc>
          <w:tcPr>
            <w:tcW w:w="834"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Metóda</w:t>
            </w:r>
          </w:p>
        </w:tc>
        <w:tc>
          <w:tcPr>
            <w:tcW w:w="834"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Spôsob</w:t>
            </w:r>
          </w:p>
        </w:tc>
        <w:tc>
          <w:tcPr>
            <w:tcW w:w="834"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Účtovná odpisová sadzba alebo koeficient</w:t>
            </w:r>
          </w:p>
        </w:tc>
        <w:tc>
          <w:tcPr>
            <w:tcW w:w="832"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Daňová odpisová sadzba alebo koeficient</w:t>
            </w: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Stavby</w:t>
            </w:r>
          </w:p>
        </w:tc>
        <w:tc>
          <w:tcPr>
            <w:tcW w:w="833"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40,00</w:t>
            </w:r>
          </w:p>
        </w:tc>
        <w:tc>
          <w:tcPr>
            <w:tcW w:w="834"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Časová</w:t>
            </w:r>
          </w:p>
        </w:tc>
        <w:tc>
          <w:tcPr>
            <w:tcW w:w="834"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Rovnomerné</w:t>
            </w:r>
          </w:p>
        </w:tc>
        <w:tc>
          <w:tcPr>
            <w:tcW w:w="834"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2,5%</w:t>
            </w:r>
          </w:p>
        </w:tc>
        <w:tc>
          <w:tcPr>
            <w:tcW w:w="832"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2,5%</w:t>
            </w: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lastRenderedPageBreak/>
              <w:t>samostatne hnuteľné veci</w:t>
            </w:r>
          </w:p>
        </w:tc>
        <w:tc>
          <w:tcPr>
            <w:tcW w:w="833"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4,00</w:t>
            </w:r>
          </w:p>
        </w:tc>
        <w:tc>
          <w:tcPr>
            <w:tcW w:w="834"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Časová</w:t>
            </w:r>
          </w:p>
        </w:tc>
        <w:tc>
          <w:tcPr>
            <w:tcW w:w="834"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Rovnomerné</w:t>
            </w:r>
          </w:p>
        </w:tc>
        <w:tc>
          <w:tcPr>
            <w:tcW w:w="834"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25%</w:t>
            </w:r>
          </w:p>
        </w:tc>
        <w:tc>
          <w:tcPr>
            <w:tcW w:w="832"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25%</w:t>
            </w:r>
          </w:p>
        </w:tc>
      </w:tr>
    </w:tbl>
    <w:p w:rsidR="00CE4FC0" w:rsidRPr="00CE4FC0" w:rsidRDefault="00CE4FC0" w:rsidP="00CE4FC0">
      <w:pPr>
        <w:spacing w:after="200" w:line="276" w:lineRule="auto"/>
        <w:rPr>
          <w:rFonts w:ascii="Calibri" w:eastAsia="Times New Roman" w:hAnsi="Calibri" w:cs="Times New Roman"/>
          <w:sz w:val="20"/>
          <w:szCs w:val="20"/>
        </w:rPr>
      </w:pPr>
    </w:p>
    <w:tbl>
      <w:tblPr>
        <w:tblW w:w="5000" w:type="pct"/>
        <w:tblBorders>
          <w:top w:val="single" w:sz="4" w:space="0" w:color="auto"/>
          <w:left w:val="single" w:sz="4" w:space="0" w:color="auto"/>
          <w:bottom w:val="single" w:sz="4" w:space="0" w:color="auto"/>
          <w:right w:val="single" w:sz="4" w:space="0" w:color="auto"/>
        </w:tblBorders>
        <w:tblLook w:val="04A0"/>
      </w:tblPr>
      <w:tblGrid>
        <w:gridCol w:w="9854"/>
      </w:tblGrid>
      <w:tr w:rsidR="00CE4FC0" w:rsidRPr="00CE4FC0" w:rsidTr="00D60C0F">
        <w:tc>
          <w:tcPr>
            <w:tcW w:w="5000" w:type="pct"/>
            <w:tcBorders>
              <w:top w:val="single" w:sz="4" w:space="0" w:color="auto"/>
              <w:bottom w:val="single" w:sz="4" w:space="0" w:color="auto"/>
            </w:tcBorders>
            <w:shd w:val="clear" w:color="auto" w:fill="C0C0C0"/>
          </w:tcPr>
          <w:p w:rsidR="00CE4FC0" w:rsidRPr="00CE4FC0" w:rsidRDefault="00CE4FC0" w:rsidP="00CE4FC0">
            <w:pPr>
              <w:jc w:val="center"/>
              <w:rPr>
                <w:rFonts w:ascii="Calibri" w:eastAsia="Times New Roman" w:hAnsi="Calibri" w:cs="Times New Roman"/>
                <w:b/>
                <w:sz w:val="32"/>
                <w:szCs w:val="32"/>
              </w:rPr>
            </w:pPr>
            <w:r w:rsidRPr="00CE4FC0">
              <w:rPr>
                <w:rFonts w:ascii="Calibri" w:eastAsia="Times New Roman" w:hAnsi="Calibri" w:cs="Times New Roman"/>
                <w:b/>
                <w:sz w:val="32"/>
                <w:szCs w:val="32"/>
              </w:rPr>
              <w:t>Článok III - Informácie, ktoré vysvetľujú a doplňujú položky súvahy</w:t>
            </w:r>
          </w:p>
        </w:tc>
      </w:tr>
    </w:tbl>
    <w:p w:rsidR="00CE4FC0" w:rsidRPr="00CE4FC0" w:rsidRDefault="00CE4FC0" w:rsidP="00CE4FC0">
      <w:pPr>
        <w:spacing w:after="200" w:line="276" w:lineRule="auto"/>
        <w:rPr>
          <w:rFonts w:ascii="Calibri" w:eastAsia="Times New Roman" w:hAnsi="Calibri" w:cs="Times New Roman"/>
          <w:sz w:val="20"/>
          <w:szCs w:val="20"/>
        </w:rPr>
      </w:pPr>
    </w:p>
    <w:tbl>
      <w:tblPr>
        <w:tblW w:w="5000" w:type="pct"/>
        <w:tblBorders>
          <w:top w:val="single" w:sz="4" w:space="0" w:color="auto"/>
          <w:left w:val="single" w:sz="4" w:space="0" w:color="auto"/>
          <w:bottom w:val="single" w:sz="4" w:space="0" w:color="auto"/>
          <w:right w:val="single" w:sz="4" w:space="0" w:color="auto"/>
        </w:tblBorders>
        <w:tblLook w:val="04A0"/>
      </w:tblPr>
      <w:tblGrid>
        <w:gridCol w:w="9854"/>
      </w:tblGrid>
      <w:tr w:rsidR="00CE4FC0" w:rsidRPr="00CE4FC0" w:rsidTr="00D60C0F">
        <w:tc>
          <w:tcPr>
            <w:tcW w:w="5000" w:type="pct"/>
            <w:tcBorders>
              <w:top w:val="single" w:sz="4" w:space="0" w:color="auto"/>
              <w:bottom w:val="single" w:sz="4" w:space="0" w:color="auto"/>
            </w:tcBorders>
            <w:shd w:val="clear" w:color="auto" w:fill="C0C0C0"/>
          </w:tcPr>
          <w:p w:rsidR="00CE4FC0" w:rsidRPr="00CE4FC0" w:rsidRDefault="00CE4FC0" w:rsidP="00CE4FC0">
            <w:pPr>
              <w:jc w:val="center"/>
              <w:rPr>
                <w:rFonts w:ascii="Calibri" w:eastAsia="Times New Roman" w:hAnsi="Calibri" w:cs="Times New Roman"/>
                <w:b/>
                <w:sz w:val="28"/>
                <w:szCs w:val="28"/>
              </w:rPr>
            </w:pPr>
            <w:r w:rsidRPr="00CE4FC0">
              <w:rPr>
                <w:rFonts w:ascii="Calibri" w:eastAsia="Times New Roman" w:hAnsi="Calibri" w:cs="Times New Roman"/>
                <w:b/>
                <w:sz w:val="28"/>
                <w:szCs w:val="28"/>
              </w:rPr>
              <w:t>III. 1) Aktíva</w:t>
            </w:r>
          </w:p>
        </w:tc>
      </w:tr>
    </w:tbl>
    <w:p w:rsidR="00CE4FC0" w:rsidRPr="00CE4FC0" w:rsidRDefault="00CE4FC0" w:rsidP="00CE4FC0">
      <w:pPr>
        <w:spacing w:after="200" w:line="276" w:lineRule="auto"/>
        <w:rPr>
          <w:rFonts w:ascii="Calibri" w:eastAsia="Times New Roman" w:hAnsi="Calibri" w:cs="Times New Roman"/>
          <w:sz w:val="20"/>
          <w:szCs w:val="20"/>
        </w:rPr>
      </w:pPr>
    </w:p>
    <w:tbl>
      <w:tblPr>
        <w:tblW w:w="5000" w:type="pct"/>
        <w:tblBorders>
          <w:top w:val="single" w:sz="4" w:space="0" w:color="auto"/>
          <w:left w:val="single" w:sz="4" w:space="0" w:color="auto"/>
          <w:bottom w:val="single" w:sz="4" w:space="0" w:color="auto"/>
          <w:right w:val="single" w:sz="4" w:space="0" w:color="auto"/>
        </w:tblBorders>
        <w:tblLook w:val="04A0"/>
      </w:tblPr>
      <w:tblGrid>
        <w:gridCol w:w="9854"/>
      </w:tblGrid>
      <w:tr w:rsidR="00CE4FC0" w:rsidRPr="00CE4FC0" w:rsidTr="00D60C0F">
        <w:tc>
          <w:tcPr>
            <w:tcW w:w="5000" w:type="pct"/>
            <w:tcBorders>
              <w:top w:val="single" w:sz="4" w:space="0" w:color="auto"/>
              <w:bottom w:val="single" w:sz="4" w:space="0" w:color="auto"/>
            </w:tcBorders>
            <w:shd w:val="clear" w:color="auto" w:fill="C0C0C0"/>
          </w:tcPr>
          <w:p w:rsidR="00CE4FC0" w:rsidRPr="00CE4FC0" w:rsidRDefault="00CE4FC0" w:rsidP="00CE4FC0">
            <w:pPr>
              <w:jc w:val="center"/>
              <w:rPr>
                <w:rFonts w:ascii="Calibri" w:eastAsia="Times New Roman" w:hAnsi="Calibri" w:cs="Times New Roman"/>
                <w:b/>
              </w:rPr>
            </w:pPr>
            <w:r w:rsidRPr="00CE4FC0">
              <w:rPr>
                <w:rFonts w:ascii="Calibri" w:eastAsia="Times New Roman" w:hAnsi="Calibri" w:cs="Times New Roman"/>
                <w:b/>
              </w:rPr>
              <w:t>III. 1a) Dlhodobý  majetok</w:t>
            </w:r>
          </w:p>
        </w:tc>
      </w:tr>
    </w:tbl>
    <w:p w:rsidR="00CE4FC0" w:rsidRPr="00CE4FC0" w:rsidRDefault="00CE4FC0" w:rsidP="00CE4FC0">
      <w:pPr>
        <w:spacing w:after="200" w:line="276" w:lineRule="auto"/>
        <w:rPr>
          <w:rFonts w:ascii="Calibri" w:eastAsia="Times New Roman" w:hAnsi="Calibri" w:cs="Times New Roman"/>
          <w:sz w:val="20"/>
          <w:szCs w:val="20"/>
        </w:rPr>
      </w:pPr>
    </w:p>
    <w:p w:rsidR="00CE4FC0" w:rsidRPr="00CE4FC0" w:rsidRDefault="00CE4FC0" w:rsidP="00CE4FC0">
      <w:pPr>
        <w:spacing w:after="200" w:line="276" w:lineRule="auto"/>
        <w:rPr>
          <w:rFonts w:ascii="Calibri" w:eastAsia="Times New Roman" w:hAnsi="Calibri" w:cs="Times New Roman"/>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60"/>
        <w:gridCol w:w="849"/>
        <w:gridCol w:w="1001"/>
        <w:gridCol w:w="1135"/>
        <w:gridCol w:w="901"/>
        <w:gridCol w:w="792"/>
        <w:gridCol w:w="960"/>
        <w:gridCol w:w="1023"/>
        <w:gridCol w:w="1133"/>
        <w:gridCol w:w="1100"/>
      </w:tblGrid>
      <w:tr w:rsidR="00CE4FC0" w:rsidRPr="00CE4FC0" w:rsidTr="00D60C0F">
        <w:tc>
          <w:tcPr>
            <w:tcW w:w="5000" w:type="pct"/>
            <w:gridSpan w:val="10"/>
            <w:shd w:val="clear" w:color="auto" w:fill="C0C0C0"/>
          </w:tcPr>
          <w:p w:rsidR="00CE4FC0" w:rsidRPr="00CE4FC0" w:rsidRDefault="00CE4FC0" w:rsidP="00CE4FC0">
            <w:pPr>
              <w:jc w:val="center"/>
              <w:rPr>
                <w:rFonts w:ascii="Calibri" w:eastAsia="Times New Roman" w:hAnsi="Calibri" w:cs="Times New Roman"/>
                <w:b/>
                <w:sz w:val="20"/>
                <w:szCs w:val="20"/>
              </w:rPr>
            </w:pPr>
            <w:r w:rsidRPr="00CE4FC0">
              <w:rPr>
                <w:rFonts w:ascii="Calibri" w:eastAsia="Times New Roman" w:hAnsi="Calibri" w:cs="Times New Roman"/>
                <w:b/>
                <w:sz w:val="20"/>
                <w:szCs w:val="20"/>
              </w:rPr>
              <w:t>III. 1 a1-3c) Dlhodobý majetok hmotný - bežné účtovné obdobie</w:t>
            </w:r>
          </w:p>
        </w:tc>
      </w:tr>
      <w:tr w:rsidR="00CE4FC0" w:rsidRPr="00CE4FC0" w:rsidTr="00D60C0F">
        <w:tc>
          <w:tcPr>
            <w:tcW w:w="487"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Položka</w:t>
            </w:r>
          </w:p>
        </w:tc>
        <w:tc>
          <w:tcPr>
            <w:tcW w:w="431"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Pozemky</w:t>
            </w:r>
          </w:p>
        </w:tc>
        <w:tc>
          <w:tcPr>
            <w:tcW w:w="508"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Stavby</w:t>
            </w:r>
          </w:p>
        </w:tc>
        <w:tc>
          <w:tcPr>
            <w:tcW w:w="576"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Samostatné hnuteľné veci a súbory hnuteľných vecí</w:t>
            </w:r>
          </w:p>
        </w:tc>
        <w:tc>
          <w:tcPr>
            <w:tcW w:w="457"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Pesto-vateľské celky trvalých porastov</w:t>
            </w:r>
          </w:p>
        </w:tc>
        <w:tc>
          <w:tcPr>
            <w:tcW w:w="402"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Základné stádo a ťažné zvieratá</w:t>
            </w:r>
          </w:p>
        </w:tc>
        <w:tc>
          <w:tcPr>
            <w:tcW w:w="487"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Ostatný DHM</w:t>
            </w:r>
          </w:p>
        </w:tc>
        <w:tc>
          <w:tcPr>
            <w:tcW w:w="519"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Obstarávaný DHM</w:t>
            </w:r>
          </w:p>
        </w:tc>
        <w:tc>
          <w:tcPr>
            <w:tcW w:w="575"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Poskytnuté preddavky na DHM</w:t>
            </w:r>
          </w:p>
        </w:tc>
        <w:tc>
          <w:tcPr>
            <w:tcW w:w="558"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Spolu</w:t>
            </w:r>
          </w:p>
        </w:tc>
      </w:tr>
      <w:tr w:rsidR="00CE4FC0" w:rsidRPr="00CE4FC0" w:rsidTr="00D60C0F">
        <w:tc>
          <w:tcPr>
            <w:tcW w:w="5000" w:type="pct"/>
            <w:gridSpan w:val="10"/>
            <w:shd w:val="clear" w:color="auto" w:fill="E6E6E6"/>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Prvotné ocenenie</w:t>
            </w:r>
          </w:p>
        </w:tc>
      </w:tr>
      <w:tr w:rsidR="00CE4FC0" w:rsidRPr="00CE4FC0" w:rsidTr="00D60C0F">
        <w:tc>
          <w:tcPr>
            <w:tcW w:w="487" w:type="pct"/>
          </w:tcPr>
          <w:p w:rsidR="00CE4FC0" w:rsidRPr="00CE4FC0" w:rsidRDefault="00CE4FC0" w:rsidP="00CE4FC0">
            <w:pPr>
              <w:rPr>
                <w:rFonts w:ascii="Calibri" w:eastAsia="Times New Roman" w:hAnsi="Calibri" w:cs="Times New Roman"/>
                <w:b/>
                <w:sz w:val="20"/>
                <w:szCs w:val="20"/>
              </w:rPr>
            </w:pPr>
            <w:r w:rsidRPr="00CE4FC0">
              <w:rPr>
                <w:rFonts w:ascii="Calibri" w:eastAsia="Times New Roman" w:hAnsi="Calibri" w:cs="Times New Roman"/>
                <w:b/>
                <w:sz w:val="20"/>
                <w:szCs w:val="20"/>
              </w:rPr>
              <w:t>Stav na začiatku účtovného obdobia</w:t>
            </w:r>
          </w:p>
        </w:tc>
        <w:tc>
          <w:tcPr>
            <w:tcW w:w="431"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11 174</w:t>
            </w:r>
          </w:p>
        </w:tc>
        <w:tc>
          <w:tcPr>
            <w:tcW w:w="508"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125 722</w:t>
            </w:r>
          </w:p>
        </w:tc>
        <w:tc>
          <w:tcPr>
            <w:tcW w:w="576"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1 214 426</w:t>
            </w:r>
          </w:p>
        </w:tc>
        <w:tc>
          <w:tcPr>
            <w:tcW w:w="457"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402"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487"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215 854</w:t>
            </w:r>
          </w:p>
        </w:tc>
        <w:tc>
          <w:tcPr>
            <w:tcW w:w="519"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575"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558"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1 567 176</w:t>
            </w:r>
          </w:p>
        </w:tc>
      </w:tr>
      <w:tr w:rsidR="00CE4FC0" w:rsidRPr="00CE4FC0" w:rsidTr="00D60C0F">
        <w:tc>
          <w:tcPr>
            <w:tcW w:w="487"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Prírastky</w:t>
            </w:r>
          </w:p>
        </w:tc>
        <w:tc>
          <w:tcPr>
            <w:tcW w:w="431" w:type="pct"/>
          </w:tcPr>
          <w:p w:rsidR="00CE4FC0" w:rsidRPr="00CE4FC0" w:rsidRDefault="00CE4FC0" w:rsidP="00CE4FC0">
            <w:pPr>
              <w:jc w:val="right"/>
              <w:rPr>
                <w:rFonts w:ascii="Calibri" w:eastAsia="Times New Roman" w:hAnsi="Calibri" w:cs="Times New Roman"/>
                <w:sz w:val="20"/>
                <w:szCs w:val="20"/>
              </w:rPr>
            </w:pPr>
          </w:p>
        </w:tc>
        <w:tc>
          <w:tcPr>
            <w:tcW w:w="508" w:type="pct"/>
          </w:tcPr>
          <w:p w:rsidR="00CE4FC0" w:rsidRPr="00CE4FC0" w:rsidRDefault="00CE4FC0" w:rsidP="00CE4FC0">
            <w:pPr>
              <w:jc w:val="right"/>
              <w:rPr>
                <w:rFonts w:ascii="Calibri" w:eastAsia="Times New Roman" w:hAnsi="Calibri" w:cs="Times New Roman"/>
                <w:sz w:val="20"/>
                <w:szCs w:val="20"/>
              </w:rPr>
            </w:pPr>
          </w:p>
        </w:tc>
        <w:tc>
          <w:tcPr>
            <w:tcW w:w="576"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357 971</w:t>
            </w:r>
          </w:p>
        </w:tc>
        <w:tc>
          <w:tcPr>
            <w:tcW w:w="457" w:type="pct"/>
          </w:tcPr>
          <w:p w:rsidR="00CE4FC0" w:rsidRPr="00CE4FC0" w:rsidRDefault="00CE4FC0" w:rsidP="00CE4FC0">
            <w:pPr>
              <w:jc w:val="right"/>
              <w:rPr>
                <w:rFonts w:ascii="Calibri" w:eastAsia="Times New Roman" w:hAnsi="Calibri" w:cs="Times New Roman"/>
                <w:sz w:val="20"/>
                <w:szCs w:val="20"/>
              </w:rPr>
            </w:pPr>
          </w:p>
        </w:tc>
        <w:tc>
          <w:tcPr>
            <w:tcW w:w="402" w:type="pct"/>
          </w:tcPr>
          <w:p w:rsidR="00CE4FC0" w:rsidRPr="00CE4FC0" w:rsidRDefault="00CE4FC0" w:rsidP="00CE4FC0">
            <w:pPr>
              <w:jc w:val="right"/>
              <w:rPr>
                <w:rFonts w:ascii="Calibri" w:eastAsia="Times New Roman" w:hAnsi="Calibri" w:cs="Times New Roman"/>
                <w:sz w:val="20"/>
                <w:szCs w:val="20"/>
              </w:rPr>
            </w:pPr>
          </w:p>
        </w:tc>
        <w:tc>
          <w:tcPr>
            <w:tcW w:w="487" w:type="pct"/>
          </w:tcPr>
          <w:p w:rsidR="00CE4FC0" w:rsidRPr="00CE4FC0" w:rsidRDefault="00CE4FC0" w:rsidP="00CE4FC0">
            <w:pPr>
              <w:jc w:val="right"/>
              <w:rPr>
                <w:rFonts w:ascii="Calibri" w:eastAsia="Times New Roman" w:hAnsi="Calibri" w:cs="Times New Roman"/>
                <w:sz w:val="20"/>
                <w:szCs w:val="20"/>
              </w:rPr>
            </w:pPr>
          </w:p>
        </w:tc>
        <w:tc>
          <w:tcPr>
            <w:tcW w:w="519"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818 467</w:t>
            </w:r>
          </w:p>
        </w:tc>
        <w:tc>
          <w:tcPr>
            <w:tcW w:w="575"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17 860</w:t>
            </w:r>
          </w:p>
        </w:tc>
        <w:tc>
          <w:tcPr>
            <w:tcW w:w="558"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1 194 298</w:t>
            </w:r>
          </w:p>
        </w:tc>
      </w:tr>
      <w:tr w:rsidR="00CE4FC0" w:rsidRPr="00CE4FC0" w:rsidTr="00D60C0F">
        <w:tc>
          <w:tcPr>
            <w:tcW w:w="487"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Úbytky</w:t>
            </w:r>
          </w:p>
        </w:tc>
        <w:tc>
          <w:tcPr>
            <w:tcW w:w="431" w:type="pct"/>
          </w:tcPr>
          <w:p w:rsidR="00CE4FC0" w:rsidRPr="00CE4FC0" w:rsidRDefault="00CE4FC0" w:rsidP="00CE4FC0">
            <w:pPr>
              <w:jc w:val="right"/>
              <w:rPr>
                <w:rFonts w:ascii="Calibri" w:eastAsia="Times New Roman" w:hAnsi="Calibri" w:cs="Times New Roman"/>
                <w:sz w:val="20"/>
                <w:szCs w:val="20"/>
              </w:rPr>
            </w:pPr>
          </w:p>
        </w:tc>
        <w:tc>
          <w:tcPr>
            <w:tcW w:w="508" w:type="pct"/>
          </w:tcPr>
          <w:p w:rsidR="00CE4FC0" w:rsidRPr="00CE4FC0" w:rsidRDefault="00CE4FC0" w:rsidP="00CE4FC0">
            <w:pPr>
              <w:jc w:val="right"/>
              <w:rPr>
                <w:rFonts w:ascii="Calibri" w:eastAsia="Times New Roman" w:hAnsi="Calibri" w:cs="Times New Roman"/>
                <w:sz w:val="20"/>
                <w:szCs w:val="20"/>
              </w:rPr>
            </w:pPr>
          </w:p>
        </w:tc>
        <w:tc>
          <w:tcPr>
            <w:tcW w:w="576"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626 397</w:t>
            </w:r>
          </w:p>
        </w:tc>
        <w:tc>
          <w:tcPr>
            <w:tcW w:w="457" w:type="pct"/>
          </w:tcPr>
          <w:p w:rsidR="00CE4FC0" w:rsidRPr="00CE4FC0" w:rsidRDefault="00CE4FC0" w:rsidP="00CE4FC0">
            <w:pPr>
              <w:jc w:val="right"/>
              <w:rPr>
                <w:rFonts w:ascii="Calibri" w:eastAsia="Times New Roman" w:hAnsi="Calibri" w:cs="Times New Roman"/>
                <w:sz w:val="20"/>
                <w:szCs w:val="20"/>
              </w:rPr>
            </w:pPr>
          </w:p>
        </w:tc>
        <w:tc>
          <w:tcPr>
            <w:tcW w:w="402" w:type="pct"/>
          </w:tcPr>
          <w:p w:rsidR="00CE4FC0" w:rsidRPr="00CE4FC0" w:rsidRDefault="00CE4FC0" w:rsidP="00CE4FC0">
            <w:pPr>
              <w:jc w:val="right"/>
              <w:rPr>
                <w:rFonts w:ascii="Calibri" w:eastAsia="Times New Roman" w:hAnsi="Calibri" w:cs="Times New Roman"/>
                <w:sz w:val="20"/>
                <w:szCs w:val="20"/>
              </w:rPr>
            </w:pPr>
          </w:p>
        </w:tc>
        <w:tc>
          <w:tcPr>
            <w:tcW w:w="487"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9 469</w:t>
            </w:r>
          </w:p>
        </w:tc>
        <w:tc>
          <w:tcPr>
            <w:tcW w:w="519"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357 971</w:t>
            </w:r>
          </w:p>
        </w:tc>
        <w:tc>
          <w:tcPr>
            <w:tcW w:w="575"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2 976</w:t>
            </w:r>
          </w:p>
        </w:tc>
        <w:tc>
          <w:tcPr>
            <w:tcW w:w="558"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996 813</w:t>
            </w:r>
          </w:p>
        </w:tc>
      </w:tr>
      <w:tr w:rsidR="00CE4FC0" w:rsidRPr="00CE4FC0" w:rsidTr="00D60C0F">
        <w:tc>
          <w:tcPr>
            <w:tcW w:w="487"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Presuny</w:t>
            </w:r>
          </w:p>
        </w:tc>
        <w:tc>
          <w:tcPr>
            <w:tcW w:w="431" w:type="pct"/>
          </w:tcPr>
          <w:p w:rsidR="00CE4FC0" w:rsidRPr="00CE4FC0" w:rsidRDefault="00CE4FC0" w:rsidP="00CE4FC0">
            <w:pPr>
              <w:jc w:val="right"/>
              <w:rPr>
                <w:rFonts w:ascii="Calibri" w:eastAsia="Times New Roman" w:hAnsi="Calibri" w:cs="Times New Roman"/>
                <w:sz w:val="20"/>
                <w:szCs w:val="20"/>
              </w:rPr>
            </w:pPr>
          </w:p>
        </w:tc>
        <w:tc>
          <w:tcPr>
            <w:tcW w:w="508" w:type="pct"/>
          </w:tcPr>
          <w:p w:rsidR="00CE4FC0" w:rsidRPr="00CE4FC0" w:rsidRDefault="00CE4FC0" w:rsidP="00CE4FC0">
            <w:pPr>
              <w:jc w:val="right"/>
              <w:rPr>
                <w:rFonts w:ascii="Calibri" w:eastAsia="Times New Roman" w:hAnsi="Calibri" w:cs="Times New Roman"/>
                <w:sz w:val="20"/>
                <w:szCs w:val="20"/>
              </w:rPr>
            </w:pPr>
          </w:p>
        </w:tc>
        <w:tc>
          <w:tcPr>
            <w:tcW w:w="576" w:type="pct"/>
          </w:tcPr>
          <w:p w:rsidR="00CE4FC0" w:rsidRPr="00CE4FC0" w:rsidRDefault="00CE4FC0" w:rsidP="00CE4FC0">
            <w:pPr>
              <w:jc w:val="right"/>
              <w:rPr>
                <w:rFonts w:ascii="Calibri" w:eastAsia="Times New Roman" w:hAnsi="Calibri" w:cs="Times New Roman"/>
                <w:sz w:val="20"/>
                <w:szCs w:val="20"/>
              </w:rPr>
            </w:pPr>
          </w:p>
        </w:tc>
        <w:tc>
          <w:tcPr>
            <w:tcW w:w="457" w:type="pct"/>
          </w:tcPr>
          <w:p w:rsidR="00CE4FC0" w:rsidRPr="00CE4FC0" w:rsidRDefault="00CE4FC0" w:rsidP="00CE4FC0">
            <w:pPr>
              <w:jc w:val="right"/>
              <w:rPr>
                <w:rFonts w:ascii="Calibri" w:eastAsia="Times New Roman" w:hAnsi="Calibri" w:cs="Times New Roman"/>
                <w:sz w:val="20"/>
                <w:szCs w:val="20"/>
              </w:rPr>
            </w:pPr>
          </w:p>
        </w:tc>
        <w:tc>
          <w:tcPr>
            <w:tcW w:w="402" w:type="pct"/>
          </w:tcPr>
          <w:p w:rsidR="00CE4FC0" w:rsidRPr="00CE4FC0" w:rsidRDefault="00CE4FC0" w:rsidP="00CE4FC0">
            <w:pPr>
              <w:jc w:val="right"/>
              <w:rPr>
                <w:rFonts w:ascii="Calibri" w:eastAsia="Times New Roman" w:hAnsi="Calibri" w:cs="Times New Roman"/>
                <w:sz w:val="20"/>
                <w:szCs w:val="20"/>
              </w:rPr>
            </w:pPr>
          </w:p>
        </w:tc>
        <w:tc>
          <w:tcPr>
            <w:tcW w:w="487" w:type="pct"/>
          </w:tcPr>
          <w:p w:rsidR="00CE4FC0" w:rsidRPr="00CE4FC0" w:rsidRDefault="00CE4FC0" w:rsidP="00CE4FC0">
            <w:pPr>
              <w:jc w:val="right"/>
              <w:rPr>
                <w:rFonts w:ascii="Calibri" w:eastAsia="Times New Roman" w:hAnsi="Calibri" w:cs="Times New Roman"/>
                <w:sz w:val="20"/>
                <w:szCs w:val="20"/>
              </w:rPr>
            </w:pPr>
          </w:p>
        </w:tc>
        <w:tc>
          <w:tcPr>
            <w:tcW w:w="519" w:type="pct"/>
          </w:tcPr>
          <w:p w:rsidR="00CE4FC0" w:rsidRPr="00CE4FC0" w:rsidRDefault="00CE4FC0" w:rsidP="00CE4FC0">
            <w:pPr>
              <w:jc w:val="right"/>
              <w:rPr>
                <w:rFonts w:ascii="Calibri" w:eastAsia="Times New Roman" w:hAnsi="Calibri" w:cs="Times New Roman"/>
                <w:sz w:val="20"/>
                <w:szCs w:val="20"/>
              </w:rPr>
            </w:pPr>
          </w:p>
        </w:tc>
        <w:tc>
          <w:tcPr>
            <w:tcW w:w="575" w:type="pct"/>
          </w:tcPr>
          <w:p w:rsidR="00CE4FC0" w:rsidRPr="00CE4FC0" w:rsidRDefault="00CE4FC0" w:rsidP="00CE4FC0">
            <w:pPr>
              <w:jc w:val="right"/>
              <w:rPr>
                <w:rFonts w:ascii="Calibri" w:eastAsia="Times New Roman" w:hAnsi="Calibri" w:cs="Times New Roman"/>
                <w:sz w:val="20"/>
                <w:szCs w:val="20"/>
              </w:rPr>
            </w:pPr>
          </w:p>
        </w:tc>
        <w:tc>
          <w:tcPr>
            <w:tcW w:w="558"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487" w:type="pct"/>
          </w:tcPr>
          <w:p w:rsidR="00CE4FC0" w:rsidRPr="00CE4FC0" w:rsidRDefault="00CE4FC0" w:rsidP="00CE4FC0">
            <w:pPr>
              <w:rPr>
                <w:rFonts w:ascii="Calibri" w:eastAsia="Times New Roman" w:hAnsi="Calibri" w:cs="Times New Roman"/>
                <w:b/>
                <w:sz w:val="20"/>
                <w:szCs w:val="20"/>
              </w:rPr>
            </w:pPr>
            <w:r w:rsidRPr="00CE4FC0">
              <w:rPr>
                <w:rFonts w:ascii="Calibri" w:eastAsia="Times New Roman" w:hAnsi="Calibri" w:cs="Times New Roman"/>
                <w:b/>
                <w:sz w:val="20"/>
                <w:szCs w:val="20"/>
              </w:rPr>
              <w:t>Stav na konci účtovného obdobia</w:t>
            </w:r>
          </w:p>
        </w:tc>
        <w:tc>
          <w:tcPr>
            <w:tcW w:w="431"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11 174</w:t>
            </w:r>
          </w:p>
        </w:tc>
        <w:tc>
          <w:tcPr>
            <w:tcW w:w="508"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125 722</w:t>
            </w:r>
          </w:p>
        </w:tc>
        <w:tc>
          <w:tcPr>
            <w:tcW w:w="576"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946 000</w:t>
            </w:r>
          </w:p>
        </w:tc>
        <w:tc>
          <w:tcPr>
            <w:tcW w:w="457"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402"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487"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206 385</w:t>
            </w:r>
          </w:p>
        </w:tc>
        <w:tc>
          <w:tcPr>
            <w:tcW w:w="519"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460 496</w:t>
            </w:r>
          </w:p>
        </w:tc>
        <w:tc>
          <w:tcPr>
            <w:tcW w:w="575"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14 884</w:t>
            </w:r>
          </w:p>
        </w:tc>
        <w:tc>
          <w:tcPr>
            <w:tcW w:w="558"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1 764 661</w:t>
            </w:r>
          </w:p>
        </w:tc>
      </w:tr>
      <w:tr w:rsidR="00CE4FC0" w:rsidRPr="00CE4FC0" w:rsidTr="00D60C0F">
        <w:tc>
          <w:tcPr>
            <w:tcW w:w="5000" w:type="pct"/>
            <w:gridSpan w:val="10"/>
            <w:shd w:val="clear" w:color="auto" w:fill="E6E6E6"/>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Oprávky</w:t>
            </w:r>
          </w:p>
        </w:tc>
      </w:tr>
      <w:tr w:rsidR="00CE4FC0" w:rsidRPr="00CE4FC0" w:rsidTr="00D60C0F">
        <w:tc>
          <w:tcPr>
            <w:tcW w:w="487" w:type="pct"/>
          </w:tcPr>
          <w:p w:rsidR="00CE4FC0" w:rsidRPr="00CE4FC0" w:rsidRDefault="00CE4FC0" w:rsidP="00CE4FC0">
            <w:pPr>
              <w:rPr>
                <w:rFonts w:ascii="Calibri" w:eastAsia="Times New Roman" w:hAnsi="Calibri" w:cs="Times New Roman"/>
                <w:b/>
                <w:sz w:val="20"/>
                <w:szCs w:val="20"/>
              </w:rPr>
            </w:pPr>
            <w:r w:rsidRPr="00CE4FC0">
              <w:rPr>
                <w:rFonts w:ascii="Calibri" w:eastAsia="Times New Roman" w:hAnsi="Calibri" w:cs="Times New Roman"/>
                <w:b/>
                <w:sz w:val="20"/>
                <w:szCs w:val="20"/>
              </w:rPr>
              <w:t>Stav na začiatku účtovného obdobia</w:t>
            </w:r>
          </w:p>
        </w:tc>
        <w:tc>
          <w:tcPr>
            <w:tcW w:w="431"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508"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11 851</w:t>
            </w:r>
          </w:p>
        </w:tc>
        <w:tc>
          <w:tcPr>
            <w:tcW w:w="576"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617 205</w:t>
            </w:r>
          </w:p>
        </w:tc>
        <w:tc>
          <w:tcPr>
            <w:tcW w:w="457"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402"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487"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215 854</w:t>
            </w:r>
          </w:p>
        </w:tc>
        <w:tc>
          <w:tcPr>
            <w:tcW w:w="519"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575"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558"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844 910</w:t>
            </w:r>
          </w:p>
        </w:tc>
      </w:tr>
      <w:tr w:rsidR="00CE4FC0" w:rsidRPr="00CE4FC0" w:rsidTr="00D60C0F">
        <w:tc>
          <w:tcPr>
            <w:tcW w:w="487"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Prírastky</w:t>
            </w:r>
          </w:p>
        </w:tc>
        <w:tc>
          <w:tcPr>
            <w:tcW w:w="431" w:type="pct"/>
          </w:tcPr>
          <w:p w:rsidR="00CE4FC0" w:rsidRPr="00CE4FC0" w:rsidRDefault="00CE4FC0" w:rsidP="00CE4FC0">
            <w:pPr>
              <w:jc w:val="right"/>
              <w:rPr>
                <w:rFonts w:ascii="Calibri" w:eastAsia="Times New Roman" w:hAnsi="Calibri" w:cs="Times New Roman"/>
                <w:sz w:val="20"/>
                <w:szCs w:val="20"/>
              </w:rPr>
            </w:pPr>
          </w:p>
        </w:tc>
        <w:tc>
          <w:tcPr>
            <w:tcW w:w="508"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3 072</w:t>
            </w:r>
          </w:p>
        </w:tc>
        <w:tc>
          <w:tcPr>
            <w:tcW w:w="576"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390 138</w:t>
            </w:r>
          </w:p>
        </w:tc>
        <w:tc>
          <w:tcPr>
            <w:tcW w:w="457" w:type="pct"/>
          </w:tcPr>
          <w:p w:rsidR="00CE4FC0" w:rsidRPr="00CE4FC0" w:rsidRDefault="00CE4FC0" w:rsidP="00CE4FC0">
            <w:pPr>
              <w:jc w:val="right"/>
              <w:rPr>
                <w:rFonts w:ascii="Calibri" w:eastAsia="Times New Roman" w:hAnsi="Calibri" w:cs="Times New Roman"/>
                <w:sz w:val="20"/>
                <w:szCs w:val="20"/>
              </w:rPr>
            </w:pPr>
          </w:p>
        </w:tc>
        <w:tc>
          <w:tcPr>
            <w:tcW w:w="402" w:type="pct"/>
          </w:tcPr>
          <w:p w:rsidR="00CE4FC0" w:rsidRPr="00CE4FC0" w:rsidRDefault="00CE4FC0" w:rsidP="00CE4FC0">
            <w:pPr>
              <w:jc w:val="right"/>
              <w:rPr>
                <w:rFonts w:ascii="Calibri" w:eastAsia="Times New Roman" w:hAnsi="Calibri" w:cs="Times New Roman"/>
                <w:sz w:val="20"/>
                <w:szCs w:val="20"/>
              </w:rPr>
            </w:pPr>
          </w:p>
        </w:tc>
        <w:tc>
          <w:tcPr>
            <w:tcW w:w="487" w:type="pct"/>
          </w:tcPr>
          <w:p w:rsidR="00CE4FC0" w:rsidRPr="00CE4FC0" w:rsidRDefault="00CE4FC0" w:rsidP="00CE4FC0">
            <w:pPr>
              <w:jc w:val="right"/>
              <w:rPr>
                <w:rFonts w:ascii="Calibri" w:eastAsia="Times New Roman" w:hAnsi="Calibri" w:cs="Times New Roman"/>
                <w:sz w:val="20"/>
                <w:szCs w:val="20"/>
              </w:rPr>
            </w:pPr>
          </w:p>
        </w:tc>
        <w:tc>
          <w:tcPr>
            <w:tcW w:w="519" w:type="pct"/>
          </w:tcPr>
          <w:p w:rsidR="00CE4FC0" w:rsidRPr="00CE4FC0" w:rsidRDefault="00CE4FC0" w:rsidP="00CE4FC0">
            <w:pPr>
              <w:jc w:val="right"/>
              <w:rPr>
                <w:rFonts w:ascii="Calibri" w:eastAsia="Times New Roman" w:hAnsi="Calibri" w:cs="Times New Roman"/>
                <w:sz w:val="20"/>
                <w:szCs w:val="20"/>
              </w:rPr>
            </w:pPr>
          </w:p>
        </w:tc>
        <w:tc>
          <w:tcPr>
            <w:tcW w:w="575" w:type="pct"/>
          </w:tcPr>
          <w:p w:rsidR="00CE4FC0" w:rsidRPr="00CE4FC0" w:rsidRDefault="00CE4FC0" w:rsidP="00CE4FC0">
            <w:pPr>
              <w:jc w:val="right"/>
              <w:rPr>
                <w:rFonts w:ascii="Calibri" w:eastAsia="Times New Roman" w:hAnsi="Calibri" w:cs="Times New Roman"/>
                <w:sz w:val="20"/>
                <w:szCs w:val="20"/>
              </w:rPr>
            </w:pPr>
          </w:p>
        </w:tc>
        <w:tc>
          <w:tcPr>
            <w:tcW w:w="558"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393 210</w:t>
            </w:r>
          </w:p>
        </w:tc>
      </w:tr>
      <w:tr w:rsidR="00CE4FC0" w:rsidRPr="00CE4FC0" w:rsidTr="00D60C0F">
        <w:tc>
          <w:tcPr>
            <w:tcW w:w="487"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Úbytky</w:t>
            </w:r>
          </w:p>
        </w:tc>
        <w:tc>
          <w:tcPr>
            <w:tcW w:w="431" w:type="pct"/>
          </w:tcPr>
          <w:p w:rsidR="00CE4FC0" w:rsidRPr="00CE4FC0" w:rsidRDefault="00CE4FC0" w:rsidP="00CE4FC0">
            <w:pPr>
              <w:jc w:val="right"/>
              <w:rPr>
                <w:rFonts w:ascii="Calibri" w:eastAsia="Times New Roman" w:hAnsi="Calibri" w:cs="Times New Roman"/>
                <w:sz w:val="20"/>
                <w:szCs w:val="20"/>
              </w:rPr>
            </w:pPr>
          </w:p>
        </w:tc>
        <w:tc>
          <w:tcPr>
            <w:tcW w:w="508" w:type="pct"/>
          </w:tcPr>
          <w:p w:rsidR="00CE4FC0" w:rsidRPr="00CE4FC0" w:rsidRDefault="00CE4FC0" w:rsidP="00CE4FC0">
            <w:pPr>
              <w:jc w:val="right"/>
              <w:rPr>
                <w:rFonts w:ascii="Calibri" w:eastAsia="Times New Roman" w:hAnsi="Calibri" w:cs="Times New Roman"/>
                <w:sz w:val="20"/>
                <w:szCs w:val="20"/>
              </w:rPr>
            </w:pPr>
          </w:p>
        </w:tc>
        <w:tc>
          <w:tcPr>
            <w:tcW w:w="576"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626 396</w:t>
            </w:r>
          </w:p>
        </w:tc>
        <w:tc>
          <w:tcPr>
            <w:tcW w:w="457" w:type="pct"/>
          </w:tcPr>
          <w:p w:rsidR="00CE4FC0" w:rsidRPr="00CE4FC0" w:rsidRDefault="00CE4FC0" w:rsidP="00CE4FC0">
            <w:pPr>
              <w:jc w:val="right"/>
              <w:rPr>
                <w:rFonts w:ascii="Calibri" w:eastAsia="Times New Roman" w:hAnsi="Calibri" w:cs="Times New Roman"/>
                <w:sz w:val="20"/>
                <w:szCs w:val="20"/>
              </w:rPr>
            </w:pPr>
          </w:p>
        </w:tc>
        <w:tc>
          <w:tcPr>
            <w:tcW w:w="402" w:type="pct"/>
          </w:tcPr>
          <w:p w:rsidR="00CE4FC0" w:rsidRPr="00CE4FC0" w:rsidRDefault="00CE4FC0" w:rsidP="00CE4FC0">
            <w:pPr>
              <w:jc w:val="right"/>
              <w:rPr>
                <w:rFonts w:ascii="Calibri" w:eastAsia="Times New Roman" w:hAnsi="Calibri" w:cs="Times New Roman"/>
                <w:sz w:val="20"/>
                <w:szCs w:val="20"/>
              </w:rPr>
            </w:pPr>
          </w:p>
        </w:tc>
        <w:tc>
          <w:tcPr>
            <w:tcW w:w="487"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9 469</w:t>
            </w:r>
          </w:p>
        </w:tc>
        <w:tc>
          <w:tcPr>
            <w:tcW w:w="519" w:type="pct"/>
          </w:tcPr>
          <w:p w:rsidR="00CE4FC0" w:rsidRPr="00CE4FC0" w:rsidRDefault="00CE4FC0" w:rsidP="00CE4FC0">
            <w:pPr>
              <w:jc w:val="right"/>
              <w:rPr>
                <w:rFonts w:ascii="Calibri" w:eastAsia="Times New Roman" w:hAnsi="Calibri" w:cs="Times New Roman"/>
                <w:sz w:val="20"/>
                <w:szCs w:val="20"/>
              </w:rPr>
            </w:pPr>
          </w:p>
        </w:tc>
        <w:tc>
          <w:tcPr>
            <w:tcW w:w="575" w:type="pct"/>
          </w:tcPr>
          <w:p w:rsidR="00CE4FC0" w:rsidRPr="00CE4FC0" w:rsidRDefault="00CE4FC0" w:rsidP="00CE4FC0">
            <w:pPr>
              <w:jc w:val="right"/>
              <w:rPr>
                <w:rFonts w:ascii="Calibri" w:eastAsia="Times New Roman" w:hAnsi="Calibri" w:cs="Times New Roman"/>
                <w:sz w:val="20"/>
                <w:szCs w:val="20"/>
              </w:rPr>
            </w:pPr>
          </w:p>
        </w:tc>
        <w:tc>
          <w:tcPr>
            <w:tcW w:w="558"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635 865</w:t>
            </w:r>
          </w:p>
        </w:tc>
      </w:tr>
      <w:tr w:rsidR="00CE4FC0" w:rsidRPr="00CE4FC0" w:rsidTr="00D60C0F">
        <w:tc>
          <w:tcPr>
            <w:tcW w:w="487" w:type="pct"/>
          </w:tcPr>
          <w:p w:rsidR="00CE4FC0" w:rsidRPr="00CE4FC0" w:rsidRDefault="00CE4FC0" w:rsidP="00CE4FC0">
            <w:pPr>
              <w:rPr>
                <w:rFonts w:ascii="Calibri" w:eastAsia="Times New Roman" w:hAnsi="Calibri" w:cs="Times New Roman"/>
                <w:b/>
                <w:sz w:val="20"/>
                <w:szCs w:val="20"/>
              </w:rPr>
            </w:pPr>
            <w:r w:rsidRPr="00CE4FC0">
              <w:rPr>
                <w:rFonts w:ascii="Calibri" w:eastAsia="Times New Roman" w:hAnsi="Calibri" w:cs="Times New Roman"/>
                <w:b/>
                <w:sz w:val="20"/>
                <w:szCs w:val="20"/>
              </w:rPr>
              <w:t>Stav na konci účtovného obdobia</w:t>
            </w:r>
          </w:p>
        </w:tc>
        <w:tc>
          <w:tcPr>
            <w:tcW w:w="431"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508"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14 923</w:t>
            </w:r>
          </w:p>
        </w:tc>
        <w:tc>
          <w:tcPr>
            <w:tcW w:w="576"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380 947</w:t>
            </w:r>
          </w:p>
        </w:tc>
        <w:tc>
          <w:tcPr>
            <w:tcW w:w="457"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402"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487"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206 385</w:t>
            </w:r>
          </w:p>
        </w:tc>
        <w:tc>
          <w:tcPr>
            <w:tcW w:w="519"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575"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558"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602 255</w:t>
            </w:r>
          </w:p>
        </w:tc>
      </w:tr>
      <w:tr w:rsidR="00CE4FC0" w:rsidRPr="00CE4FC0" w:rsidTr="00D60C0F">
        <w:tc>
          <w:tcPr>
            <w:tcW w:w="5000" w:type="pct"/>
            <w:gridSpan w:val="10"/>
            <w:shd w:val="clear" w:color="auto" w:fill="E6E6E6"/>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Opravné položky</w:t>
            </w:r>
          </w:p>
        </w:tc>
      </w:tr>
      <w:tr w:rsidR="00CE4FC0" w:rsidRPr="00CE4FC0" w:rsidTr="00D60C0F">
        <w:tc>
          <w:tcPr>
            <w:tcW w:w="487" w:type="pct"/>
          </w:tcPr>
          <w:p w:rsidR="00CE4FC0" w:rsidRPr="00CE4FC0" w:rsidRDefault="00CE4FC0" w:rsidP="00CE4FC0">
            <w:pPr>
              <w:rPr>
                <w:rFonts w:ascii="Calibri" w:eastAsia="Times New Roman" w:hAnsi="Calibri" w:cs="Times New Roman"/>
                <w:b/>
                <w:sz w:val="20"/>
                <w:szCs w:val="20"/>
              </w:rPr>
            </w:pPr>
            <w:r w:rsidRPr="00CE4FC0">
              <w:rPr>
                <w:rFonts w:ascii="Calibri" w:eastAsia="Times New Roman" w:hAnsi="Calibri" w:cs="Times New Roman"/>
                <w:b/>
                <w:sz w:val="20"/>
                <w:szCs w:val="20"/>
              </w:rPr>
              <w:t>Stav na začiatku účtovného obdobia</w:t>
            </w:r>
          </w:p>
        </w:tc>
        <w:tc>
          <w:tcPr>
            <w:tcW w:w="431"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508"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576"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457" w:type="pct"/>
          </w:tcPr>
          <w:p w:rsidR="00CE4FC0" w:rsidRPr="00CE4FC0" w:rsidRDefault="00CE4FC0" w:rsidP="00CE4FC0">
            <w:pPr>
              <w:jc w:val="right"/>
              <w:rPr>
                <w:rFonts w:ascii="Calibri" w:eastAsia="Times New Roman" w:hAnsi="Calibri" w:cs="Times New Roman"/>
                <w:b/>
                <w:sz w:val="20"/>
                <w:szCs w:val="20"/>
              </w:rPr>
            </w:pPr>
          </w:p>
        </w:tc>
        <w:tc>
          <w:tcPr>
            <w:tcW w:w="402" w:type="pct"/>
          </w:tcPr>
          <w:p w:rsidR="00CE4FC0" w:rsidRPr="00CE4FC0" w:rsidRDefault="00CE4FC0" w:rsidP="00CE4FC0">
            <w:pPr>
              <w:jc w:val="right"/>
              <w:rPr>
                <w:rFonts w:ascii="Calibri" w:eastAsia="Times New Roman" w:hAnsi="Calibri" w:cs="Times New Roman"/>
                <w:b/>
                <w:sz w:val="20"/>
                <w:szCs w:val="20"/>
              </w:rPr>
            </w:pPr>
          </w:p>
        </w:tc>
        <w:tc>
          <w:tcPr>
            <w:tcW w:w="487"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519"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575" w:type="pct"/>
          </w:tcPr>
          <w:p w:rsidR="00CE4FC0" w:rsidRPr="00CE4FC0" w:rsidRDefault="00CE4FC0" w:rsidP="00CE4FC0">
            <w:pPr>
              <w:jc w:val="right"/>
              <w:rPr>
                <w:rFonts w:ascii="Calibri" w:eastAsia="Times New Roman" w:hAnsi="Calibri" w:cs="Times New Roman"/>
                <w:b/>
                <w:sz w:val="20"/>
                <w:szCs w:val="20"/>
              </w:rPr>
            </w:pPr>
          </w:p>
        </w:tc>
        <w:tc>
          <w:tcPr>
            <w:tcW w:w="558"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r>
      <w:tr w:rsidR="00CE4FC0" w:rsidRPr="00CE4FC0" w:rsidTr="00D60C0F">
        <w:tc>
          <w:tcPr>
            <w:tcW w:w="487"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Prírastky</w:t>
            </w:r>
          </w:p>
        </w:tc>
        <w:tc>
          <w:tcPr>
            <w:tcW w:w="431" w:type="pct"/>
          </w:tcPr>
          <w:p w:rsidR="00CE4FC0" w:rsidRPr="00CE4FC0" w:rsidRDefault="00CE4FC0" w:rsidP="00CE4FC0">
            <w:pPr>
              <w:jc w:val="right"/>
              <w:rPr>
                <w:rFonts w:ascii="Calibri" w:eastAsia="Times New Roman" w:hAnsi="Calibri" w:cs="Times New Roman"/>
                <w:sz w:val="20"/>
                <w:szCs w:val="20"/>
              </w:rPr>
            </w:pPr>
          </w:p>
        </w:tc>
        <w:tc>
          <w:tcPr>
            <w:tcW w:w="508" w:type="pct"/>
          </w:tcPr>
          <w:p w:rsidR="00CE4FC0" w:rsidRPr="00CE4FC0" w:rsidRDefault="00CE4FC0" w:rsidP="00CE4FC0">
            <w:pPr>
              <w:jc w:val="right"/>
              <w:rPr>
                <w:rFonts w:ascii="Calibri" w:eastAsia="Times New Roman" w:hAnsi="Calibri" w:cs="Times New Roman"/>
                <w:sz w:val="20"/>
                <w:szCs w:val="20"/>
              </w:rPr>
            </w:pPr>
          </w:p>
        </w:tc>
        <w:tc>
          <w:tcPr>
            <w:tcW w:w="576" w:type="pct"/>
          </w:tcPr>
          <w:p w:rsidR="00CE4FC0" w:rsidRPr="00CE4FC0" w:rsidRDefault="00CE4FC0" w:rsidP="00CE4FC0">
            <w:pPr>
              <w:jc w:val="right"/>
              <w:rPr>
                <w:rFonts w:ascii="Calibri" w:eastAsia="Times New Roman" w:hAnsi="Calibri" w:cs="Times New Roman"/>
                <w:sz w:val="20"/>
                <w:szCs w:val="20"/>
              </w:rPr>
            </w:pPr>
          </w:p>
        </w:tc>
        <w:tc>
          <w:tcPr>
            <w:tcW w:w="457" w:type="pct"/>
          </w:tcPr>
          <w:p w:rsidR="00CE4FC0" w:rsidRPr="00CE4FC0" w:rsidRDefault="00CE4FC0" w:rsidP="00CE4FC0">
            <w:pPr>
              <w:jc w:val="right"/>
              <w:rPr>
                <w:rFonts w:ascii="Calibri" w:eastAsia="Times New Roman" w:hAnsi="Calibri" w:cs="Times New Roman"/>
                <w:sz w:val="20"/>
                <w:szCs w:val="20"/>
              </w:rPr>
            </w:pPr>
          </w:p>
        </w:tc>
        <w:tc>
          <w:tcPr>
            <w:tcW w:w="402" w:type="pct"/>
          </w:tcPr>
          <w:p w:rsidR="00CE4FC0" w:rsidRPr="00CE4FC0" w:rsidRDefault="00CE4FC0" w:rsidP="00CE4FC0">
            <w:pPr>
              <w:jc w:val="right"/>
              <w:rPr>
                <w:rFonts w:ascii="Calibri" w:eastAsia="Times New Roman" w:hAnsi="Calibri" w:cs="Times New Roman"/>
                <w:sz w:val="20"/>
                <w:szCs w:val="20"/>
              </w:rPr>
            </w:pPr>
          </w:p>
        </w:tc>
        <w:tc>
          <w:tcPr>
            <w:tcW w:w="487" w:type="pct"/>
          </w:tcPr>
          <w:p w:rsidR="00CE4FC0" w:rsidRPr="00CE4FC0" w:rsidRDefault="00CE4FC0" w:rsidP="00CE4FC0">
            <w:pPr>
              <w:jc w:val="right"/>
              <w:rPr>
                <w:rFonts w:ascii="Calibri" w:eastAsia="Times New Roman" w:hAnsi="Calibri" w:cs="Times New Roman"/>
                <w:sz w:val="20"/>
                <w:szCs w:val="20"/>
              </w:rPr>
            </w:pPr>
          </w:p>
        </w:tc>
        <w:tc>
          <w:tcPr>
            <w:tcW w:w="519" w:type="pct"/>
          </w:tcPr>
          <w:p w:rsidR="00CE4FC0" w:rsidRPr="00CE4FC0" w:rsidRDefault="00CE4FC0" w:rsidP="00CE4FC0">
            <w:pPr>
              <w:jc w:val="right"/>
              <w:rPr>
                <w:rFonts w:ascii="Calibri" w:eastAsia="Times New Roman" w:hAnsi="Calibri" w:cs="Times New Roman"/>
                <w:sz w:val="20"/>
                <w:szCs w:val="20"/>
              </w:rPr>
            </w:pPr>
          </w:p>
        </w:tc>
        <w:tc>
          <w:tcPr>
            <w:tcW w:w="575" w:type="pct"/>
          </w:tcPr>
          <w:p w:rsidR="00CE4FC0" w:rsidRPr="00CE4FC0" w:rsidRDefault="00CE4FC0" w:rsidP="00CE4FC0">
            <w:pPr>
              <w:jc w:val="right"/>
              <w:rPr>
                <w:rFonts w:ascii="Calibri" w:eastAsia="Times New Roman" w:hAnsi="Calibri" w:cs="Times New Roman"/>
                <w:sz w:val="20"/>
                <w:szCs w:val="20"/>
              </w:rPr>
            </w:pPr>
          </w:p>
        </w:tc>
        <w:tc>
          <w:tcPr>
            <w:tcW w:w="558"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487"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lastRenderedPageBreak/>
              <w:t>Úbytky</w:t>
            </w:r>
          </w:p>
        </w:tc>
        <w:tc>
          <w:tcPr>
            <w:tcW w:w="431" w:type="pct"/>
          </w:tcPr>
          <w:p w:rsidR="00CE4FC0" w:rsidRPr="00CE4FC0" w:rsidRDefault="00CE4FC0" w:rsidP="00CE4FC0">
            <w:pPr>
              <w:jc w:val="right"/>
              <w:rPr>
                <w:rFonts w:ascii="Calibri" w:eastAsia="Times New Roman" w:hAnsi="Calibri" w:cs="Times New Roman"/>
                <w:sz w:val="20"/>
                <w:szCs w:val="20"/>
              </w:rPr>
            </w:pPr>
          </w:p>
        </w:tc>
        <w:tc>
          <w:tcPr>
            <w:tcW w:w="508" w:type="pct"/>
          </w:tcPr>
          <w:p w:rsidR="00CE4FC0" w:rsidRPr="00CE4FC0" w:rsidRDefault="00CE4FC0" w:rsidP="00CE4FC0">
            <w:pPr>
              <w:jc w:val="right"/>
              <w:rPr>
                <w:rFonts w:ascii="Calibri" w:eastAsia="Times New Roman" w:hAnsi="Calibri" w:cs="Times New Roman"/>
                <w:sz w:val="20"/>
                <w:szCs w:val="20"/>
              </w:rPr>
            </w:pPr>
          </w:p>
        </w:tc>
        <w:tc>
          <w:tcPr>
            <w:tcW w:w="576" w:type="pct"/>
          </w:tcPr>
          <w:p w:rsidR="00CE4FC0" w:rsidRPr="00CE4FC0" w:rsidRDefault="00CE4FC0" w:rsidP="00CE4FC0">
            <w:pPr>
              <w:jc w:val="right"/>
              <w:rPr>
                <w:rFonts w:ascii="Calibri" w:eastAsia="Times New Roman" w:hAnsi="Calibri" w:cs="Times New Roman"/>
                <w:sz w:val="20"/>
                <w:szCs w:val="20"/>
              </w:rPr>
            </w:pPr>
          </w:p>
        </w:tc>
        <w:tc>
          <w:tcPr>
            <w:tcW w:w="457" w:type="pct"/>
          </w:tcPr>
          <w:p w:rsidR="00CE4FC0" w:rsidRPr="00CE4FC0" w:rsidRDefault="00CE4FC0" w:rsidP="00CE4FC0">
            <w:pPr>
              <w:jc w:val="right"/>
              <w:rPr>
                <w:rFonts w:ascii="Calibri" w:eastAsia="Times New Roman" w:hAnsi="Calibri" w:cs="Times New Roman"/>
                <w:sz w:val="20"/>
                <w:szCs w:val="20"/>
              </w:rPr>
            </w:pPr>
          </w:p>
        </w:tc>
        <w:tc>
          <w:tcPr>
            <w:tcW w:w="402" w:type="pct"/>
          </w:tcPr>
          <w:p w:rsidR="00CE4FC0" w:rsidRPr="00CE4FC0" w:rsidRDefault="00CE4FC0" w:rsidP="00CE4FC0">
            <w:pPr>
              <w:jc w:val="right"/>
              <w:rPr>
                <w:rFonts w:ascii="Calibri" w:eastAsia="Times New Roman" w:hAnsi="Calibri" w:cs="Times New Roman"/>
                <w:sz w:val="20"/>
                <w:szCs w:val="20"/>
              </w:rPr>
            </w:pPr>
          </w:p>
        </w:tc>
        <w:tc>
          <w:tcPr>
            <w:tcW w:w="487" w:type="pct"/>
          </w:tcPr>
          <w:p w:rsidR="00CE4FC0" w:rsidRPr="00CE4FC0" w:rsidRDefault="00CE4FC0" w:rsidP="00CE4FC0">
            <w:pPr>
              <w:jc w:val="right"/>
              <w:rPr>
                <w:rFonts w:ascii="Calibri" w:eastAsia="Times New Roman" w:hAnsi="Calibri" w:cs="Times New Roman"/>
                <w:sz w:val="20"/>
                <w:szCs w:val="20"/>
              </w:rPr>
            </w:pPr>
          </w:p>
        </w:tc>
        <w:tc>
          <w:tcPr>
            <w:tcW w:w="519" w:type="pct"/>
          </w:tcPr>
          <w:p w:rsidR="00CE4FC0" w:rsidRPr="00CE4FC0" w:rsidRDefault="00CE4FC0" w:rsidP="00CE4FC0">
            <w:pPr>
              <w:jc w:val="right"/>
              <w:rPr>
                <w:rFonts w:ascii="Calibri" w:eastAsia="Times New Roman" w:hAnsi="Calibri" w:cs="Times New Roman"/>
                <w:sz w:val="20"/>
                <w:szCs w:val="20"/>
              </w:rPr>
            </w:pPr>
          </w:p>
        </w:tc>
        <w:tc>
          <w:tcPr>
            <w:tcW w:w="575" w:type="pct"/>
          </w:tcPr>
          <w:p w:rsidR="00CE4FC0" w:rsidRPr="00CE4FC0" w:rsidRDefault="00CE4FC0" w:rsidP="00CE4FC0">
            <w:pPr>
              <w:jc w:val="right"/>
              <w:rPr>
                <w:rFonts w:ascii="Calibri" w:eastAsia="Times New Roman" w:hAnsi="Calibri" w:cs="Times New Roman"/>
                <w:sz w:val="20"/>
                <w:szCs w:val="20"/>
              </w:rPr>
            </w:pPr>
          </w:p>
        </w:tc>
        <w:tc>
          <w:tcPr>
            <w:tcW w:w="558"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487" w:type="pct"/>
          </w:tcPr>
          <w:p w:rsidR="00CE4FC0" w:rsidRPr="00CE4FC0" w:rsidRDefault="00CE4FC0" w:rsidP="00CE4FC0">
            <w:pPr>
              <w:rPr>
                <w:rFonts w:ascii="Calibri" w:eastAsia="Times New Roman" w:hAnsi="Calibri" w:cs="Times New Roman"/>
                <w:b/>
                <w:sz w:val="20"/>
                <w:szCs w:val="20"/>
              </w:rPr>
            </w:pPr>
            <w:r w:rsidRPr="00CE4FC0">
              <w:rPr>
                <w:rFonts w:ascii="Calibri" w:eastAsia="Times New Roman" w:hAnsi="Calibri" w:cs="Times New Roman"/>
                <w:b/>
                <w:sz w:val="20"/>
                <w:szCs w:val="20"/>
              </w:rPr>
              <w:t>Stav na konci účtovného obdobia</w:t>
            </w:r>
          </w:p>
        </w:tc>
        <w:tc>
          <w:tcPr>
            <w:tcW w:w="431"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508"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576"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457" w:type="pct"/>
          </w:tcPr>
          <w:p w:rsidR="00CE4FC0" w:rsidRPr="00CE4FC0" w:rsidRDefault="00CE4FC0" w:rsidP="00CE4FC0">
            <w:pPr>
              <w:jc w:val="right"/>
              <w:rPr>
                <w:rFonts w:ascii="Calibri" w:eastAsia="Times New Roman" w:hAnsi="Calibri" w:cs="Times New Roman"/>
                <w:b/>
                <w:sz w:val="20"/>
                <w:szCs w:val="20"/>
              </w:rPr>
            </w:pPr>
          </w:p>
        </w:tc>
        <w:tc>
          <w:tcPr>
            <w:tcW w:w="402" w:type="pct"/>
          </w:tcPr>
          <w:p w:rsidR="00CE4FC0" w:rsidRPr="00CE4FC0" w:rsidRDefault="00CE4FC0" w:rsidP="00CE4FC0">
            <w:pPr>
              <w:jc w:val="right"/>
              <w:rPr>
                <w:rFonts w:ascii="Calibri" w:eastAsia="Times New Roman" w:hAnsi="Calibri" w:cs="Times New Roman"/>
                <w:b/>
                <w:sz w:val="20"/>
                <w:szCs w:val="20"/>
              </w:rPr>
            </w:pPr>
          </w:p>
        </w:tc>
        <w:tc>
          <w:tcPr>
            <w:tcW w:w="487"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519"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575" w:type="pct"/>
          </w:tcPr>
          <w:p w:rsidR="00CE4FC0" w:rsidRPr="00CE4FC0" w:rsidRDefault="00CE4FC0" w:rsidP="00CE4FC0">
            <w:pPr>
              <w:jc w:val="right"/>
              <w:rPr>
                <w:rFonts w:ascii="Calibri" w:eastAsia="Times New Roman" w:hAnsi="Calibri" w:cs="Times New Roman"/>
                <w:b/>
                <w:sz w:val="20"/>
                <w:szCs w:val="20"/>
              </w:rPr>
            </w:pPr>
          </w:p>
        </w:tc>
        <w:tc>
          <w:tcPr>
            <w:tcW w:w="558"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r>
      <w:tr w:rsidR="00CE4FC0" w:rsidRPr="00CE4FC0" w:rsidTr="00D60C0F">
        <w:tc>
          <w:tcPr>
            <w:tcW w:w="5000" w:type="pct"/>
            <w:gridSpan w:val="10"/>
            <w:shd w:val="clear" w:color="auto" w:fill="E6E6E6"/>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Zostatková hodnota</w:t>
            </w:r>
          </w:p>
        </w:tc>
      </w:tr>
      <w:tr w:rsidR="00CE4FC0" w:rsidRPr="00CE4FC0" w:rsidTr="00D60C0F">
        <w:tc>
          <w:tcPr>
            <w:tcW w:w="487" w:type="pct"/>
          </w:tcPr>
          <w:p w:rsidR="00CE4FC0" w:rsidRPr="00CE4FC0" w:rsidRDefault="00CE4FC0" w:rsidP="00CE4FC0">
            <w:pPr>
              <w:rPr>
                <w:rFonts w:ascii="Calibri" w:eastAsia="Times New Roman" w:hAnsi="Calibri" w:cs="Times New Roman"/>
                <w:b/>
                <w:sz w:val="20"/>
                <w:szCs w:val="20"/>
              </w:rPr>
            </w:pPr>
            <w:r w:rsidRPr="00CE4FC0">
              <w:rPr>
                <w:rFonts w:ascii="Calibri" w:eastAsia="Times New Roman" w:hAnsi="Calibri" w:cs="Times New Roman"/>
                <w:b/>
                <w:sz w:val="20"/>
                <w:szCs w:val="20"/>
              </w:rPr>
              <w:t>Stav na začiatku účtovného obdobia</w:t>
            </w:r>
          </w:p>
        </w:tc>
        <w:tc>
          <w:tcPr>
            <w:tcW w:w="431"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11 174</w:t>
            </w:r>
          </w:p>
        </w:tc>
        <w:tc>
          <w:tcPr>
            <w:tcW w:w="508"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113 871</w:t>
            </w:r>
          </w:p>
        </w:tc>
        <w:tc>
          <w:tcPr>
            <w:tcW w:w="576"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597 221</w:t>
            </w:r>
          </w:p>
        </w:tc>
        <w:tc>
          <w:tcPr>
            <w:tcW w:w="457"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402"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487"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519"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575"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558"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722 266</w:t>
            </w:r>
          </w:p>
        </w:tc>
      </w:tr>
      <w:tr w:rsidR="00CE4FC0" w:rsidRPr="00CE4FC0" w:rsidTr="00D60C0F">
        <w:tc>
          <w:tcPr>
            <w:tcW w:w="487" w:type="pct"/>
          </w:tcPr>
          <w:p w:rsidR="00CE4FC0" w:rsidRPr="00CE4FC0" w:rsidRDefault="00CE4FC0" w:rsidP="00CE4FC0">
            <w:pPr>
              <w:rPr>
                <w:rFonts w:ascii="Calibri" w:eastAsia="Times New Roman" w:hAnsi="Calibri" w:cs="Times New Roman"/>
                <w:b/>
                <w:sz w:val="20"/>
                <w:szCs w:val="20"/>
              </w:rPr>
            </w:pPr>
            <w:r w:rsidRPr="00CE4FC0">
              <w:rPr>
                <w:rFonts w:ascii="Calibri" w:eastAsia="Times New Roman" w:hAnsi="Calibri" w:cs="Times New Roman"/>
                <w:b/>
                <w:sz w:val="20"/>
                <w:szCs w:val="20"/>
              </w:rPr>
              <w:t>Stav na konci účtovného obdobia</w:t>
            </w:r>
          </w:p>
        </w:tc>
        <w:tc>
          <w:tcPr>
            <w:tcW w:w="431"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11 174</w:t>
            </w:r>
          </w:p>
        </w:tc>
        <w:tc>
          <w:tcPr>
            <w:tcW w:w="508"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110 799</w:t>
            </w:r>
          </w:p>
        </w:tc>
        <w:tc>
          <w:tcPr>
            <w:tcW w:w="576"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565 053</w:t>
            </w:r>
          </w:p>
        </w:tc>
        <w:tc>
          <w:tcPr>
            <w:tcW w:w="457"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402"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487"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519"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460 496</w:t>
            </w:r>
          </w:p>
        </w:tc>
        <w:tc>
          <w:tcPr>
            <w:tcW w:w="575"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14 884</w:t>
            </w:r>
          </w:p>
        </w:tc>
        <w:tc>
          <w:tcPr>
            <w:tcW w:w="558"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1 162 406</w:t>
            </w:r>
          </w:p>
        </w:tc>
      </w:tr>
    </w:tbl>
    <w:p w:rsidR="00CE4FC0" w:rsidRPr="00CE4FC0" w:rsidRDefault="00CE4FC0" w:rsidP="00CE4FC0">
      <w:pPr>
        <w:spacing w:after="200" w:line="276" w:lineRule="auto"/>
        <w:rPr>
          <w:rFonts w:ascii="Calibri" w:eastAsia="Times New Roman" w:hAnsi="Calibri" w:cs="Times New Roman"/>
          <w:sz w:val="20"/>
          <w:szCs w:val="20"/>
        </w:rPr>
      </w:pPr>
    </w:p>
    <w:p w:rsidR="00CE4FC0" w:rsidRPr="00CE4FC0" w:rsidRDefault="00CE4FC0" w:rsidP="00CE4FC0">
      <w:pPr>
        <w:autoSpaceDE w:val="0"/>
        <w:autoSpaceDN w:val="0"/>
        <w:adjustRightInd w:val="0"/>
        <w:rPr>
          <w:rFonts w:ascii="Microsoft Sans Serif" w:eastAsia="Times New Roman" w:hAnsi="Microsoft Sans Serif" w:cs="Microsoft Sans Serif"/>
          <w:sz w:val="17"/>
          <w:szCs w:val="17"/>
          <w:lang w:eastAsia="sk-SK"/>
        </w:rPr>
      </w:pPr>
      <w:r w:rsidRPr="00CE4FC0">
        <w:rPr>
          <w:rFonts w:ascii="Microsoft Sans Serif" w:eastAsia="Times New Roman" w:hAnsi="Microsoft Sans Serif" w:cs="Microsoft Sans Serif"/>
          <w:sz w:val="17"/>
          <w:szCs w:val="17"/>
          <w:lang w:eastAsia="sk-SK"/>
        </w:rPr>
        <w:t>Na žiaden dlhodobý hmotný majetok, ktorý má spoločnosť v majetku nebolo zriadené záložné právo, ani nebolo uložené obmedzenie s ním nakladať.</w:t>
      </w:r>
    </w:p>
    <w:p w:rsidR="00CE4FC0" w:rsidRPr="00CE4FC0" w:rsidRDefault="00CE4FC0" w:rsidP="00CE4FC0">
      <w:pPr>
        <w:spacing w:after="200" w:line="276" w:lineRule="auto"/>
        <w:rPr>
          <w:rFonts w:ascii="Calibri" w:eastAsia="Times New Roman" w:hAnsi="Calibri" w:cs="Times New Roman"/>
          <w:sz w:val="20"/>
          <w:szCs w:val="20"/>
        </w:rPr>
      </w:pPr>
    </w:p>
    <w:tbl>
      <w:tblPr>
        <w:tblW w:w="527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102"/>
        <w:gridCol w:w="949"/>
        <w:gridCol w:w="1016"/>
        <w:gridCol w:w="1182"/>
        <w:gridCol w:w="934"/>
        <w:gridCol w:w="948"/>
        <w:gridCol w:w="870"/>
        <w:gridCol w:w="1242"/>
        <w:gridCol w:w="1129"/>
        <w:gridCol w:w="1016"/>
      </w:tblGrid>
      <w:tr w:rsidR="00CE4FC0" w:rsidRPr="00CE4FC0" w:rsidTr="00D60C0F">
        <w:tc>
          <w:tcPr>
            <w:tcW w:w="5000" w:type="pct"/>
            <w:gridSpan w:val="10"/>
            <w:shd w:val="clear" w:color="auto" w:fill="C0C0C0"/>
          </w:tcPr>
          <w:p w:rsidR="00CE4FC0" w:rsidRPr="00CE4FC0" w:rsidRDefault="00CE4FC0" w:rsidP="00CE4FC0">
            <w:pPr>
              <w:jc w:val="center"/>
              <w:rPr>
                <w:rFonts w:ascii="Calibri" w:eastAsia="Times New Roman" w:hAnsi="Calibri" w:cs="Times New Roman"/>
                <w:b/>
                <w:sz w:val="20"/>
                <w:szCs w:val="20"/>
              </w:rPr>
            </w:pPr>
            <w:r w:rsidRPr="00CE4FC0">
              <w:rPr>
                <w:rFonts w:ascii="Calibri" w:eastAsia="Times New Roman" w:hAnsi="Calibri" w:cs="Times New Roman"/>
                <w:b/>
                <w:sz w:val="20"/>
                <w:szCs w:val="20"/>
              </w:rPr>
              <w:t>III. 1 a1-3d) Dlhodobý majetok hmotný - bezprostredne predchádzajúce účtovné obdobie</w:t>
            </w:r>
          </w:p>
        </w:tc>
      </w:tr>
      <w:tr w:rsidR="00CE4FC0" w:rsidRPr="00CE4FC0" w:rsidTr="00D60C0F">
        <w:tc>
          <w:tcPr>
            <w:tcW w:w="393"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Položka</w:t>
            </w:r>
          </w:p>
        </w:tc>
        <w:tc>
          <w:tcPr>
            <w:tcW w:w="594"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Pozemky</w:t>
            </w:r>
          </w:p>
        </w:tc>
        <w:tc>
          <w:tcPr>
            <w:tcW w:w="489"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Stavby</w:t>
            </w:r>
          </w:p>
        </w:tc>
        <w:tc>
          <w:tcPr>
            <w:tcW w:w="569"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Samostatné hnuteľné veci a súbory hnuteľných vecí</w:t>
            </w:r>
          </w:p>
        </w:tc>
        <w:tc>
          <w:tcPr>
            <w:tcW w:w="450"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Pesto-vateľské celky trvalých porastov</w:t>
            </w:r>
          </w:p>
        </w:tc>
        <w:tc>
          <w:tcPr>
            <w:tcW w:w="456"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Základné stádo a ťažné zvieratá</w:t>
            </w:r>
          </w:p>
        </w:tc>
        <w:tc>
          <w:tcPr>
            <w:tcW w:w="419"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Ostatný DHM</w:t>
            </w:r>
          </w:p>
        </w:tc>
        <w:tc>
          <w:tcPr>
            <w:tcW w:w="598"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Obstarávaný DHM</w:t>
            </w:r>
          </w:p>
        </w:tc>
        <w:tc>
          <w:tcPr>
            <w:tcW w:w="543"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Poskytnuté preddavky na DHM</w:t>
            </w:r>
          </w:p>
        </w:tc>
        <w:tc>
          <w:tcPr>
            <w:tcW w:w="489"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Spolu</w:t>
            </w:r>
          </w:p>
        </w:tc>
      </w:tr>
      <w:tr w:rsidR="00CE4FC0" w:rsidRPr="00CE4FC0" w:rsidTr="00D60C0F">
        <w:tc>
          <w:tcPr>
            <w:tcW w:w="5000" w:type="pct"/>
            <w:gridSpan w:val="10"/>
            <w:shd w:val="clear" w:color="auto" w:fill="E6E6E6"/>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Prvotné ocenenie</w:t>
            </w:r>
          </w:p>
        </w:tc>
      </w:tr>
      <w:tr w:rsidR="00CE4FC0" w:rsidRPr="00CE4FC0" w:rsidTr="00D60C0F">
        <w:tc>
          <w:tcPr>
            <w:tcW w:w="393" w:type="pct"/>
          </w:tcPr>
          <w:p w:rsidR="00CE4FC0" w:rsidRPr="00CE4FC0" w:rsidRDefault="00CE4FC0" w:rsidP="00CE4FC0">
            <w:pPr>
              <w:rPr>
                <w:rFonts w:ascii="Calibri" w:eastAsia="Times New Roman" w:hAnsi="Calibri" w:cs="Times New Roman"/>
                <w:b/>
                <w:sz w:val="20"/>
                <w:szCs w:val="20"/>
              </w:rPr>
            </w:pPr>
            <w:r w:rsidRPr="00CE4FC0">
              <w:rPr>
                <w:rFonts w:ascii="Calibri" w:eastAsia="Times New Roman" w:hAnsi="Calibri" w:cs="Times New Roman"/>
                <w:b/>
                <w:sz w:val="20"/>
                <w:szCs w:val="20"/>
              </w:rPr>
              <w:t>Stav na začiatku účtovného obdobia</w:t>
            </w:r>
          </w:p>
        </w:tc>
        <w:tc>
          <w:tcPr>
            <w:tcW w:w="594"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521 033</w:t>
            </w:r>
          </w:p>
        </w:tc>
        <w:tc>
          <w:tcPr>
            <w:tcW w:w="489"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6 608 329</w:t>
            </w:r>
          </w:p>
        </w:tc>
        <w:tc>
          <w:tcPr>
            <w:tcW w:w="569"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1 153 331</w:t>
            </w:r>
          </w:p>
        </w:tc>
        <w:tc>
          <w:tcPr>
            <w:tcW w:w="450"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456"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419"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392 294</w:t>
            </w:r>
          </w:p>
        </w:tc>
        <w:tc>
          <w:tcPr>
            <w:tcW w:w="598"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77 779</w:t>
            </w:r>
          </w:p>
        </w:tc>
        <w:tc>
          <w:tcPr>
            <w:tcW w:w="543"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489"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8 752 766</w:t>
            </w:r>
          </w:p>
        </w:tc>
      </w:tr>
      <w:tr w:rsidR="00CE4FC0" w:rsidRPr="00CE4FC0" w:rsidTr="00D60C0F">
        <w:tc>
          <w:tcPr>
            <w:tcW w:w="39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Prírastky</w:t>
            </w:r>
          </w:p>
        </w:tc>
        <w:tc>
          <w:tcPr>
            <w:tcW w:w="594" w:type="pct"/>
          </w:tcPr>
          <w:p w:rsidR="00CE4FC0" w:rsidRPr="00CE4FC0" w:rsidRDefault="00CE4FC0" w:rsidP="00CE4FC0">
            <w:pPr>
              <w:jc w:val="right"/>
              <w:rPr>
                <w:rFonts w:ascii="Calibri" w:eastAsia="Times New Roman" w:hAnsi="Calibri" w:cs="Times New Roman"/>
                <w:sz w:val="20"/>
                <w:szCs w:val="20"/>
              </w:rPr>
            </w:pPr>
          </w:p>
        </w:tc>
        <w:tc>
          <w:tcPr>
            <w:tcW w:w="489" w:type="pct"/>
          </w:tcPr>
          <w:p w:rsidR="00CE4FC0" w:rsidRPr="00CE4FC0" w:rsidRDefault="00CE4FC0" w:rsidP="00CE4FC0">
            <w:pPr>
              <w:jc w:val="right"/>
              <w:rPr>
                <w:rFonts w:ascii="Calibri" w:eastAsia="Times New Roman" w:hAnsi="Calibri" w:cs="Times New Roman"/>
                <w:sz w:val="20"/>
                <w:szCs w:val="20"/>
              </w:rPr>
            </w:pPr>
          </w:p>
        </w:tc>
        <w:tc>
          <w:tcPr>
            <w:tcW w:w="569"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263 224</w:t>
            </w:r>
          </w:p>
        </w:tc>
        <w:tc>
          <w:tcPr>
            <w:tcW w:w="450" w:type="pct"/>
          </w:tcPr>
          <w:p w:rsidR="00CE4FC0" w:rsidRPr="00CE4FC0" w:rsidRDefault="00CE4FC0" w:rsidP="00CE4FC0">
            <w:pPr>
              <w:jc w:val="right"/>
              <w:rPr>
                <w:rFonts w:ascii="Calibri" w:eastAsia="Times New Roman" w:hAnsi="Calibri" w:cs="Times New Roman"/>
                <w:sz w:val="20"/>
                <w:szCs w:val="20"/>
              </w:rPr>
            </w:pPr>
          </w:p>
        </w:tc>
        <w:tc>
          <w:tcPr>
            <w:tcW w:w="456" w:type="pct"/>
          </w:tcPr>
          <w:p w:rsidR="00CE4FC0" w:rsidRPr="00CE4FC0" w:rsidRDefault="00CE4FC0" w:rsidP="00CE4FC0">
            <w:pPr>
              <w:jc w:val="right"/>
              <w:rPr>
                <w:rFonts w:ascii="Calibri" w:eastAsia="Times New Roman" w:hAnsi="Calibri" w:cs="Times New Roman"/>
                <w:sz w:val="20"/>
                <w:szCs w:val="20"/>
              </w:rPr>
            </w:pPr>
          </w:p>
        </w:tc>
        <w:tc>
          <w:tcPr>
            <w:tcW w:w="419" w:type="pct"/>
          </w:tcPr>
          <w:p w:rsidR="00CE4FC0" w:rsidRPr="00CE4FC0" w:rsidRDefault="00CE4FC0" w:rsidP="00CE4FC0">
            <w:pPr>
              <w:jc w:val="right"/>
              <w:rPr>
                <w:rFonts w:ascii="Calibri" w:eastAsia="Times New Roman" w:hAnsi="Calibri" w:cs="Times New Roman"/>
                <w:sz w:val="20"/>
                <w:szCs w:val="20"/>
              </w:rPr>
            </w:pPr>
          </w:p>
        </w:tc>
        <w:tc>
          <w:tcPr>
            <w:tcW w:w="598"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216 461</w:t>
            </w:r>
          </w:p>
        </w:tc>
        <w:tc>
          <w:tcPr>
            <w:tcW w:w="543" w:type="pct"/>
          </w:tcPr>
          <w:p w:rsidR="00CE4FC0" w:rsidRPr="00CE4FC0" w:rsidRDefault="00CE4FC0" w:rsidP="00CE4FC0">
            <w:pPr>
              <w:jc w:val="right"/>
              <w:rPr>
                <w:rFonts w:ascii="Calibri" w:eastAsia="Times New Roman" w:hAnsi="Calibri" w:cs="Times New Roman"/>
                <w:sz w:val="20"/>
                <w:szCs w:val="20"/>
              </w:rPr>
            </w:pPr>
          </w:p>
        </w:tc>
        <w:tc>
          <w:tcPr>
            <w:tcW w:w="489"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479 685</w:t>
            </w:r>
          </w:p>
        </w:tc>
      </w:tr>
      <w:tr w:rsidR="00CE4FC0" w:rsidRPr="00CE4FC0" w:rsidTr="00D60C0F">
        <w:tc>
          <w:tcPr>
            <w:tcW w:w="39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Úbytky</w:t>
            </w:r>
          </w:p>
        </w:tc>
        <w:tc>
          <w:tcPr>
            <w:tcW w:w="594"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509 859</w:t>
            </w:r>
          </w:p>
        </w:tc>
        <w:tc>
          <w:tcPr>
            <w:tcW w:w="489"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6 482 607</w:t>
            </w:r>
          </w:p>
        </w:tc>
        <w:tc>
          <w:tcPr>
            <w:tcW w:w="569"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202 129</w:t>
            </w:r>
          </w:p>
        </w:tc>
        <w:tc>
          <w:tcPr>
            <w:tcW w:w="450" w:type="pct"/>
          </w:tcPr>
          <w:p w:rsidR="00CE4FC0" w:rsidRPr="00CE4FC0" w:rsidRDefault="00CE4FC0" w:rsidP="00CE4FC0">
            <w:pPr>
              <w:jc w:val="right"/>
              <w:rPr>
                <w:rFonts w:ascii="Calibri" w:eastAsia="Times New Roman" w:hAnsi="Calibri" w:cs="Times New Roman"/>
                <w:sz w:val="20"/>
                <w:szCs w:val="20"/>
              </w:rPr>
            </w:pPr>
          </w:p>
        </w:tc>
        <w:tc>
          <w:tcPr>
            <w:tcW w:w="456" w:type="pct"/>
          </w:tcPr>
          <w:p w:rsidR="00CE4FC0" w:rsidRPr="00CE4FC0" w:rsidRDefault="00CE4FC0" w:rsidP="00CE4FC0">
            <w:pPr>
              <w:jc w:val="right"/>
              <w:rPr>
                <w:rFonts w:ascii="Calibri" w:eastAsia="Times New Roman" w:hAnsi="Calibri" w:cs="Times New Roman"/>
                <w:sz w:val="20"/>
                <w:szCs w:val="20"/>
              </w:rPr>
            </w:pPr>
          </w:p>
        </w:tc>
        <w:tc>
          <w:tcPr>
            <w:tcW w:w="419"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176 440</w:t>
            </w:r>
          </w:p>
        </w:tc>
        <w:tc>
          <w:tcPr>
            <w:tcW w:w="598"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294 240</w:t>
            </w:r>
          </w:p>
        </w:tc>
        <w:tc>
          <w:tcPr>
            <w:tcW w:w="543" w:type="pct"/>
          </w:tcPr>
          <w:p w:rsidR="00CE4FC0" w:rsidRPr="00CE4FC0" w:rsidRDefault="00CE4FC0" w:rsidP="00CE4FC0">
            <w:pPr>
              <w:jc w:val="right"/>
              <w:rPr>
                <w:rFonts w:ascii="Calibri" w:eastAsia="Times New Roman" w:hAnsi="Calibri" w:cs="Times New Roman"/>
                <w:sz w:val="20"/>
                <w:szCs w:val="20"/>
              </w:rPr>
            </w:pPr>
          </w:p>
        </w:tc>
        <w:tc>
          <w:tcPr>
            <w:tcW w:w="489"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7 665 275</w:t>
            </w:r>
          </w:p>
        </w:tc>
      </w:tr>
      <w:tr w:rsidR="00CE4FC0" w:rsidRPr="00CE4FC0" w:rsidTr="00D60C0F">
        <w:tc>
          <w:tcPr>
            <w:tcW w:w="39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Presuny</w:t>
            </w:r>
          </w:p>
        </w:tc>
        <w:tc>
          <w:tcPr>
            <w:tcW w:w="594" w:type="pct"/>
          </w:tcPr>
          <w:p w:rsidR="00CE4FC0" w:rsidRPr="00CE4FC0" w:rsidRDefault="00CE4FC0" w:rsidP="00CE4FC0">
            <w:pPr>
              <w:jc w:val="right"/>
              <w:rPr>
                <w:rFonts w:ascii="Calibri" w:eastAsia="Times New Roman" w:hAnsi="Calibri" w:cs="Times New Roman"/>
                <w:sz w:val="20"/>
                <w:szCs w:val="20"/>
              </w:rPr>
            </w:pPr>
          </w:p>
        </w:tc>
        <w:tc>
          <w:tcPr>
            <w:tcW w:w="489" w:type="pct"/>
          </w:tcPr>
          <w:p w:rsidR="00CE4FC0" w:rsidRPr="00CE4FC0" w:rsidRDefault="00CE4FC0" w:rsidP="00CE4FC0">
            <w:pPr>
              <w:jc w:val="right"/>
              <w:rPr>
                <w:rFonts w:ascii="Calibri" w:eastAsia="Times New Roman" w:hAnsi="Calibri" w:cs="Times New Roman"/>
                <w:sz w:val="20"/>
                <w:szCs w:val="20"/>
              </w:rPr>
            </w:pPr>
          </w:p>
        </w:tc>
        <w:tc>
          <w:tcPr>
            <w:tcW w:w="569" w:type="pct"/>
          </w:tcPr>
          <w:p w:rsidR="00CE4FC0" w:rsidRPr="00CE4FC0" w:rsidRDefault="00CE4FC0" w:rsidP="00CE4FC0">
            <w:pPr>
              <w:jc w:val="right"/>
              <w:rPr>
                <w:rFonts w:ascii="Calibri" w:eastAsia="Times New Roman" w:hAnsi="Calibri" w:cs="Times New Roman"/>
                <w:sz w:val="20"/>
                <w:szCs w:val="20"/>
              </w:rPr>
            </w:pPr>
          </w:p>
        </w:tc>
        <w:tc>
          <w:tcPr>
            <w:tcW w:w="450" w:type="pct"/>
          </w:tcPr>
          <w:p w:rsidR="00CE4FC0" w:rsidRPr="00CE4FC0" w:rsidRDefault="00CE4FC0" w:rsidP="00CE4FC0">
            <w:pPr>
              <w:jc w:val="right"/>
              <w:rPr>
                <w:rFonts w:ascii="Calibri" w:eastAsia="Times New Roman" w:hAnsi="Calibri" w:cs="Times New Roman"/>
                <w:sz w:val="20"/>
                <w:szCs w:val="20"/>
              </w:rPr>
            </w:pPr>
          </w:p>
        </w:tc>
        <w:tc>
          <w:tcPr>
            <w:tcW w:w="456" w:type="pct"/>
          </w:tcPr>
          <w:p w:rsidR="00CE4FC0" w:rsidRPr="00CE4FC0" w:rsidRDefault="00CE4FC0" w:rsidP="00CE4FC0">
            <w:pPr>
              <w:jc w:val="right"/>
              <w:rPr>
                <w:rFonts w:ascii="Calibri" w:eastAsia="Times New Roman" w:hAnsi="Calibri" w:cs="Times New Roman"/>
                <w:sz w:val="20"/>
                <w:szCs w:val="20"/>
              </w:rPr>
            </w:pPr>
          </w:p>
        </w:tc>
        <w:tc>
          <w:tcPr>
            <w:tcW w:w="419" w:type="pct"/>
          </w:tcPr>
          <w:p w:rsidR="00CE4FC0" w:rsidRPr="00CE4FC0" w:rsidRDefault="00CE4FC0" w:rsidP="00CE4FC0">
            <w:pPr>
              <w:jc w:val="right"/>
              <w:rPr>
                <w:rFonts w:ascii="Calibri" w:eastAsia="Times New Roman" w:hAnsi="Calibri" w:cs="Times New Roman"/>
                <w:sz w:val="20"/>
                <w:szCs w:val="20"/>
              </w:rPr>
            </w:pPr>
          </w:p>
        </w:tc>
        <w:tc>
          <w:tcPr>
            <w:tcW w:w="598" w:type="pct"/>
          </w:tcPr>
          <w:p w:rsidR="00CE4FC0" w:rsidRPr="00CE4FC0" w:rsidRDefault="00CE4FC0" w:rsidP="00CE4FC0">
            <w:pPr>
              <w:jc w:val="right"/>
              <w:rPr>
                <w:rFonts w:ascii="Calibri" w:eastAsia="Times New Roman" w:hAnsi="Calibri" w:cs="Times New Roman"/>
                <w:sz w:val="20"/>
                <w:szCs w:val="20"/>
              </w:rPr>
            </w:pPr>
          </w:p>
        </w:tc>
        <w:tc>
          <w:tcPr>
            <w:tcW w:w="543" w:type="pct"/>
          </w:tcPr>
          <w:p w:rsidR="00CE4FC0" w:rsidRPr="00CE4FC0" w:rsidRDefault="00CE4FC0" w:rsidP="00CE4FC0">
            <w:pPr>
              <w:jc w:val="right"/>
              <w:rPr>
                <w:rFonts w:ascii="Calibri" w:eastAsia="Times New Roman" w:hAnsi="Calibri" w:cs="Times New Roman"/>
                <w:sz w:val="20"/>
                <w:szCs w:val="20"/>
              </w:rPr>
            </w:pPr>
          </w:p>
        </w:tc>
        <w:tc>
          <w:tcPr>
            <w:tcW w:w="489"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393" w:type="pct"/>
          </w:tcPr>
          <w:p w:rsidR="00CE4FC0" w:rsidRPr="00CE4FC0" w:rsidRDefault="00CE4FC0" w:rsidP="00CE4FC0">
            <w:pPr>
              <w:rPr>
                <w:rFonts w:ascii="Calibri" w:eastAsia="Times New Roman" w:hAnsi="Calibri" w:cs="Times New Roman"/>
                <w:b/>
                <w:sz w:val="20"/>
                <w:szCs w:val="20"/>
              </w:rPr>
            </w:pPr>
            <w:r w:rsidRPr="00CE4FC0">
              <w:rPr>
                <w:rFonts w:ascii="Calibri" w:eastAsia="Times New Roman" w:hAnsi="Calibri" w:cs="Times New Roman"/>
                <w:b/>
                <w:sz w:val="20"/>
                <w:szCs w:val="20"/>
              </w:rPr>
              <w:t>Stav na konci účtovného obdobia</w:t>
            </w:r>
          </w:p>
        </w:tc>
        <w:tc>
          <w:tcPr>
            <w:tcW w:w="594"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11 174</w:t>
            </w:r>
          </w:p>
        </w:tc>
        <w:tc>
          <w:tcPr>
            <w:tcW w:w="489"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125 722</w:t>
            </w:r>
          </w:p>
        </w:tc>
        <w:tc>
          <w:tcPr>
            <w:tcW w:w="569"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1 214 426</w:t>
            </w:r>
          </w:p>
        </w:tc>
        <w:tc>
          <w:tcPr>
            <w:tcW w:w="450"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456"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419"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215 854</w:t>
            </w:r>
          </w:p>
        </w:tc>
        <w:tc>
          <w:tcPr>
            <w:tcW w:w="598"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543"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489"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1 567 176</w:t>
            </w:r>
          </w:p>
        </w:tc>
      </w:tr>
      <w:tr w:rsidR="00CE4FC0" w:rsidRPr="00CE4FC0" w:rsidTr="00D60C0F">
        <w:tc>
          <w:tcPr>
            <w:tcW w:w="5000" w:type="pct"/>
            <w:gridSpan w:val="10"/>
            <w:shd w:val="clear" w:color="auto" w:fill="E6E6E6"/>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Oprávky</w:t>
            </w:r>
          </w:p>
        </w:tc>
      </w:tr>
      <w:tr w:rsidR="00CE4FC0" w:rsidRPr="00CE4FC0" w:rsidTr="00D60C0F">
        <w:tc>
          <w:tcPr>
            <w:tcW w:w="393" w:type="pct"/>
          </w:tcPr>
          <w:p w:rsidR="00CE4FC0" w:rsidRPr="00CE4FC0" w:rsidRDefault="00CE4FC0" w:rsidP="00CE4FC0">
            <w:pPr>
              <w:rPr>
                <w:rFonts w:ascii="Calibri" w:eastAsia="Times New Roman" w:hAnsi="Calibri" w:cs="Times New Roman"/>
                <w:b/>
                <w:sz w:val="20"/>
                <w:szCs w:val="20"/>
              </w:rPr>
            </w:pPr>
            <w:r w:rsidRPr="00CE4FC0">
              <w:rPr>
                <w:rFonts w:ascii="Calibri" w:eastAsia="Times New Roman" w:hAnsi="Calibri" w:cs="Times New Roman"/>
                <w:b/>
                <w:sz w:val="20"/>
                <w:szCs w:val="20"/>
              </w:rPr>
              <w:t>Stav na začiatku účtovného obdobia</w:t>
            </w:r>
          </w:p>
        </w:tc>
        <w:tc>
          <w:tcPr>
            <w:tcW w:w="594"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489"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3 020 305</w:t>
            </w:r>
          </w:p>
        </w:tc>
        <w:tc>
          <w:tcPr>
            <w:tcW w:w="569"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559 477</w:t>
            </w:r>
          </w:p>
        </w:tc>
        <w:tc>
          <w:tcPr>
            <w:tcW w:w="450"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456"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419"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389 592</w:t>
            </w:r>
          </w:p>
        </w:tc>
        <w:tc>
          <w:tcPr>
            <w:tcW w:w="598"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543"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489"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3 969 374</w:t>
            </w:r>
          </w:p>
        </w:tc>
      </w:tr>
      <w:tr w:rsidR="00CE4FC0" w:rsidRPr="00CE4FC0" w:rsidTr="00D60C0F">
        <w:tc>
          <w:tcPr>
            <w:tcW w:w="39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Prírastky</w:t>
            </w:r>
          </w:p>
        </w:tc>
        <w:tc>
          <w:tcPr>
            <w:tcW w:w="594" w:type="pct"/>
          </w:tcPr>
          <w:p w:rsidR="00CE4FC0" w:rsidRPr="00CE4FC0" w:rsidRDefault="00CE4FC0" w:rsidP="00CE4FC0">
            <w:pPr>
              <w:jc w:val="right"/>
              <w:rPr>
                <w:rFonts w:ascii="Calibri" w:eastAsia="Times New Roman" w:hAnsi="Calibri" w:cs="Times New Roman"/>
                <w:sz w:val="20"/>
                <w:szCs w:val="20"/>
              </w:rPr>
            </w:pPr>
          </w:p>
        </w:tc>
        <w:tc>
          <w:tcPr>
            <w:tcW w:w="489"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3 474 153</w:t>
            </w:r>
          </w:p>
        </w:tc>
        <w:tc>
          <w:tcPr>
            <w:tcW w:w="569"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259 857</w:t>
            </w:r>
          </w:p>
        </w:tc>
        <w:tc>
          <w:tcPr>
            <w:tcW w:w="450" w:type="pct"/>
          </w:tcPr>
          <w:p w:rsidR="00CE4FC0" w:rsidRPr="00CE4FC0" w:rsidRDefault="00CE4FC0" w:rsidP="00CE4FC0">
            <w:pPr>
              <w:jc w:val="right"/>
              <w:rPr>
                <w:rFonts w:ascii="Calibri" w:eastAsia="Times New Roman" w:hAnsi="Calibri" w:cs="Times New Roman"/>
                <w:sz w:val="20"/>
                <w:szCs w:val="20"/>
              </w:rPr>
            </w:pPr>
          </w:p>
        </w:tc>
        <w:tc>
          <w:tcPr>
            <w:tcW w:w="456" w:type="pct"/>
          </w:tcPr>
          <w:p w:rsidR="00CE4FC0" w:rsidRPr="00CE4FC0" w:rsidRDefault="00CE4FC0" w:rsidP="00CE4FC0">
            <w:pPr>
              <w:jc w:val="right"/>
              <w:rPr>
                <w:rFonts w:ascii="Calibri" w:eastAsia="Times New Roman" w:hAnsi="Calibri" w:cs="Times New Roman"/>
                <w:sz w:val="20"/>
                <w:szCs w:val="20"/>
              </w:rPr>
            </w:pPr>
          </w:p>
        </w:tc>
        <w:tc>
          <w:tcPr>
            <w:tcW w:w="419"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2 702</w:t>
            </w:r>
          </w:p>
        </w:tc>
        <w:tc>
          <w:tcPr>
            <w:tcW w:w="598" w:type="pct"/>
          </w:tcPr>
          <w:p w:rsidR="00CE4FC0" w:rsidRPr="00CE4FC0" w:rsidRDefault="00CE4FC0" w:rsidP="00CE4FC0">
            <w:pPr>
              <w:jc w:val="right"/>
              <w:rPr>
                <w:rFonts w:ascii="Calibri" w:eastAsia="Times New Roman" w:hAnsi="Calibri" w:cs="Times New Roman"/>
                <w:sz w:val="20"/>
                <w:szCs w:val="20"/>
              </w:rPr>
            </w:pPr>
          </w:p>
        </w:tc>
        <w:tc>
          <w:tcPr>
            <w:tcW w:w="543" w:type="pct"/>
          </w:tcPr>
          <w:p w:rsidR="00CE4FC0" w:rsidRPr="00CE4FC0" w:rsidRDefault="00CE4FC0" w:rsidP="00CE4FC0">
            <w:pPr>
              <w:jc w:val="right"/>
              <w:rPr>
                <w:rFonts w:ascii="Calibri" w:eastAsia="Times New Roman" w:hAnsi="Calibri" w:cs="Times New Roman"/>
                <w:sz w:val="20"/>
                <w:szCs w:val="20"/>
              </w:rPr>
            </w:pPr>
          </w:p>
        </w:tc>
        <w:tc>
          <w:tcPr>
            <w:tcW w:w="489"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3 736 712</w:t>
            </w:r>
          </w:p>
        </w:tc>
      </w:tr>
      <w:tr w:rsidR="00CE4FC0" w:rsidRPr="00CE4FC0" w:rsidTr="00D60C0F">
        <w:tc>
          <w:tcPr>
            <w:tcW w:w="39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Úbytky</w:t>
            </w:r>
          </w:p>
        </w:tc>
        <w:tc>
          <w:tcPr>
            <w:tcW w:w="594" w:type="pct"/>
          </w:tcPr>
          <w:p w:rsidR="00CE4FC0" w:rsidRPr="00CE4FC0" w:rsidRDefault="00CE4FC0" w:rsidP="00CE4FC0">
            <w:pPr>
              <w:jc w:val="right"/>
              <w:rPr>
                <w:rFonts w:ascii="Calibri" w:eastAsia="Times New Roman" w:hAnsi="Calibri" w:cs="Times New Roman"/>
                <w:sz w:val="20"/>
                <w:szCs w:val="20"/>
              </w:rPr>
            </w:pPr>
          </w:p>
        </w:tc>
        <w:tc>
          <w:tcPr>
            <w:tcW w:w="489"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6 482 607</w:t>
            </w:r>
          </w:p>
        </w:tc>
        <w:tc>
          <w:tcPr>
            <w:tcW w:w="569"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202 129</w:t>
            </w:r>
          </w:p>
        </w:tc>
        <w:tc>
          <w:tcPr>
            <w:tcW w:w="450" w:type="pct"/>
          </w:tcPr>
          <w:p w:rsidR="00CE4FC0" w:rsidRPr="00CE4FC0" w:rsidRDefault="00CE4FC0" w:rsidP="00CE4FC0">
            <w:pPr>
              <w:jc w:val="right"/>
              <w:rPr>
                <w:rFonts w:ascii="Calibri" w:eastAsia="Times New Roman" w:hAnsi="Calibri" w:cs="Times New Roman"/>
                <w:sz w:val="20"/>
                <w:szCs w:val="20"/>
              </w:rPr>
            </w:pPr>
          </w:p>
        </w:tc>
        <w:tc>
          <w:tcPr>
            <w:tcW w:w="456" w:type="pct"/>
          </w:tcPr>
          <w:p w:rsidR="00CE4FC0" w:rsidRPr="00CE4FC0" w:rsidRDefault="00CE4FC0" w:rsidP="00CE4FC0">
            <w:pPr>
              <w:jc w:val="right"/>
              <w:rPr>
                <w:rFonts w:ascii="Calibri" w:eastAsia="Times New Roman" w:hAnsi="Calibri" w:cs="Times New Roman"/>
                <w:sz w:val="20"/>
                <w:szCs w:val="20"/>
              </w:rPr>
            </w:pPr>
          </w:p>
        </w:tc>
        <w:tc>
          <w:tcPr>
            <w:tcW w:w="419"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176 440</w:t>
            </w:r>
          </w:p>
        </w:tc>
        <w:tc>
          <w:tcPr>
            <w:tcW w:w="598" w:type="pct"/>
          </w:tcPr>
          <w:p w:rsidR="00CE4FC0" w:rsidRPr="00CE4FC0" w:rsidRDefault="00CE4FC0" w:rsidP="00CE4FC0">
            <w:pPr>
              <w:jc w:val="right"/>
              <w:rPr>
                <w:rFonts w:ascii="Calibri" w:eastAsia="Times New Roman" w:hAnsi="Calibri" w:cs="Times New Roman"/>
                <w:sz w:val="20"/>
                <w:szCs w:val="20"/>
              </w:rPr>
            </w:pPr>
          </w:p>
        </w:tc>
        <w:tc>
          <w:tcPr>
            <w:tcW w:w="543" w:type="pct"/>
          </w:tcPr>
          <w:p w:rsidR="00CE4FC0" w:rsidRPr="00CE4FC0" w:rsidRDefault="00CE4FC0" w:rsidP="00CE4FC0">
            <w:pPr>
              <w:jc w:val="right"/>
              <w:rPr>
                <w:rFonts w:ascii="Calibri" w:eastAsia="Times New Roman" w:hAnsi="Calibri" w:cs="Times New Roman"/>
                <w:sz w:val="20"/>
                <w:szCs w:val="20"/>
              </w:rPr>
            </w:pPr>
          </w:p>
        </w:tc>
        <w:tc>
          <w:tcPr>
            <w:tcW w:w="489"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6 861 176</w:t>
            </w:r>
          </w:p>
        </w:tc>
      </w:tr>
      <w:tr w:rsidR="00CE4FC0" w:rsidRPr="00CE4FC0" w:rsidTr="00D60C0F">
        <w:tc>
          <w:tcPr>
            <w:tcW w:w="393" w:type="pct"/>
          </w:tcPr>
          <w:p w:rsidR="00CE4FC0" w:rsidRPr="00CE4FC0" w:rsidRDefault="00CE4FC0" w:rsidP="00CE4FC0">
            <w:pPr>
              <w:rPr>
                <w:rFonts w:ascii="Calibri" w:eastAsia="Times New Roman" w:hAnsi="Calibri" w:cs="Times New Roman"/>
                <w:b/>
                <w:sz w:val="20"/>
                <w:szCs w:val="20"/>
              </w:rPr>
            </w:pPr>
            <w:r w:rsidRPr="00CE4FC0">
              <w:rPr>
                <w:rFonts w:ascii="Calibri" w:eastAsia="Times New Roman" w:hAnsi="Calibri" w:cs="Times New Roman"/>
                <w:b/>
                <w:sz w:val="20"/>
                <w:szCs w:val="20"/>
              </w:rPr>
              <w:t>Stav na konci účtovného obdobia</w:t>
            </w:r>
          </w:p>
        </w:tc>
        <w:tc>
          <w:tcPr>
            <w:tcW w:w="594"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489"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11 851</w:t>
            </w:r>
          </w:p>
        </w:tc>
        <w:tc>
          <w:tcPr>
            <w:tcW w:w="569"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617 205</w:t>
            </w:r>
          </w:p>
        </w:tc>
        <w:tc>
          <w:tcPr>
            <w:tcW w:w="450"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456"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419"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215 854</w:t>
            </w:r>
          </w:p>
        </w:tc>
        <w:tc>
          <w:tcPr>
            <w:tcW w:w="598"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543"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489"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844 910</w:t>
            </w:r>
          </w:p>
        </w:tc>
      </w:tr>
      <w:tr w:rsidR="00CE4FC0" w:rsidRPr="00CE4FC0" w:rsidTr="00D60C0F">
        <w:tc>
          <w:tcPr>
            <w:tcW w:w="5000" w:type="pct"/>
            <w:gridSpan w:val="10"/>
            <w:shd w:val="clear" w:color="auto" w:fill="E6E6E6"/>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Opravné položky</w:t>
            </w:r>
          </w:p>
        </w:tc>
      </w:tr>
      <w:tr w:rsidR="00CE4FC0" w:rsidRPr="00CE4FC0" w:rsidTr="00D60C0F">
        <w:tc>
          <w:tcPr>
            <w:tcW w:w="393" w:type="pct"/>
          </w:tcPr>
          <w:p w:rsidR="00CE4FC0" w:rsidRPr="00CE4FC0" w:rsidRDefault="00CE4FC0" w:rsidP="00CE4FC0">
            <w:pPr>
              <w:rPr>
                <w:rFonts w:ascii="Calibri" w:eastAsia="Times New Roman" w:hAnsi="Calibri" w:cs="Times New Roman"/>
                <w:b/>
                <w:sz w:val="20"/>
                <w:szCs w:val="20"/>
              </w:rPr>
            </w:pPr>
            <w:r w:rsidRPr="00CE4FC0">
              <w:rPr>
                <w:rFonts w:ascii="Calibri" w:eastAsia="Times New Roman" w:hAnsi="Calibri" w:cs="Times New Roman"/>
                <w:b/>
                <w:sz w:val="20"/>
                <w:szCs w:val="20"/>
              </w:rPr>
              <w:t>Stav na začiatku účtovného obdobia</w:t>
            </w:r>
          </w:p>
        </w:tc>
        <w:tc>
          <w:tcPr>
            <w:tcW w:w="594"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489"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569"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450" w:type="pct"/>
          </w:tcPr>
          <w:p w:rsidR="00CE4FC0" w:rsidRPr="00CE4FC0" w:rsidRDefault="00CE4FC0" w:rsidP="00CE4FC0">
            <w:pPr>
              <w:jc w:val="right"/>
              <w:rPr>
                <w:rFonts w:ascii="Calibri" w:eastAsia="Times New Roman" w:hAnsi="Calibri" w:cs="Times New Roman"/>
                <w:b/>
                <w:sz w:val="20"/>
                <w:szCs w:val="20"/>
              </w:rPr>
            </w:pPr>
          </w:p>
        </w:tc>
        <w:tc>
          <w:tcPr>
            <w:tcW w:w="456" w:type="pct"/>
          </w:tcPr>
          <w:p w:rsidR="00CE4FC0" w:rsidRPr="00CE4FC0" w:rsidRDefault="00CE4FC0" w:rsidP="00CE4FC0">
            <w:pPr>
              <w:jc w:val="right"/>
              <w:rPr>
                <w:rFonts w:ascii="Calibri" w:eastAsia="Times New Roman" w:hAnsi="Calibri" w:cs="Times New Roman"/>
                <w:b/>
                <w:sz w:val="20"/>
                <w:szCs w:val="20"/>
              </w:rPr>
            </w:pPr>
          </w:p>
        </w:tc>
        <w:tc>
          <w:tcPr>
            <w:tcW w:w="419"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598"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543" w:type="pct"/>
          </w:tcPr>
          <w:p w:rsidR="00CE4FC0" w:rsidRPr="00CE4FC0" w:rsidRDefault="00CE4FC0" w:rsidP="00CE4FC0">
            <w:pPr>
              <w:jc w:val="right"/>
              <w:rPr>
                <w:rFonts w:ascii="Calibri" w:eastAsia="Times New Roman" w:hAnsi="Calibri" w:cs="Times New Roman"/>
                <w:b/>
                <w:sz w:val="20"/>
                <w:szCs w:val="20"/>
              </w:rPr>
            </w:pPr>
          </w:p>
        </w:tc>
        <w:tc>
          <w:tcPr>
            <w:tcW w:w="489"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r>
      <w:tr w:rsidR="00CE4FC0" w:rsidRPr="00CE4FC0" w:rsidTr="00D60C0F">
        <w:tc>
          <w:tcPr>
            <w:tcW w:w="39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lastRenderedPageBreak/>
              <w:t>Prírastky</w:t>
            </w:r>
          </w:p>
        </w:tc>
        <w:tc>
          <w:tcPr>
            <w:tcW w:w="594" w:type="pct"/>
          </w:tcPr>
          <w:p w:rsidR="00CE4FC0" w:rsidRPr="00CE4FC0" w:rsidRDefault="00CE4FC0" w:rsidP="00CE4FC0">
            <w:pPr>
              <w:jc w:val="right"/>
              <w:rPr>
                <w:rFonts w:ascii="Calibri" w:eastAsia="Times New Roman" w:hAnsi="Calibri" w:cs="Times New Roman"/>
                <w:sz w:val="20"/>
                <w:szCs w:val="20"/>
              </w:rPr>
            </w:pPr>
          </w:p>
        </w:tc>
        <w:tc>
          <w:tcPr>
            <w:tcW w:w="489" w:type="pct"/>
          </w:tcPr>
          <w:p w:rsidR="00CE4FC0" w:rsidRPr="00CE4FC0" w:rsidRDefault="00CE4FC0" w:rsidP="00CE4FC0">
            <w:pPr>
              <w:jc w:val="right"/>
              <w:rPr>
                <w:rFonts w:ascii="Calibri" w:eastAsia="Times New Roman" w:hAnsi="Calibri" w:cs="Times New Roman"/>
                <w:sz w:val="20"/>
                <w:szCs w:val="20"/>
              </w:rPr>
            </w:pPr>
          </w:p>
        </w:tc>
        <w:tc>
          <w:tcPr>
            <w:tcW w:w="569" w:type="pct"/>
          </w:tcPr>
          <w:p w:rsidR="00CE4FC0" w:rsidRPr="00CE4FC0" w:rsidRDefault="00CE4FC0" w:rsidP="00CE4FC0">
            <w:pPr>
              <w:jc w:val="right"/>
              <w:rPr>
                <w:rFonts w:ascii="Calibri" w:eastAsia="Times New Roman" w:hAnsi="Calibri" w:cs="Times New Roman"/>
                <w:sz w:val="20"/>
                <w:szCs w:val="20"/>
              </w:rPr>
            </w:pPr>
          </w:p>
        </w:tc>
        <w:tc>
          <w:tcPr>
            <w:tcW w:w="450" w:type="pct"/>
          </w:tcPr>
          <w:p w:rsidR="00CE4FC0" w:rsidRPr="00CE4FC0" w:rsidRDefault="00CE4FC0" w:rsidP="00CE4FC0">
            <w:pPr>
              <w:jc w:val="right"/>
              <w:rPr>
                <w:rFonts w:ascii="Calibri" w:eastAsia="Times New Roman" w:hAnsi="Calibri" w:cs="Times New Roman"/>
                <w:sz w:val="20"/>
                <w:szCs w:val="20"/>
              </w:rPr>
            </w:pPr>
          </w:p>
        </w:tc>
        <w:tc>
          <w:tcPr>
            <w:tcW w:w="456" w:type="pct"/>
          </w:tcPr>
          <w:p w:rsidR="00CE4FC0" w:rsidRPr="00CE4FC0" w:rsidRDefault="00CE4FC0" w:rsidP="00CE4FC0">
            <w:pPr>
              <w:jc w:val="right"/>
              <w:rPr>
                <w:rFonts w:ascii="Calibri" w:eastAsia="Times New Roman" w:hAnsi="Calibri" w:cs="Times New Roman"/>
                <w:sz w:val="20"/>
                <w:szCs w:val="20"/>
              </w:rPr>
            </w:pPr>
          </w:p>
        </w:tc>
        <w:tc>
          <w:tcPr>
            <w:tcW w:w="419" w:type="pct"/>
          </w:tcPr>
          <w:p w:rsidR="00CE4FC0" w:rsidRPr="00CE4FC0" w:rsidRDefault="00CE4FC0" w:rsidP="00CE4FC0">
            <w:pPr>
              <w:jc w:val="right"/>
              <w:rPr>
                <w:rFonts w:ascii="Calibri" w:eastAsia="Times New Roman" w:hAnsi="Calibri" w:cs="Times New Roman"/>
                <w:sz w:val="20"/>
                <w:szCs w:val="20"/>
              </w:rPr>
            </w:pPr>
          </w:p>
        </w:tc>
        <w:tc>
          <w:tcPr>
            <w:tcW w:w="598" w:type="pct"/>
          </w:tcPr>
          <w:p w:rsidR="00CE4FC0" w:rsidRPr="00CE4FC0" w:rsidRDefault="00CE4FC0" w:rsidP="00CE4FC0">
            <w:pPr>
              <w:jc w:val="right"/>
              <w:rPr>
                <w:rFonts w:ascii="Calibri" w:eastAsia="Times New Roman" w:hAnsi="Calibri" w:cs="Times New Roman"/>
                <w:sz w:val="20"/>
                <w:szCs w:val="20"/>
              </w:rPr>
            </w:pPr>
          </w:p>
        </w:tc>
        <w:tc>
          <w:tcPr>
            <w:tcW w:w="543" w:type="pct"/>
          </w:tcPr>
          <w:p w:rsidR="00CE4FC0" w:rsidRPr="00CE4FC0" w:rsidRDefault="00CE4FC0" w:rsidP="00CE4FC0">
            <w:pPr>
              <w:jc w:val="right"/>
              <w:rPr>
                <w:rFonts w:ascii="Calibri" w:eastAsia="Times New Roman" w:hAnsi="Calibri" w:cs="Times New Roman"/>
                <w:sz w:val="20"/>
                <w:szCs w:val="20"/>
              </w:rPr>
            </w:pPr>
          </w:p>
        </w:tc>
        <w:tc>
          <w:tcPr>
            <w:tcW w:w="489"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39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Úbytky</w:t>
            </w:r>
          </w:p>
        </w:tc>
        <w:tc>
          <w:tcPr>
            <w:tcW w:w="594" w:type="pct"/>
          </w:tcPr>
          <w:p w:rsidR="00CE4FC0" w:rsidRPr="00CE4FC0" w:rsidRDefault="00CE4FC0" w:rsidP="00CE4FC0">
            <w:pPr>
              <w:jc w:val="right"/>
              <w:rPr>
                <w:rFonts w:ascii="Calibri" w:eastAsia="Times New Roman" w:hAnsi="Calibri" w:cs="Times New Roman"/>
                <w:sz w:val="20"/>
                <w:szCs w:val="20"/>
              </w:rPr>
            </w:pPr>
          </w:p>
        </w:tc>
        <w:tc>
          <w:tcPr>
            <w:tcW w:w="489" w:type="pct"/>
          </w:tcPr>
          <w:p w:rsidR="00CE4FC0" w:rsidRPr="00CE4FC0" w:rsidRDefault="00CE4FC0" w:rsidP="00CE4FC0">
            <w:pPr>
              <w:jc w:val="right"/>
              <w:rPr>
                <w:rFonts w:ascii="Calibri" w:eastAsia="Times New Roman" w:hAnsi="Calibri" w:cs="Times New Roman"/>
                <w:sz w:val="20"/>
                <w:szCs w:val="20"/>
              </w:rPr>
            </w:pPr>
          </w:p>
        </w:tc>
        <w:tc>
          <w:tcPr>
            <w:tcW w:w="569" w:type="pct"/>
          </w:tcPr>
          <w:p w:rsidR="00CE4FC0" w:rsidRPr="00CE4FC0" w:rsidRDefault="00CE4FC0" w:rsidP="00CE4FC0">
            <w:pPr>
              <w:jc w:val="right"/>
              <w:rPr>
                <w:rFonts w:ascii="Calibri" w:eastAsia="Times New Roman" w:hAnsi="Calibri" w:cs="Times New Roman"/>
                <w:sz w:val="20"/>
                <w:szCs w:val="20"/>
              </w:rPr>
            </w:pPr>
          </w:p>
        </w:tc>
        <w:tc>
          <w:tcPr>
            <w:tcW w:w="450" w:type="pct"/>
          </w:tcPr>
          <w:p w:rsidR="00CE4FC0" w:rsidRPr="00CE4FC0" w:rsidRDefault="00CE4FC0" w:rsidP="00CE4FC0">
            <w:pPr>
              <w:jc w:val="right"/>
              <w:rPr>
                <w:rFonts w:ascii="Calibri" w:eastAsia="Times New Roman" w:hAnsi="Calibri" w:cs="Times New Roman"/>
                <w:sz w:val="20"/>
                <w:szCs w:val="20"/>
              </w:rPr>
            </w:pPr>
          </w:p>
        </w:tc>
        <w:tc>
          <w:tcPr>
            <w:tcW w:w="456" w:type="pct"/>
          </w:tcPr>
          <w:p w:rsidR="00CE4FC0" w:rsidRPr="00CE4FC0" w:rsidRDefault="00CE4FC0" w:rsidP="00CE4FC0">
            <w:pPr>
              <w:jc w:val="right"/>
              <w:rPr>
                <w:rFonts w:ascii="Calibri" w:eastAsia="Times New Roman" w:hAnsi="Calibri" w:cs="Times New Roman"/>
                <w:sz w:val="20"/>
                <w:szCs w:val="20"/>
              </w:rPr>
            </w:pPr>
          </w:p>
        </w:tc>
        <w:tc>
          <w:tcPr>
            <w:tcW w:w="419" w:type="pct"/>
          </w:tcPr>
          <w:p w:rsidR="00CE4FC0" w:rsidRPr="00CE4FC0" w:rsidRDefault="00CE4FC0" w:rsidP="00CE4FC0">
            <w:pPr>
              <w:jc w:val="right"/>
              <w:rPr>
                <w:rFonts w:ascii="Calibri" w:eastAsia="Times New Roman" w:hAnsi="Calibri" w:cs="Times New Roman"/>
                <w:sz w:val="20"/>
                <w:szCs w:val="20"/>
              </w:rPr>
            </w:pPr>
          </w:p>
        </w:tc>
        <w:tc>
          <w:tcPr>
            <w:tcW w:w="598" w:type="pct"/>
          </w:tcPr>
          <w:p w:rsidR="00CE4FC0" w:rsidRPr="00CE4FC0" w:rsidRDefault="00CE4FC0" w:rsidP="00CE4FC0">
            <w:pPr>
              <w:jc w:val="right"/>
              <w:rPr>
                <w:rFonts w:ascii="Calibri" w:eastAsia="Times New Roman" w:hAnsi="Calibri" w:cs="Times New Roman"/>
                <w:sz w:val="20"/>
                <w:szCs w:val="20"/>
              </w:rPr>
            </w:pPr>
          </w:p>
        </w:tc>
        <w:tc>
          <w:tcPr>
            <w:tcW w:w="543" w:type="pct"/>
          </w:tcPr>
          <w:p w:rsidR="00CE4FC0" w:rsidRPr="00CE4FC0" w:rsidRDefault="00CE4FC0" w:rsidP="00CE4FC0">
            <w:pPr>
              <w:jc w:val="right"/>
              <w:rPr>
                <w:rFonts w:ascii="Calibri" w:eastAsia="Times New Roman" w:hAnsi="Calibri" w:cs="Times New Roman"/>
                <w:sz w:val="20"/>
                <w:szCs w:val="20"/>
              </w:rPr>
            </w:pPr>
          </w:p>
        </w:tc>
        <w:tc>
          <w:tcPr>
            <w:tcW w:w="489"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393" w:type="pct"/>
          </w:tcPr>
          <w:p w:rsidR="00CE4FC0" w:rsidRPr="00CE4FC0" w:rsidRDefault="00CE4FC0" w:rsidP="00CE4FC0">
            <w:pPr>
              <w:rPr>
                <w:rFonts w:ascii="Calibri" w:eastAsia="Times New Roman" w:hAnsi="Calibri" w:cs="Times New Roman"/>
                <w:b/>
                <w:sz w:val="20"/>
                <w:szCs w:val="20"/>
              </w:rPr>
            </w:pPr>
            <w:r w:rsidRPr="00CE4FC0">
              <w:rPr>
                <w:rFonts w:ascii="Calibri" w:eastAsia="Times New Roman" w:hAnsi="Calibri" w:cs="Times New Roman"/>
                <w:b/>
                <w:sz w:val="20"/>
                <w:szCs w:val="20"/>
              </w:rPr>
              <w:t>Stav na konci účtovného obdobia</w:t>
            </w:r>
          </w:p>
        </w:tc>
        <w:tc>
          <w:tcPr>
            <w:tcW w:w="594"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489"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569"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450" w:type="pct"/>
          </w:tcPr>
          <w:p w:rsidR="00CE4FC0" w:rsidRPr="00CE4FC0" w:rsidRDefault="00CE4FC0" w:rsidP="00CE4FC0">
            <w:pPr>
              <w:jc w:val="right"/>
              <w:rPr>
                <w:rFonts w:ascii="Calibri" w:eastAsia="Times New Roman" w:hAnsi="Calibri" w:cs="Times New Roman"/>
                <w:b/>
                <w:sz w:val="20"/>
                <w:szCs w:val="20"/>
              </w:rPr>
            </w:pPr>
          </w:p>
        </w:tc>
        <w:tc>
          <w:tcPr>
            <w:tcW w:w="456" w:type="pct"/>
          </w:tcPr>
          <w:p w:rsidR="00CE4FC0" w:rsidRPr="00CE4FC0" w:rsidRDefault="00CE4FC0" w:rsidP="00CE4FC0">
            <w:pPr>
              <w:jc w:val="right"/>
              <w:rPr>
                <w:rFonts w:ascii="Calibri" w:eastAsia="Times New Roman" w:hAnsi="Calibri" w:cs="Times New Roman"/>
                <w:b/>
                <w:sz w:val="20"/>
                <w:szCs w:val="20"/>
              </w:rPr>
            </w:pPr>
          </w:p>
        </w:tc>
        <w:tc>
          <w:tcPr>
            <w:tcW w:w="419"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598"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543" w:type="pct"/>
          </w:tcPr>
          <w:p w:rsidR="00CE4FC0" w:rsidRPr="00CE4FC0" w:rsidRDefault="00CE4FC0" w:rsidP="00CE4FC0">
            <w:pPr>
              <w:jc w:val="right"/>
              <w:rPr>
                <w:rFonts w:ascii="Calibri" w:eastAsia="Times New Roman" w:hAnsi="Calibri" w:cs="Times New Roman"/>
                <w:b/>
                <w:sz w:val="20"/>
                <w:szCs w:val="20"/>
              </w:rPr>
            </w:pPr>
          </w:p>
        </w:tc>
        <w:tc>
          <w:tcPr>
            <w:tcW w:w="489"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r>
      <w:tr w:rsidR="00CE4FC0" w:rsidRPr="00CE4FC0" w:rsidTr="00D60C0F">
        <w:tc>
          <w:tcPr>
            <w:tcW w:w="5000" w:type="pct"/>
            <w:gridSpan w:val="10"/>
            <w:shd w:val="clear" w:color="auto" w:fill="E6E6E6"/>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Zostatková hodnota</w:t>
            </w:r>
          </w:p>
        </w:tc>
      </w:tr>
      <w:tr w:rsidR="00CE4FC0" w:rsidRPr="00CE4FC0" w:rsidTr="00D60C0F">
        <w:tc>
          <w:tcPr>
            <w:tcW w:w="393" w:type="pct"/>
          </w:tcPr>
          <w:p w:rsidR="00CE4FC0" w:rsidRPr="00CE4FC0" w:rsidRDefault="00CE4FC0" w:rsidP="00CE4FC0">
            <w:pPr>
              <w:rPr>
                <w:rFonts w:ascii="Calibri" w:eastAsia="Times New Roman" w:hAnsi="Calibri" w:cs="Times New Roman"/>
                <w:b/>
                <w:sz w:val="20"/>
                <w:szCs w:val="20"/>
              </w:rPr>
            </w:pPr>
            <w:r w:rsidRPr="00CE4FC0">
              <w:rPr>
                <w:rFonts w:ascii="Calibri" w:eastAsia="Times New Roman" w:hAnsi="Calibri" w:cs="Times New Roman"/>
                <w:b/>
                <w:sz w:val="20"/>
                <w:szCs w:val="20"/>
              </w:rPr>
              <w:t>Stav na začiatku účtovného obdobia</w:t>
            </w:r>
          </w:p>
        </w:tc>
        <w:tc>
          <w:tcPr>
            <w:tcW w:w="594"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521 033</w:t>
            </w:r>
          </w:p>
        </w:tc>
        <w:tc>
          <w:tcPr>
            <w:tcW w:w="489"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3 588 024</w:t>
            </w:r>
          </w:p>
        </w:tc>
        <w:tc>
          <w:tcPr>
            <w:tcW w:w="569"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593 854</w:t>
            </w:r>
          </w:p>
        </w:tc>
        <w:tc>
          <w:tcPr>
            <w:tcW w:w="450"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456"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419"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2 702</w:t>
            </w:r>
          </w:p>
        </w:tc>
        <w:tc>
          <w:tcPr>
            <w:tcW w:w="598"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77 779</w:t>
            </w:r>
          </w:p>
        </w:tc>
        <w:tc>
          <w:tcPr>
            <w:tcW w:w="543"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489"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4 783 392</w:t>
            </w:r>
          </w:p>
        </w:tc>
      </w:tr>
      <w:tr w:rsidR="00CE4FC0" w:rsidRPr="00CE4FC0" w:rsidTr="00D60C0F">
        <w:tc>
          <w:tcPr>
            <w:tcW w:w="393" w:type="pct"/>
          </w:tcPr>
          <w:p w:rsidR="00CE4FC0" w:rsidRPr="00CE4FC0" w:rsidRDefault="00CE4FC0" w:rsidP="00CE4FC0">
            <w:pPr>
              <w:rPr>
                <w:rFonts w:ascii="Calibri" w:eastAsia="Times New Roman" w:hAnsi="Calibri" w:cs="Times New Roman"/>
                <w:b/>
                <w:sz w:val="20"/>
                <w:szCs w:val="20"/>
              </w:rPr>
            </w:pPr>
            <w:r w:rsidRPr="00CE4FC0">
              <w:rPr>
                <w:rFonts w:ascii="Calibri" w:eastAsia="Times New Roman" w:hAnsi="Calibri" w:cs="Times New Roman"/>
                <w:b/>
                <w:sz w:val="20"/>
                <w:szCs w:val="20"/>
              </w:rPr>
              <w:t>Stav na konci účtovného obdobia</w:t>
            </w:r>
          </w:p>
        </w:tc>
        <w:tc>
          <w:tcPr>
            <w:tcW w:w="594"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11 174</w:t>
            </w:r>
          </w:p>
        </w:tc>
        <w:tc>
          <w:tcPr>
            <w:tcW w:w="489"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113 871</w:t>
            </w:r>
          </w:p>
        </w:tc>
        <w:tc>
          <w:tcPr>
            <w:tcW w:w="569"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597 221</w:t>
            </w:r>
          </w:p>
        </w:tc>
        <w:tc>
          <w:tcPr>
            <w:tcW w:w="450"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456"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419"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598"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543"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489"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722 266</w:t>
            </w:r>
          </w:p>
        </w:tc>
      </w:tr>
    </w:tbl>
    <w:p w:rsidR="00CE4FC0" w:rsidRPr="00CE4FC0" w:rsidRDefault="00CE4FC0" w:rsidP="00CE4FC0">
      <w:pPr>
        <w:spacing w:after="200" w:line="276" w:lineRule="auto"/>
        <w:rPr>
          <w:rFonts w:ascii="Calibri" w:eastAsia="Times New Roman" w:hAnsi="Calibri" w:cs="Times New Roman"/>
          <w:sz w:val="20"/>
          <w:szCs w:val="20"/>
        </w:rPr>
      </w:pPr>
    </w:p>
    <w:p w:rsidR="00CE4FC0" w:rsidRPr="00CE4FC0" w:rsidRDefault="00CE4FC0" w:rsidP="00CE4FC0">
      <w:pPr>
        <w:autoSpaceDE w:val="0"/>
        <w:autoSpaceDN w:val="0"/>
        <w:adjustRightInd w:val="0"/>
        <w:rPr>
          <w:rFonts w:ascii="Microsoft Sans Serif" w:eastAsia="Times New Roman" w:hAnsi="Microsoft Sans Serif" w:cs="Microsoft Sans Serif"/>
          <w:sz w:val="17"/>
          <w:szCs w:val="17"/>
          <w:lang w:eastAsia="sk-SK"/>
        </w:rPr>
      </w:pPr>
      <w:r w:rsidRPr="00CE4FC0">
        <w:rPr>
          <w:rFonts w:ascii="Microsoft Sans Serif" w:eastAsia="Times New Roman" w:hAnsi="Microsoft Sans Serif" w:cs="Microsoft Sans Serif"/>
          <w:sz w:val="17"/>
          <w:szCs w:val="17"/>
          <w:lang w:eastAsia="sk-SK"/>
        </w:rPr>
        <w:t>Na žiaden dlhodobý hmotný majetok, ktorý má spoločnosť v majetku nebolo zriadené záložné právo, ani nebolo uložené obmedzenie s ním nakladať.</w:t>
      </w:r>
    </w:p>
    <w:p w:rsidR="00CE4FC0" w:rsidRPr="00CE4FC0" w:rsidRDefault="00CE4FC0" w:rsidP="00CE4FC0">
      <w:pPr>
        <w:spacing w:after="200" w:line="276" w:lineRule="auto"/>
        <w:jc w:val="center"/>
        <w:rPr>
          <w:rFonts w:ascii="Calibri" w:eastAsia="Times New Roman" w:hAnsi="Calibri" w:cs="Times New Roman"/>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854"/>
      </w:tblGrid>
      <w:tr w:rsidR="00CE4FC0" w:rsidRPr="00CE4FC0" w:rsidTr="00D60C0F">
        <w:tc>
          <w:tcPr>
            <w:tcW w:w="5000" w:type="pct"/>
            <w:shd w:val="clear" w:color="auto" w:fill="C0C0C0"/>
          </w:tcPr>
          <w:p w:rsidR="00CE4FC0" w:rsidRPr="00CE4FC0" w:rsidRDefault="00CE4FC0" w:rsidP="00CE4FC0">
            <w:pPr>
              <w:jc w:val="center"/>
              <w:rPr>
                <w:rFonts w:ascii="Calibri" w:eastAsia="Times New Roman" w:hAnsi="Calibri" w:cs="Times New Roman"/>
                <w:b/>
                <w:sz w:val="20"/>
                <w:szCs w:val="20"/>
              </w:rPr>
            </w:pPr>
            <w:r w:rsidRPr="00CE4FC0">
              <w:rPr>
                <w:rFonts w:ascii="Calibri" w:eastAsia="Times New Roman" w:hAnsi="Calibri" w:cs="Times New Roman"/>
                <w:b/>
                <w:sz w:val="20"/>
                <w:szCs w:val="20"/>
              </w:rPr>
              <w:t>III. 1 c) Dlhodobý majetok  na ktorý je zriadené záložné právo</w:t>
            </w:r>
          </w:p>
        </w:tc>
      </w:tr>
    </w:tbl>
    <w:p w:rsidR="00CE4FC0" w:rsidRPr="00CE4FC0" w:rsidRDefault="00CE4FC0" w:rsidP="00CE4FC0">
      <w:pPr>
        <w:spacing w:after="200" w:line="276" w:lineRule="auto"/>
        <w:rPr>
          <w:rFonts w:ascii="Calibri" w:eastAsia="Times New Roman" w:hAnsi="Calibri" w:cs="Times New Roman"/>
          <w:sz w:val="20"/>
          <w:szCs w:val="20"/>
        </w:rPr>
      </w:pPr>
    </w:p>
    <w:p w:rsidR="00CE4FC0" w:rsidRPr="00CE4FC0" w:rsidRDefault="00CE4FC0" w:rsidP="00CE4FC0">
      <w:pPr>
        <w:autoSpaceDE w:val="0"/>
        <w:autoSpaceDN w:val="0"/>
        <w:adjustRightInd w:val="0"/>
        <w:rPr>
          <w:rFonts w:ascii="Microsoft Sans Serif" w:eastAsia="Times New Roman" w:hAnsi="Microsoft Sans Serif" w:cs="Microsoft Sans Serif"/>
          <w:sz w:val="17"/>
          <w:szCs w:val="17"/>
          <w:lang w:eastAsia="sk-SK"/>
        </w:rPr>
      </w:pPr>
      <w:r w:rsidRPr="00CE4FC0">
        <w:rPr>
          <w:rFonts w:ascii="Microsoft Sans Serif" w:eastAsia="Times New Roman" w:hAnsi="Microsoft Sans Serif" w:cs="Microsoft Sans Serif"/>
          <w:sz w:val="17"/>
          <w:szCs w:val="17"/>
          <w:lang w:eastAsia="sk-SK"/>
        </w:rPr>
        <w:t>Na žiaden dlhodobý majetok, ktorý má spoločnosť v majetku nebolo zriadené záložné právo, ani nebolo uložené obmedzenie s ním nakladať.</w:t>
      </w:r>
    </w:p>
    <w:p w:rsidR="00CE4FC0" w:rsidRPr="00CE4FC0" w:rsidRDefault="00CE4FC0" w:rsidP="00CE4FC0">
      <w:pPr>
        <w:spacing w:after="200" w:line="276" w:lineRule="auto"/>
        <w:rPr>
          <w:rFonts w:ascii="Calibri" w:eastAsia="Times New Roman" w:hAnsi="Calibri" w:cs="Times New Roman"/>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27"/>
        <w:gridCol w:w="946"/>
        <w:gridCol w:w="946"/>
        <w:gridCol w:w="893"/>
        <w:gridCol w:w="766"/>
        <w:gridCol w:w="812"/>
        <w:gridCol w:w="808"/>
        <w:gridCol w:w="775"/>
        <w:gridCol w:w="1133"/>
        <w:gridCol w:w="1036"/>
        <w:gridCol w:w="712"/>
      </w:tblGrid>
      <w:tr w:rsidR="00CE4FC0" w:rsidRPr="00CE4FC0" w:rsidTr="00D60C0F">
        <w:tc>
          <w:tcPr>
            <w:tcW w:w="5000" w:type="pct"/>
            <w:gridSpan w:val="11"/>
            <w:shd w:val="clear" w:color="auto" w:fill="C0C0C0"/>
          </w:tcPr>
          <w:p w:rsidR="00CE4FC0" w:rsidRPr="00CE4FC0" w:rsidRDefault="00CE4FC0" w:rsidP="00CE4FC0">
            <w:pPr>
              <w:jc w:val="center"/>
              <w:rPr>
                <w:rFonts w:ascii="Calibri" w:eastAsia="Times New Roman" w:hAnsi="Calibri" w:cs="Times New Roman"/>
                <w:b/>
                <w:sz w:val="20"/>
                <w:szCs w:val="20"/>
              </w:rPr>
            </w:pPr>
            <w:r w:rsidRPr="00CE4FC0">
              <w:rPr>
                <w:rFonts w:ascii="Calibri" w:eastAsia="Times New Roman" w:hAnsi="Calibri" w:cs="Times New Roman"/>
                <w:b/>
                <w:sz w:val="20"/>
                <w:szCs w:val="20"/>
              </w:rPr>
              <w:t>III. 1 f1) Dlhodobý finančný majetok - štruktúra</w:t>
            </w:r>
          </w:p>
        </w:tc>
      </w:tr>
      <w:tr w:rsidR="00CE4FC0" w:rsidRPr="00CE4FC0" w:rsidTr="00D60C0F">
        <w:tc>
          <w:tcPr>
            <w:tcW w:w="410"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Položka</w:t>
            </w:r>
          </w:p>
        </w:tc>
        <w:tc>
          <w:tcPr>
            <w:tcW w:w="493"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Podielová účasť v PUJ (061A, 062A, 063A)</w:t>
            </w:r>
          </w:p>
        </w:tc>
        <w:tc>
          <w:tcPr>
            <w:tcW w:w="492"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Podielová účasť, okrem PUJ (062A)</w:t>
            </w:r>
          </w:p>
        </w:tc>
        <w:tc>
          <w:tcPr>
            <w:tcW w:w="464"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Ostatné CP a podiely (063A)</w:t>
            </w:r>
          </w:p>
        </w:tc>
        <w:tc>
          <w:tcPr>
            <w:tcW w:w="398"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Pôžičky PUJ (066A)</w:t>
            </w:r>
          </w:p>
        </w:tc>
        <w:tc>
          <w:tcPr>
            <w:tcW w:w="422"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Pôžičky, okrem  PUJ (066A)</w:t>
            </w:r>
          </w:p>
        </w:tc>
        <w:tc>
          <w:tcPr>
            <w:tcW w:w="420"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Ostatné pôžičky (067A)</w:t>
            </w:r>
          </w:p>
        </w:tc>
        <w:tc>
          <w:tcPr>
            <w:tcW w:w="402"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Dlhové CP a ostatný DFM (065A, 069A)</w:t>
            </w:r>
          </w:p>
        </w:tc>
        <w:tc>
          <w:tcPr>
            <w:tcW w:w="590"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Pôžičky a ostatný DFM (T≥1R) (066A,067A, 069A)</w:t>
            </w:r>
          </w:p>
        </w:tc>
        <w:tc>
          <w:tcPr>
            <w:tcW w:w="539"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Obstaranie a preddavky (043,053)</w:t>
            </w:r>
          </w:p>
        </w:tc>
        <w:tc>
          <w:tcPr>
            <w:tcW w:w="369"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SPOLU</w:t>
            </w:r>
          </w:p>
        </w:tc>
      </w:tr>
      <w:tr w:rsidR="00CE4FC0" w:rsidRPr="00CE4FC0" w:rsidTr="00D60C0F">
        <w:tc>
          <w:tcPr>
            <w:tcW w:w="5000" w:type="pct"/>
            <w:gridSpan w:val="11"/>
            <w:shd w:val="clear" w:color="auto" w:fill="E6E6E6"/>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Prvotné ocenenie</w:t>
            </w:r>
          </w:p>
        </w:tc>
      </w:tr>
      <w:tr w:rsidR="00CE4FC0" w:rsidRPr="00CE4FC0" w:rsidTr="00D60C0F">
        <w:tc>
          <w:tcPr>
            <w:tcW w:w="410" w:type="pct"/>
          </w:tcPr>
          <w:p w:rsidR="00CE4FC0" w:rsidRPr="00CE4FC0" w:rsidRDefault="00CE4FC0" w:rsidP="00CE4FC0">
            <w:pPr>
              <w:rPr>
                <w:rFonts w:ascii="Calibri" w:eastAsia="Times New Roman" w:hAnsi="Calibri" w:cs="Times New Roman"/>
                <w:b/>
                <w:sz w:val="20"/>
                <w:szCs w:val="20"/>
              </w:rPr>
            </w:pPr>
            <w:r w:rsidRPr="00CE4FC0">
              <w:rPr>
                <w:rFonts w:ascii="Calibri" w:eastAsia="Times New Roman" w:hAnsi="Calibri" w:cs="Times New Roman"/>
                <w:b/>
                <w:sz w:val="20"/>
                <w:szCs w:val="20"/>
              </w:rPr>
              <w:t>Stav na začiatku účtovného obdobia</w:t>
            </w:r>
          </w:p>
        </w:tc>
        <w:tc>
          <w:tcPr>
            <w:tcW w:w="493"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492" w:type="pct"/>
          </w:tcPr>
          <w:p w:rsidR="00CE4FC0" w:rsidRPr="00CE4FC0" w:rsidRDefault="00CE4FC0" w:rsidP="00CE4FC0">
            <w:pPr>
              <w:jc w:val="right"/>
              <w:rPr>
                <w:rFonts w:ascii="Calibri" w:eastAsia="Times New Roman" w:hAnsi="Calibri" w:cs="Times New Roman"/>
                <w:b/>
                <w:sz w:val="20"/>
                <w:szCs w:val="20"/>
              </w:rPr>
            </w:pPr>
          </w:p>
        </w:tc>
        <w:tc>
          <w:tcPr>
            <w:tcW w:w="464" w:type="pct"/>
          </w:tcPr>
          <w:p w:rsidR="00CE4FC0" w:rsidRPr="00CE4FC0" w:rsidRDefault="00CE4FC0" w:rsidP="00CE4FC0">
            <w:pPr>
              <w:jc w:val="right"/>
              <w:rPr>
                <w:rFonts w:ascii="Calibri" w:eastAsia="Times New Roman" w:hAnsi="Calibri" w:cs="Times New Roman"/>
                <w:b/>
                <w:sz w:val="20"/>
                <w:szCs w:val="20"/>
              </w:rPr>
            </w:pPr>
          </w:p>
        </w:tc>
        <w:tc>
          <w:tcPr>
            <w:tcW w:w="398" w:type="pct"/>
          </w:tcPr>
          <w:p w:rsidR="00CE4FC0" w:rsidRPr="00CE4FC0" w:rsidRDefault="00CE4FC0" w:rsidP="00CE4FC0">
            <w:pPr>
              <w:jc w:val="right"/>
              <w:rPr>
                <w:rFonts w:ascii="Calibri" w:eastAsia="Times New Roman" w:hAnsi="Calibri" w:cs="Times New Roman"/>
                <w:b/>
                <w:sz w:val="20"/>
                <w:szCs w:val="20"/>
              </w:rPr>
            </w:pPr>
          </w:p>
        </w:tc>
        <w:tc>
          <w:tcPr>
            <w:tcW w:w="422" w:type="pct"/>
          </w:tcPr>
          <w:p w:rsidR="00CE4FC0" w:rsidRPr="00CE4FC0" w:rsidRDefault="00CE4FC0" w:rsidP="00CE4FC0">
            <w:pPr>
              <w:jc w:val="right"/>
              <w:rPr>
                <w:rFonts w:ascii="Calibri" w:eastAsia="Times New Roman" w:hAnsi="Calibri" w:cs="Times New Roman"/>
                <w:b/>
                <w:sz w:val="20"/>
                <w:szCs w:val="20"/>
              </w:rPr>
            </w:pPr>
          </w:p>
        </w:tc>
        <w:tc>
          <w:tcPr>
            <w:tcW w:w="420" w:type="pct"/>
          </w:tcPr>
          <w:p w:rsidR="00CE4FC0" w:rsidRPr="00CE4FC0" w:rsidRDefault="00CE4FC0" w:rsidP="00CE4FC0">
            <w:pPr>
              <w:jc w:val="right"/>
              <w:rPr>
                <w:rFonts w:ascii="Calibri" w:eastAsia="Times New Roman" w:hAnsi="Calibri" w:cs="Times New Roman"/>
                <w:b/>
                <w:sz w:val="20"/>
                <w:szCs w:val="20"/>
              </w:rPr>
            </w:pPr>
          </w:p>
        </w:tc>
        <w:tc>
          <w:tcPr>
            <w:tcW w:w="402" w:type="pct"/>
          </w:tcPr>
          <w:p w:rsidR="00CE4FC0" w:rsidRPr="00CE4FC0" w:rsidRDefault="00CE4FC0" w:rsidP="00CE4FC0">
            <w:pPr>
              <w:jc w:val="right"/>
              <w:rPr>
                <w:rFonts w:ascii="Calibri" w:eastAsia="Times New Roman" w:hAnsi="Calibri" w:cs="Times New Roman"/>
                <w:b/>
                <w:sz w:val="20"/>
                <w:szCs w:val="20"/>
              </w:rPr>
            </w:pPr>
          </w:p>
        </w:tc>
        <w:tc>
          <w:tcPr>
            <w:tcW w:w="590" w:type="pct"/>
          </w:tcPr>
          <w:p w:rsidR="00CE4FC0" w:rsidRPr="00CE4FC0" w:rsidRDefault="00CE4FC0" w:rsidP="00CE4FC0">
            <w:pPr>
              <w:jc w:val="right"/>
              <w:rPr>
                <w:rFonts w:ascii="Calibri" w:eastAsia="Times New Roman" w:hAnsi="Calibri" w:cs="Times New Roman"/>
                <w:b/>
                <w:sz w:val="20"/>
                <w:szCs w:val="20"/>
              </w:rPr>
            </w:pPr>
          </w:p>
        </w:tc>
        <w:tc>
          <w:tcPr>
            <w:tcW w:w="539" w:type="pct"/>
          </w:tcPr>
          <w:p w:rsidR="00CE4FC0" w:rsidRPr="00CE4FC0" w:rsidRDefault="00CE4FC0" w:rsidP="00CE4FC0">
            <w:pPr>
              <w:jc w:val="right"/>
              <w:rPr>
                <w:rFonts w:ascii="Calibri" w:eastAsia="Times New Roman" w:hAnsi="Calibri" w:cs="Times New Roman"/>
                <w:b/>
                <w:sz w:val="20"/>
                <w:szCs w:val="20"/>
              </w:rPr>
            </w:pPr>
          </w:p>
        </w:tc>
        <w:tc>
          <w:tcPr>
            <w:tcW w:w="369"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r>
      <w:tr w:rsidR="00CE4FC0" w:rsidRPr="00CE4FC0" w:rsidTr="00D60C0F">
        <w:tc>
          <w:tcPr>
            <w:tcW w:w="410"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Prírastky</w:t>
            </w:r>
          </w:p>
        </w:tc>
        <w:tc>
          <w:tcPr>
            <w:tcW w:w="493"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c>
          <w:tcPr>
            <w:tcW w:w="492" w:type="pct"/>
          </w:tcPr>
          <w:p w:rsidR="00CE4FC0" w:rsidRPr="00CE4FC0" w:rsidRDefault="00CE4FC0" w:rsidP="00CE4FC0">
            <w:pPr>
              <w:jc w:val="right"/>
              <w:rPr>
                <w:rFonts w:ascii="Calibri" w:eastAsia="Times New Roman" w:hAnsi="Calibri" w:cs="Times New Roman"/>
                <w:sz w:val="20"/>
                <w:szCs w:val="20"/>
              </w:rPr>
            </w:pPr>
          </w:p>
        </w:tc>
        <w:tc>
          <w:tcPr>
            <w:tcW w:w="464" w:type="pct"/>
          </w:tcPr>
          <w:p w:rsidR="00CE4FC0" w:rsidRPr="00CE4FC0" w:rsidRDefault="00CE4FC0" w:rsidP="00CE4FC0">
            <w:pPr>
              <w:jc w:val="right"/>
              <w:rPr>
                <w:rFonts w:ascii="Calibri" w:eastAsia="Times New Roman" w:hAnsi="Calibri" w:cs="Times New Roman"/>
                <w:sz w:val="20"/>
                <w:szCs w:val="20"/>
              </w:rPr>
            </w:pPr>
          </w:p>
        </w:tc>
        <w:tc>
          <w:tcPr>
            <w:tcW w:w="398" w:type="pct"/>
          </w:tcPr>
          <w:p w:rsidR="00CE4FC0" w:rsidRPr="00CE4FC0" w:rsidRDefault="00CE4FC0" w:rsidP="00CE4FC0">
            <w:pPr>
              <w:jc w:val="right"/>
              <w:rPr>
                <w:rFonts w:ascii="Calibri" w:eastAsia="Times New Roman" w:hAnsi="Calibri" w:cs="Times New Roman"/>
                <w:sz w:val="20"/>
                <w:szCs w:val="20"/>
              </w:rPr>
            </w:pPr>
          </w:p>
        </w:tc>
        <w:tc>
          <w:tcPr>
            <w:tcW w:w="422" w:type="pct"/>
          </w:tcPr>
          <w:p w:rsidR="00CE4FC0" w:rsidRPr="00CE4FC0" w:rsidRDefault="00CE4FC0" w:rsidP="00CE4FC0">
            <w:pPr>
              <w:jc w:val="right"/>
              <w:rPr>
                <w:rFonts w:ascii="Calibri" w:eastAsia="Times New Roman" w:hAnsi="Calibri" w:cs="Times New Roman"/>
                <w:sz w:val="20"/>
                <w:szCs w:val="20"/>
              </w:rPr>
            </w:pPr>
          </w:p>
        </w:tc>
        <w:tc>
          <w:tcPr>
            <w:tcW w:w="420" w:type="pct"/>
          </w:tcPr>
          <w:p w:rsidR="00CE4FC0" w:rsidRPr="00CE4FC0" w:rsidRDefault="00CE4FC0" w:rsidP="00CE4FC0">
            <w:pPr>
              <w:jc w:val="right"/>
              <w:rPr>
                <w:rFonts w:ascii="Calibri" w:eastAsia="Times New Roman" w:hAnsi="Calibri" w:cs="Times New Roman"/>
                <w:sz w:val="20"/>
                <w:szCs w:val="20"/>
              </w:rPr>
            </w:pPr>
          </w:p>
        </w:tc>
        <w:tc>
          <w:tcPr>
            <w:tcW w:w="402" w:type="pct"/>
          </w:tcPr>
          <w:p w:rsidR="00CE4FC0" w:rsidRPr="00CE4FC0" w:rsidRDefault="00CE4FC0" w:rsidP="00CE4FC0">
            <w:pPr>
              <w:jc w:val="right"/>
              <w:rPr>
                <w:rFonts w:ascii="Calibri" w:eastAsia="Times New Roman" w:hAnsi="Calibri" w:cs="Times New Roman"/>
                <w:sz w:val="20"/>
                <w:szCs w:val="20"/>
              </w:rPr>
            </w:pPr>
          </w:p>
        </w:tc>
        <w:tc>
          <w:tcPr>
            <w:tcW w:w="590" w:type="pct"/>
          </w:tcPr>
          <w:p w:rsidR="00CE4FC0" w:rsidRPr="00CE4FC0" w:rsidRDefault="00CE4FC0" w:rsidP="00CE4FC0">
            <w:pPr>
              <w:jc w:val="right"/>
              <w:rPr>
                <w:rFonts w:ascii="Calibri" w:eastAsia="Times New Roman" w:hAnsi="Calibri" w:cs="Times New Roman"/>
                <w:sz w:val="20"/>
                <w:szCs w:val="20"/>
              </w:rPr>
            </w:pPr>
          </w:p>
        </w:tc>
        <w:tc>
          <w:tcPr>
            <w:tcW w:w="539" w:type="pct"/>
          </w:tcPr>
          <w:p w:rsidR="00CE4FC0" w:rsidRPr="00CE4FC0" w:rsidRDefault="00CE4FC0" w:rsidP="00CE4FC0">
            <w:pPr>
              <w:jc w:val="right"/>
              <w:rPr>
                <w:rFonts w:ascii="Calibri" w:eastAsia="Times New Roman" w:hAnsi="Calibri" w:cs="Times New Roman"/>
                <w:sz w:val="20"/>
                <w:szCs w:val="20"/>
              </w:rPr>
            </w:pPr>
          </w:p>
        </w:tc>
        <w:tc>
          <w:tcPr>
            <w:tcW w:w="369"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r>
      <w:tr w:rsidR="00CE4FC0" w:rsidRPr="00CE4FC0" w:rsidTr="00D60C0F">
        <w:tc>
          <w:tcPr>
            <w:tcW w:w="410"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Úbytky</w:t>
            </w:r>
          </w:p>
        </w:tc>
        <w:tc>
          <w:tcPr>
            <w:tcW w:w="493"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c>
          <w:tcPr>
            <w:tcW w:w="492" w:type="pct"/>
          </w:tcPr>
          <w:p w:rsidR="00CE4FC0" w:rsidRPr="00CE4FC0" w:rsidRDefault="00CE4FC0" w:rsidP="00CE4FC0">
            <w:pPr>
              <w:jc w:val="right"/>
              <w:rPr>
                <w:rFonts w:ascii="Calibri" w:eastAsia="Times New Roman" w:hAnsi="Calibri" w:cs="Times New Roman"/>
                <w:sz w:val="20"/>
                <w:szCs w:val="20"/>
              </w:rPr>
            </w:pPr>
          </w:p>
        </w:tc>
        <w:tc>
          <w:tcPr>
            <w:tcW w:w="464" w:type="pct"/>
          </w:tcPr>
          <w:p w:rsidR="00CE4FC0" w:rsidRPr="00CE4FC0" w:rsidRDefault="00CE4FC0" w:rsidP="00CE4FC0">
            <w:pPr>
              <w:jc w:val="right"/>
              <w:rPr>
                <w:rFonts w:ascii="Calibri" w:eastAsia="Times New Roman" w:hAnsi="Calibri" w:cs="Times New Roman"/>
                <w:sz w:val="20"/>
                <w:szCs w:val="20"/>
              </w:rPr>
            </w:pPr>
          </w:p>
        </w:tc>
        <w:tc>
          <w:tcPr>
            <w:tcW w:w="398" w:type="pct"/>
          </w:tcPr>
          <w:p w:rsidR="00CE4FC0" w:rsidRPr="00CE4FC0" w:rsidRDefault="00CE4FC0" w:rsidP="00CE4FC0">
            <w:pPr>
              <w:jc w:val="right"/>
              <w:rPr>
                <w:rFonts w:ascii="Calibri" w:eastAsia="Times New Roman" w:hAnsi="Calibri" w:cs="Times New Roman"/>
                <w:sz w:val="20"/>
                <w:szCs w:val="20"/>
              </w:rPr>
            </w:pPr>
          </w:p>
        </w:tc>
        <w:tc>
          <w:tcPr>
            <w:tcW w:w="422" w:type="pct"/>
          </w:tcPr>
          <w:p w:rsidR="00CE4FC0" w:rsidRPr="00CE4FC0" w:rsidRDefault="00CE4FC0" w:rsidP="00CE4FC0">
            <w:pPr>
              <w:jc w:val="right"/>
              <w:rPr>
                <w:rFonts w:ascii="Calibri" w:eastAsia="Times New Roman" w:hAnsi="Calibri" w:cs="Times New Roman"/>
                <w:sz w:val="20"/>
                <w:szCs w:val="20"/>
              </w:rPr>
            </w:pPr>
          </w:p>
        </w:tc>
        <w:tc>
          <w:tcPr>
            <w:tcW w:w="420" w:type="pct"/>
          </w:tcPr>
          <w:p w:rsidR="00CE4FC0" w:rsidRPr="00CE4FC0" w:rsidRDefault="00CE4FC0" w:rsidP="00CE4FC0">
            <w:pPr>
              <w:jc w:val="right"/>
              <w:rPr>
                <w:rFonts w:ascii="Calibri" w:eastAsia="Times New Roman" w:hAnsi="Calibri" w:cs="Times New Roman"/>
                <w:sz w:val="20"/>
                <w:szCs w:val="20"/>
              </w:rPr>
            </w:pPr>
          </w:p>
        </w:tc>
        <w:tc>
          <w:tcPr>
            <w:tcW w:w="402" w:type="pct"/>
          </w:tcPr>
          <w:p w:rsidR="00CE4FC0" w:rsidRPr="00CE4FC0" w:rsidRDefault="00CE4FC0" w:rsidP="00CE4FC0">
            <w:pPr>
              <w:jc w:val="right"/>
              <w:rPr>
                <w:rFonts w:ascii="Calibri" w:eastAsia="Times New Roman" w:hAnsi="Calibri" w:cs="Times New Roman"/>
                <w:sz w:val="20"/>
                <w:szCs w:val="20"/>
              </w:rPr>
            </w:pPr>
          </w:p>
        </w:tc>
        <w:tc>
          <w:tcPr>
            <w:tcW w:w="590" w:type="pct"/>
          </w:tcPr>
          <w:p w:rsidR="00CE4FC0" w:rsidRPr="00CE4FC0" w:rsidRDefault="00CE4FC0" w:rsidP="00CE4FC0">
            <w:pPr>
              <w:jc w:val="right"/>
              <w:rPr>
                <w:rFonts w:ascii="Calibri" w:eastAsia="Times New Roman" w:hAnsi="Calibri" w:cs="Times New Roman"/>
                <w:sz w:val="20"/>
                <w:szCs w:val="20"/>
              </w:rPr>
            </w:pPr>
          </w:p>
        </w:tc>
        <w:tc>
          <w:tcPr>
            <w:tcW w:w="539" w:type="pct"/>
          </w:tcPr>
          <w:p w:rsidR="00CE4FC0" w:rsidRPr="00CE4FC0" w:rsidRDefault="00CE4FC0" w:rsidP="00CE4FC0">
            <w:pPr>
              <w:jc w:val="right"/>
              <w:rPr>
                <w:rFonts w:ascii="Calibri" w:eastAsia="Times New Roman" w:hAnsi="Calibri" w:cs="Times New Roman"/>
                <w:sz w:val="20"/>
                <w:szCs w:val="20"/>
              </w:rPr>
            </w:pPr>
          </w:p>
        </w:tc>
        <w:tc>
          <w:tcPr>
            <w:tcW w:w="369"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r>
      <w:tr w:rsidR="00CE4FC0" w:rsidRPr="00CE4FC0" w:rsidTr="00D60C0F">
        <w:tc>
          <w:tcPr>
            <w:tcW w:w="410"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Presuny</w:t>
            </w:r>
          </w:p>
        </w:tc>
        <w:tc>
          <w:tcPr>
            <w:tcW w:w="493" w:type="pct"/>
          </w:tcPr>
          <w:p w:rsidR="00CE4FC0" w:rsidRPr="00CE4FC0" w:rsidRDefault="00CE4FC0" w:rsidP="00CE4FC0">
            <w:pPr>
              <w:jc w:val="right"/>
              <w:rPr>
                <w:rFonts w:ascii="Calibri" w:eastAsia="Times New Roman" w:hAnsi="Calibri" w:cs="Times New Roman"/>
                <w:sz w:val="20"/>
                <w:szCs w:val="20"/>
              </w:rPr>
            </w:pPr>
          </w:p>
        </w:tc>
        <w:tc>
          <w:tcPr>
            <w:tcW w:w="492" w:type="pct"/>
          </w:tcPr>
          <w:p w:rsidR="00CE4FC0" w:rsidRPr="00CE4FC0" w:rsidRDefault="00CE4FC0" w:rsidP="00CE4FC0">
            <w:pPr>
              <w:jc w:val="right"/>
              <w:rPr>
                <w:rFonts w:ascii="Calibri" w:eastAsia="Times New Roman" w:hAnsi="Calibri" w:cs="Times New Roman"/>
                <w:sz w:val="20"/>
                <w:szCs w:val="20"/>
              </w:rPr>
            </w:pPr>
          </w:p>
        </w:tc>
        <w:tc>
          <w:tcPr>
            <w:tcW w:w="464" w:type="pct"/>
          </w:tcPr>
          <w:p w:rsidR="00CE4FC0" w:rsidRPr="00CE4FC0" w:rsidRDefault="00CE4FC0" w:rsidP="00CE4FC0">
            <w:pPr>
              <w:jc w:val="right"/>
              <w:rPr>
                <w:rFonts w:ascii="Calibri" w:eastAsia="Times New Roman" w:hAnsi="Calibri" w:cs="Times New Roman"/>
                <w:sz w:val="20"/>
                <w:szCs w:val="20"/>
              </w:rPr>
            </w:pPr>
          </w:p>
        </w:tc>
        <w:tc>
          <w:tcPr>
            <w:tcW w:w="398" w:type="pct"/>
          </w:tcPr>
          <w:p w:rsidR="00CE4FC0" w:rsidRPr="00CE4FC0" w:rsidRDefault="00CE4FC0" w:rsidP="00CE4FC0">
            <w:pPr>
              <w:jc w:val="right"/>
              <w:rPr>
                <w:rFonts w:ascii="Calibri" w:eastAsia="Times New Roman" w:hAnsi="Calibri" w:cs="Times New Roman"/>
                <w:sz w:val="20"/>
                <w:szCs w:val="20"/>
              </w:rPr>
            </w:pPr>
          </w:p>
        </w:tc>
        <w:tc>
          <w:tcPr>
            <w:tcW w:w="422" w:type="pct"/>
          </w:tcPr>
          <w:p w:rsidR="00CE4FC0" w:rsidRPr="00CE4FC0" w:rsidRDefault="00CE4FC0" w:rsidP="00CE4FC0">
            <w:pPr>
              <w:jc w:val="right"/>
              <w:rPr>
                <w:rFonts w:ascii="Calibri" w:eastAsia="Times New Roman" w:hAnsi="Calibri" w:cs="Times New Roman"/>
                <w:sz w:val="20"/>
                <w:szCs w:val="20"/>
              </w:rPr>
            </w:pPr>
          </w:p>
        </w:tc>
        <w:tc>
          <w:tcPr>
            <w:tcW w:w="420" w:type="pct"/>
          </w:tcPr>
          <w:p w:rsidR="00CE4FC0" w:rsidRPr="00CE4FC0" w:rsidRDefault="00CE4FC0" w:rsidP="00CE4FC0">
            <w:pPr>
              <w:jc w:val="right"/>
              <w:rPr>
                <w:rFonts w:ascii="Calibri" w:eastAsia="Times New Roman" w:hAnsi="Calibri" w:cs="Times New Roman"/>
                <w:sz w:val="20"/>
                <w:szCs w:val="20"/>
              </w:rPr>
            </w:pPr>
          </w:p>
        </w:tc>
        <w:tc>
          <w:tcPr>
            <w:tcW w:w="402" w:type="pct"/>
          </w:tcPr>
          <w:p w:rsidR="00CE4FC0" w:rsidRPr="00CE4FC0" w:rsidRDefault="00CE4FC0" w:rsidP="00CE4FC0">
            <w:pPr>
              <w:jc w:val="right"/>
              <w:rPr>
                <w:rFonts w:ascii="Calibri" w:eastAsia="Times New Roman" w:hAnsi="Calibri" w:cs="Times New Roman"/>
                <w:sz w:val="20"/>
                <w:szCs w:val="20"/>
              </w:rPr>
            </w:pPr>
          </w:p>
        </w:tc>
        <w:tc>
          <w:tcPr>
            <w:tcW w:w="590" w:type="pct"/>
          </w:tcPr>
          <w:p w:rsidR="00CE4FC0" w:rsidRPr="00CE4FC0" w:rsidRDefault="00CE4FC0" w:rsidP="00CE4FC0">
            <w:pPr>
              <w:jc w:val="right"/>
              <w:rPr>
                <w:rFonts w:ascii="Calibri" w:eastAsia="Times New Roman" w:hAnsi="Calibri" w:cs="Times New Roman"/>
                <w:sz w:val="20"/>
                <w:szCs w:val="20"/>
              </w:rPr>
            </w:pPr>
          </w:p>
        </w:tc>
        <w:tc>
          <w:tcPr>
            <w:tcW w:w="539" w:type="pct"/>
          </w:tcPr>
          <w:p w:rsidR="00CE4FC0" w:rsidRPr="00CE4FC0" w:rsidRDefault="00CE4FC0" w:rsidP="00CE4FC0">
            <w:pPr>
              <w:jc w:val="right"/>
              <w:rPr>
                <w:rFonts w:ascii="Calibri" w:eastAsia="Times New Roman" w:hAnsi="Calibri" w:cs="Times New Roman"/>
                <w:sz w:val="20"/>
                <w:szCs w:val="20"/>
              </w:rPr>
            </w:pPr>
          </w:p>
        </w:tc>
        <w:tc>
          <w:tcPr>
            <w:tcW w:w="369"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410" w:type="pct"/>
          </w:tcPr>
          <w:p w:rsidR="00CE4FC0" w:rsidRPr="00CE4FC0" w:rsidRDefault="00CE4FC0" w:rsidP="00CE4FC0">
            <w:pPr>
              <w:rPr>
                <w:rFonts w:ascii="Calibri" w:eastAsia="Times New Roman" w:hAnsi="Calibri" w:cs="Times New Roman"/>
                <w:b/>
                <w:sz w:val="20"/>
                <w:szCs w:val="20"/>
              </w:rPr>
            </w:pPr>
            <w:r w:rsidRPr="00CE4FC0">
              <w:rPr>
                <w:rFonts w:ascii="Calibri" w:eastAsia="Times New Roman" w:hAnsi="Calibri" w:cs="Times New Roman"/>
                <w:b/>
                <w:sz w:val="20"/>
                <w:szCs w:val="20"/>
              </w:rPr>
              <w:t>Stav na konci účtovného obdobia</w:t>
            </w:r>
          </w:p>
        </w:tc>
        <w:tc>
          <w:tcPr>
            <w:tcW w:w="493"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492" w:type="pct"/>
          </w:tcPr>
          <w:p w:rsidR="00CE4FC0" w:rsidRPr="00CE4FC0" w:rsidRDefault="00CE4FC0" w:rsidP="00CE4FC0">
            <w:pPr>
              <w:jc w:val="right"/>
              <w:rPr>
                <w:rFonts w:ascii="Calibri" w:eastAsia="Times New Roman" w:hAnsi="Calibri" w:cs="Times New Roman"/>
                <w:b/>
                <w:sz w:val="20"/>
                <w:szCs w:val="20"/>
              </w:rPr>
            </w:pPr>
          </w:p>
        </w:tc>
        <w:tc>
          <w:tcPr>
            <w:tcW w:w="464" w:type="pct"/>
          </w:tcPr>
          <w:p w:rsidR="00CE4FC0" w:rsidRPr="00CE4FC0" w:rsidRDefault="00CE4FC0" w:rsidP="00CE4FC0">
            <w:pPr>
              <w:jc w:val="right"/>
              <w:rPr>
                <w:rFonts w:ascii="Calibri" w:eastAsia="Times New Roman" w:hAnsi="Calibri" w:cs="Times New Roman"/>
                <w:b/>
                <w:sz w:val="20"/>
                <w:szCs w:val="20"/>
              </w:rPr>
            </w:pPr>
          </w:p>
        </w:tc>
        <w:tc>
          <w:tcPr>
            <w:tcW w:w="398" w:type="pct"/>
          </w:tcPr>
          <w:p w:rsidR="00CE4FC0" w:rsidRPr="00CE4FC0" w:rsidRDefault="00CE4FC0" w:rsidP="00CE4FC0">
            <w:pPr>
              <w:jc w:val="right"/>
              <w:rPr>
                <w:rFonts w:ascii="Calibri" w:eastAsia="Times New Roman" w:hAnsi="Calibri" w:cs="Times New Roman"/>
                <w:b/>
                <w:sz w:val="20"/>
                <w:szCs w:val="20"/>
              </w:rPr>
            </w:pPr>
          </w:p>
        </w:tc>
        <w:tc>
          <w:tcPr>
            <w:tcW w:w="422" w:type="pct"/>
          </w:tcPr>
          <w:p w:rsidR="00CE4FC0" w:rsidRPr="00CE4FC0" w:rsidRDefault="00CE4FC0" w:rsidP="00CE4FC0">
            <w:pPr>
              <w:jc w:val="right"/>
              <w:rPr>
                <w:rFonts w:ascii="Calibri" w:eastAsia="Times New Roman" w:hAnsi="Calibri" w:cs="Times New Roman"/>
                <w:b/>
                <w:sz w:val="20"/>
                <w:szCs w:val="20"/>
              </w:rPr>
            </w:pPr>
          </w:p>
        </w:tc>
        <w:tc>
          <w:tcPr>
            <w:tcW w:w="420" w:type="pct"/>
          </w:tcPr>
          <w:p w:rsidR="00CE4FC0" w:rsidRPr="00CE4FC0" w:rsidRDefault="00CE4FC0" w:rsidP="00CE4FC0">
            <w:pPr>
              <w:jc w:val="right"/>
              <w:rPr>
                <w:rFonts w:ascii="Calibri" w:eastAsia="Times New Roman" w:hAnsi="Calibri" w:cs="Times New Roman"/>
                <w:b/>
                <w:sz w:val="20"/>
                <w:szCs w:val="20"/>
              </w:rPr>
            </w:pPr>
          </w:p>
        </w:tc>
        <w:tc>
          <w:tcPr>
            <w:tcW w:w="402" w:type="pct"/>
          </w:tcPr>
          <w:p w:rsidR="00CE4FC0" w:rsidRPr="00CE4FC0" w:rsidRDefault="00CE4FC0" w:rsidP="00CE4FC0">
            <w:pPr>
              <w:jc w:val="right"/>
              <w:rPr>
                <w:rFonts w:ascii="Calibri" w:eastAsia="Times New Roman" w:hAnsi="Calibri" w:cs="Times New Roman"/>
                <w:b/>
                <w:sz w:val="20"/>
                <w:szCs w:val="20"/>
              </w:rPr>
            </w:pPr>
          </w:p>
        </w:tc>
        <w:tc>
          <w:tcPr>
            <w:tcW w:w="590" w:type="pct"/>
          </w:tcPr>
          <w:p w:rsidR="00CE4FC0" w:rsidRPr="00CE4FC0" w:rsidRDefault="00CE4FC0" w:rsidP="00CE4FC0">
            <w:pPr>
              <w:jc w:val="right"/>
              <w:rPr>
                <w:rFonts w:ascii="Calibri" w:eastAsia="Times New Roman" w:hAnsi="Calibri" w:cs="Times New Roman"/>
                <w:b/>
                <w:sz w:val="20"/>
                <w:szCs w:val="20"/>
              </w:rPr>
            </w:pPr>
          </w:p>
        </w:tc>
        <w:tc>
          <w:tcPr>
            <w:tcW w:w="539" w:type="pct"/>
          </w:tcPr>
          <w:p w:rsidR="00CE4FC0" w:rsidRPr="00CE4FC0" w:rsidRDefault="00CE4FC0" w:rsidP="00CE4FC0">
            <w:pPr>
              <w:jc w:val="right"/>
              <w:rPr>
                <w:rFonts w:ascii="Calibri" w:eastAsia="Times New Roman" w:hAnsi="Calibri" w:cs="Times New Roman"/>
                <w:b/>
                <w:sz w:val="20"/>
                <w:szCs w:val="20"/>
              </w:rPr>
            </w:pPr>
          </w:p>
        </w:tc>
        <w:tc>
          <w:tcPr>
            <w:tcW w:w="369"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r>
      <w:tr w:rsidR="00CE4FC0" w:rsidRPr="00CE4FC0" w:rsidTr="00D60C0F">
        <w:tc>
          <w:tcPr>
            <w:tcW w:w="5000" w:type="pct"/>
            <w:gridSpan w:val="11"/>
            <w:shd w:val="clear" w:color="auto" w:fill="E6E6E6"/>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Opravné položky</w:t>
            </w:r>
          </w:p>
        </w:tc>
      </w:tr>
      <w:tr w:rsidR="00CE4FC0" w:rsidRPr="00CE4FC0" w:rsidTr="00D60C0F">
        <w:tc>
          <w:tcPr>
            <w:tcW w:w="410" w:type="pct"/>
          </w:tcPr>
          <w:p w:rsidR="00CE4FC0" w:rsidRPr="00CE4FC0" w:rsidRDefault="00CE4FC0" w:rsidP="00CE4FC0">
            <w:pPr>
              <w:rPr>
                <w:rFonts w:ascii="Calibri" w:eastAsia="Times New Roman" w:hAnsi="Calibri" w:cs="Times New Roman"/>
                <w:b/>
                <w:sz w:val="20"/>
                <w:szCs w:val="20"/>
              </w:rPr>
            </w:pPr>
            <w:r w:rsidRPr="00CE4FC0">
              <w:rPr>
                <w:rFonts w:ascii="Calibri" w:eastAsia="Times New Roman" w:hAnsi="Calibri" w:cs="Times New Roman"/>
                <w:b/>
                <w:sz w:val="20"/>
                <w:szCs w:val="20"/>
              </w:rPr>
              <w:t>Stav na začiatku účtovného obdobia</w:t>
            </w:r>
          </w:p>
        </w:tc>
        <w:tc>
          <w:tcPr>
            <w:tcW w:w="493" w:type="pct"/>
          </w:tcPr>
          <w:p w:rsidR="00CE4FC0" w:rsidRPr="00CE4FC0" w:rsidRDefault="00CE4FC0" w:rsidP="00CE4FC0">
            <w:pPr>
              <w:jc w:val="right"/>
              <w:rPr>
                <w:rFonts w:ascii="Calibri" w:eastAsia="Times New Roman" w:hAnsi="Calibri" w:cs="Times New Roman"/>
                <w:b/>
                <w:sz w:val="20"/>
                <w:szCs w:val="20"/>
              </w:rPr>
            </w:pPr>
          </w:p>
        </w:tc>
        <w:tc>
          <w:tcPr>
            <w:tcW w:w="492" w:type="pct"/>
          </w:tcPr>
          <w:p w:rsidR="00CE4FC0" w:rsidRPr="00CE4FC0" w:rsidRDefault="00CE4FC0" w:rsidP="00CE4FC0">
            <w:pPr>
              <w:jc w:val="right"/>
              <w:rPr>
                <w:rFonts w:ascii="Calibri" w:eastAsia="Times New Roman" w:hAnsi="Calibri" w:cs="Times New Roman"/>
                <w:b/>
                <w:sz w:val="20"/>
                <w:szCs w:val="20"/>
              </w:rPr>
            </w:pPr>
          </w:p>
        </w:tc>
        <w:tc>
          <w:tcPr>
            <w:tcW w:w="464" w:type="pct"/>
          </w:tcPr>
          <w:p w:rsidR="00CE4FC0" w:rsidRPr="00CE4FC0" w:rsidRDefault="00CE4FC0" w:rsidP="00CE4FC0">
            <w:pPr>
              <w:jc w:val="right"/>
              <w:rPr>
                <w:rFonts w:ascii="Calibri" w:eastAsia="Times New Roman" w:hAnsi="Calibri" w:cs="Times New Roman"/>
                <w:b/>
                <w:sz w:val="20"/>
                <w:szCs w:val="20"/>
              </w:rPr>
            </w:pPr>
          </w:p>
        </w:tc>
        <w:tc>
          <w:tcPr>
            <w:tcW w:w="398" w:type="pct"/>
          </w:tcPr>
          <w:p w:rsidR="00CE4FC0" w:rsidRPr="00CE4FC0" w:rsidRDefault="00CE4FC0" w:rsidP="00CE4FC0">
            <w:pPr>
              <w:jc w:val="right"/>
              <w:rPr>
                <w:rFonts w:ascii="Calibri" w:eastAsia="Times New Roman" w:hAnsi="Calibri" w:cs="Times New Roman"/>
                <w:b/>
                <w:sz w:val="20"/>
                <w:szCs w:val="20"/>
              </w:rPr>
            </w:pPr>
          </w:p>
        </w:tc>
        <w:tc>
          <w:tcPr>
            <w:tcW w:w="422" w:type="pct"/>
          </w:tcPr>
          <w:p w:rsidR="00CE4FC0" w:rsidRPr="00CE4FC0" w:rsidRDefault="00CE4FC0" w:rsidP="00CE4FC0">
            <w:pPr>
              <w:jc w:val="right"/>
              <w:rPr>
                <w:rFonts w:ascii="Calibri" w:eastAsia="Times New Roman" w:hAnsi="Calibri" w:cs="Times New Roman"/>
                <w:b/>
                <w:sz w:val="20"/>
                <w:szCs w:val="20"/>
              </w:rPr>
            </w:pPr>
          </w:p>
        </w:tc>
        <w:tc>
          <w:tcPr>
            <w:tcW w:w="420" w:type="pct"/>
          </w:tcPr>
          <w:p w:rsidR="00CE4FC0" w:rsidRPr="00CE4FC0" w:rsidRDefault="00CE4FC0" w:rsidP="00CE4FC0">
            <w:pPr>
              <w:jc w:val="right"/>
              <w:rPr>
                <w:rFonts w:ascii="Calibri" w:eastAsia="Times New Roman" w:hAnsi="Calibri" w:cs="Times New Roman"/>
                <w:b/>
                <w:sz w:val="20"/>
                <w:szCs w:val="20"/>
              </w:rPr>
            </w:pPr>
          </w:p>
        </w:tc>
        <w:tc>
          <w:tcPr>
            <w:tcW w:w="402" w:type="pct"/>
          </w:tcPr>
          <w:p w:rsidR="00CE4FC0" w:rsidRPr="00CE4FC0" w:rsidRDefault="00CE4FC0" w:rsidP="00CE4FC0">
            <w:pPr>
              <w:jc w:val="right"/>
              <w:rPr>
                <w:rFonts w:ascii="Calibri" w:eastAsia="Times New Roman" w:hAnsi="Calibri" w:cs="Times New Roman"/>
                <w:b/>
                <w:sz w:val="20"/>
                <w:szCs w:val="20"/>
              </w:rPr>
            </w:pPr>
          </w:p>
        </w:tc>
        <w:tc>
          <w:tcPr>
            <w:tcW w:w="590" w:type="pct"/>
          </w:tcPr>
          <w:p w:rsidR="00CE4FC0" w:rsidRPr="00CE4FC0" w:rsidRDefault="00CE4FC0" w:rsidP="00CE4FC0">
            <w:pPr>
              <w:jc w:val="right"/>
              <w:rPr>
                <w:rFonts w:ascii="Calibri" w:eastAsia="Times New Roman" w:hAnsi="Calibri" w:cs="Times New Roman"/>
                <w:b/>
                <w:sz w:val="20"/>
                <w:szCs w:val="20"/>
              </w:rPr>
            </w:pPr>
          </w:p>
        </w:tc>
        <w:tc>
          <w:tcPr>
            <w:tcW w:w="539" w:type="pct"/>
          </w:tcPr>
          <w:p w:rsidR="00CE4FC0" w:rsidRPr="00CE4FC0" w:rsidRDefault="00CE4FC0" w:rsidP="00CE4FC0">
            <w:pPr>
              <w:jc w:val="right"/>
              <w:rPr>
                <w:rFonts w:ascii="Calibri" w:eastAsia="Times New Roman" w:hAnsi="Calibri" w:cs="Times New Roman"/>
                <w:b/>
                <w:sz w:val="20"/>
                <w:szCs w:val="20"/>
              </w:rPr>
            </w:pPr>
          </w:p>
        </w:tc>
        <w:tc>
          <w:tcPr>
            <w:tcW w:w="369" w:type="pct"/>
          </w:tcPr>
          <w:p w:rsidR="00CE4FC0" w:rsidRPr="00CE4FC0" w:rsidRDefault="00CE4FC0" w:rsidP="00CE4FC0">
            <w:pPr>
              <w:jc w:val="right"/>
              <w:rPr>
                <w:rFonts w:ascii="Calibri" w:eastAsia="Times New Roman" w:hAnsi="Calibri" w:cs="Times New Roman"/>
                <w:b/>
                <w:sz w:val="20"/>
                <w:szCs w:val="20"/>
              </w:rPr>
            </w:pPr>
          </w:p>
        </w:tc>
      </w:tr>
      <w:tr w:rsidR="00CE4FC0" w:rsidRPr="00CE4FC0" w:rsidTr="00D60C0F">
        <w:tc>
          <w:tcPr>
            <w:tcW w:w="410"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Prírastky</w:t>
            </w:r>
          </w:p>
        </w:tc>
        <w:tc>
          <w:tcPr>
            <w:tcW w:w="493" w:type="pct"/>
          </w:tcPr>
          <w:p w:rsidR="00CE4FC0" w:rsidRPr="00CE4FC0" w:rsidRDefault="00CE4FC0" w:rsidP="00CE4FC0">
            <w:pPr>
              <w:jc w:val="right"/>
              <w:rPr>
                <w:rFonts w:ascii="Calibri" w:eastAsia="Times New Roman" w:hAnsi="Calibri" w:cs="Times New Roman"/>
                <w:sz w:val="20"/>
                <w:szCs w:val="20"/>
              </w:rPr>
            </w:pPr>
          </w:p>
        </w:tc>
        <w:tc>
          <w:tcPr>
            <w:tcW w:w="492" w:type="pct"/>
          </w:tcPr>
          <w:p w:rsidR="00CE4FC0" w:rsidRPr="00CE4FC0" w:rsidRDefault="00CE4FC0" w:rsidP="00CE4FC0">
            <w:pPr>
              <w:jc w:val="right"/>
              <w:rPr>
                <w:rFonts w:ascii="Calibri" w:eastAsia="Times New Roman" w:hAnsi="Calibri" w:cs="Times New Roman"/>
                <w:sz w:val="20"/>
                <w:szCs w:val="20"/>
              </w:rPr>
            </w:pPr>
          </w:p>
        </w:tc>
        <w:tc>
          <w:tcPr>
            <w:tcW w:w="464" w:type="pct"/>
          </w:tcPr>
          <w:p w:rsidR="00CE4FC0" w:rsidRPr="00CE4FC0" w:rsidRDefault="00CE4FC0" w:rsidP="00CE4FC0">
            <w:pPr>
              <w:jc w:val="right"/>
              <w:rPr>
                <w:rFonts w:ascii="Calibri" w:eastAsia="Times New Roman" w:hAnsi="Calibri" w:cs="Times New Roman"/>
                <w:sz w:val="20"/>
                <w:szCs w:val="20"/>
              </w:rPr>
            </w:pPr>
          </w:p>
        </w:tc>
        <w:tc>
          <w:tcPr>
            <w:tcW w:w="398" w:type="pct"/>
          </w:tcPr>
          <w:p w:rsidR="00CE4FC0" w:rsidRPr="00CE4FC0" w:rsidRDefault="00CE4FC0" w:rsidP="00CE4FC0">
            <w:pPr>
              <w:jc w:val="right"/>
              <w:rPr>
                <w:rFonts w:ascii="Calibri" w:eastAsia="Times New Roman" w:hAnsi="Calibri" w:cs="Times New Roman"/>
                <w:sz w:val="20"/>
                <w:szCs w:val="20"/>
              </w:rPr>
            </w:pPr>
          </w:p>
        </w:tc>
        <w:tc>
          <w:tcPr>
            <w:tcW w:w="422" w:type="pct"/>
          </w:tcPr>
          <w:p w:rsidR="00CE4FC0" w:rsidRPr="00CE4FC0" w:rsidRDefault="00CE4FC0" w:rsidP="00CE4FC0">
            <w:pPr>
              <w:jc w:val="right"/>
              <w:rPr>
                <w:rFonts w:ascii="Calibri" w:eastAsia="Times New Roman" w:hAnsi="Calibri" w:cs="Times New Roman"/>
                <w:sz w:val="20"/>
                <w:szCs w:val="20"/>
              </w:rPr>
            </w:pPr>
          </w:p>
        </w:tc>
        <w:tc>
          <w:tcPr>
            <w:tcW w:w="420" w:type="pct"/>
          </w:tcPr>
          <w:p w:rsidR="00CE4FC0" w:rsidRPr="00CE4FC0" w:rsidRDefault="00CE4FC0" w:rsidP="00CE4FC0">
            <w:pPr>
              <w:jc w:val="right"/>
              <w:rPr>
                <w:rFonts w:ascii="Calibri" w:eastAsia="Times New Roman" w:hAnsi="Calibri" w:cs="Times New Roman"/>
                <w:sz w:val="20"/>
                <w:szCs w:val="20"/>
              </w:rPr>
            </w:pPr>
          </w:p>
        </w:tc>
        <w:tc>
          <w:tcPr>
            <w:tcW w:w="402" w:type="pct"/>
          </w:tcPr>
          <w:p w:rsidR="00CE4FC0" w:rsidRPr="00CE4FC0" w:rsidRDefault="00CE4FC0" w:rsidP="00CE4FC0">
            <w:pPr>
              <w:jc w:val="right"/>
              <w:rPr>
                <w:rFonts w:ascii="Calibri" w:eastAsia="Times New Roman" w:hAnsi="Calibri" w:cs="Times New Roman"/>
                <w:sz w:val="20"/>
                <w:szCs w:val="20"/>
              </w:rPr>
            </w:pPr>
          </w:p>
        </w:tc>
        <w:tc>
          <w:tcPr>
            <w:tcW w:w="590" w:type="pct"/>
          </w:tcPr>
          <w:p w:rsidR="00CE4FC0" w:rsidRPr="00CE4FC0" w:rsidRDefault="00CE4FC0" w:rsidP="00CE4FC0">
            <w:pPr>
              <w:jc w:val="right"/>
              <w:rPr>
                <w:rFonts w:ascii="Calibri" w:eastAsia="Times New Roman" w:hAnsi="Calibri" w:cs="Times New Roman"/>
                <w:sz w:val="20"/>
                <w:szCs w:val="20"/>
              </w:rPr>
            </w:pPr>
          </w:p>
        </w:tc>
        <w:tc>
          <w:tcPr>
            <w:tcW w:w="539" w:type="pct"/>
          </w:tcPr>
          <w:p w:rsidR="00CE4FC0" w:rsidRPr="00CE4FC0" w:rsidRDefault="00CE4FC0" w:rsidP="00CE4FC0">
            <w:pPr>
              <w:jc w:val="right"/>
              <w:rPr>
                <w:rFonts w:ascii="Calibri" w:eastAsia="Times New Roman" w:hAnsi="Calibri" w:cs="Times New Roman"/>
                <w:sz w:val="20"/>
                <w:szCs w:val="20"/>
              </w:rPr>
            </w:pPr>
          </w:p>
        </w:tc>
        <w:tc>
          <w:tcPr>
            <w:tcW w:w="369"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410"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Úbytky</w:t>
            </w:r>
          </w:p>
        </w:tc>
        <w:tc>
          <w:tcPr>
            <w:tcW w:w="493" w:type="pct"/>
          </w:tcPr>
          <w:p w:rsidR="00CE4FC0" w:rsidRPr="00CE4FC0" w:rsidRDefault="00CE4FC0" w:rsidP="00CE4FC0">
            <w:pPr>
              <w:jc w:val="right"/>
              <w:rPr>
                <w:rFonts w:ascii="Calibri" w:eastAsia="Times New Roman" w:hAnsi="Calibri" w:cs="Times New Roman"/>
                <w:sz w:val="20"/>
                <w:szCs w:val="20"/>
              </w:rPr>
            </w:pPr>
          </w:p>
        </w:tc>
        <w:tc>
          <w:tcPr>
            <w:tcW w:w="492" w:type="pct"/>
          </w:tcPr>
          <w:p w:rsidR="00CE4FC0" w:rsidRPr="00CE4FC0" w:rsidRDefault="00CE4FC0" w:rsidP="00CE4FC0">
            <w:pPr>
              <w:jc w:val="right"/>
              <w:rPr>
                <w:rFonts w:ascii="Calibri" w:eastAsia="Times New Roman" w:hAnsi="Calibri" w:cs="Times New Roman"/>
                <w:sz w:val="20"/>
                <w:szCs w:val="20"/>
              </w:rPr>
            </w:pPr>
          </w:p>
        </w:tc>
        <w:tc>
          <w:tcPr>
            <w:tcW w:w="464" w:type="pct"/>
          </w:tcPr>
          <w:p w:rsidR="00CE4FC0" w:rsidRPr="00CE4FC0" w:rsidRDefault="00CE4FC0" w:rsidP="00CE4FC0">
            <w:pPr>
              <w:jc w:val="right"/>
              <w:rPr>
                <w:rFonts w:ascii="Calibri" w:eastAsia="Times New Roman" w:hAnsi="Calibri" w:cs="Times New Roman"/>
                <w:sz w:val="20"/>
                <w:szCs w:val="20"/>
              </w:rPr>
            </w:pPr>
          </w:p>
        </w:tc>
        <w:tc>
          <w:tcPr>
            <w:tcW w:w="398" w:type="pct"/>
          </w:tcPr>
          <w:p w:rsidR="00CE4FC0" w:rsidRPr="00CE4FC0" w:rsidRDefault="00CE4FC0" w:rsidP="00CE4FC0">
            <w:pPr>
              <w:jc w:val="right"/>
              <w:rPr>
                <w:rFonts w:ascii="Calibri" w:eastAsia="Times New Roman" w:hAnsi="Calibri" w:cs="Times New Roman"/>
                <w:sz w:val="20"/>
                <w:szCs w:val="20"/>
              </w:rPr>
            </w:pPr>
          </w:p>
        </w:tc>
        <w:tc>
          <w:tcPr>
            <w:tcW w:w="422" w:type="pct"/>
          </w:tcPr>
          <w:p w:rsidR="00CE4FC0" w:rsidRPr="00CE4FC0" w:rsidRDefault="00CE4FC0" w:rsidP="00CE4FC0">
            <w:pPr>
              <w:jc w:val="right"/>
              <w:rPr>
                <w:rFonts w:ascii="Calibri" w:eastAsia="Times New Roman" w:hAnsi="Calibri" w:cs="Times New Roman"/>
                <w:sz w:val="20"/>
                <w:szCs w:val="20"/>
              </w:rPr>
            </w:pPr>
          </w:p>
        </w:tc>
        <w:tc>
          <w:tcPr>
            <w:tcW w:w="420" w:type="pct"/>
          </w:tcPr>
          <w:p w:rsidR="00CE4FC0" w:rsidRPr="00CE4FC0" w:rsidRDefault="00CE4FC0" w:rsidP="00CE4FC0">
            <w:pPr>
              <w:jc w:val="right"/>
              <w:rPr>
                <w:rFonts w:ascii="Calibri" w:eastAsia="Times New Roman" w:hAnsi="Calibri" w:cs="Times New Roman"/>
                <w:sz w:val="20"/>
                <w:szCs w:val="20"/>
              </w:rPr>
            </w:pPr>
          </w:p>
        </w:tc>
        <w:tc>
          <w:tcPr>
            <w:tcW w:w="402" w:type="pct"/>
          </w:tcPr>
          <w:p w:rsidR="00CE4FC0" w:rsidRPr="00CE4FC0" w:rsidRDefault="00CE4FC0" w:rsidP="00CE4FC0">
            <w:pPr>
              <w:jc w:val="right"/>
              <w:rPr>
                <w:rFonts w:ascii="Calibri" w:eastAsia="Times New Roman" w:hAnsi="Calibri" w:cs="Times New Roman"/>
                <w:sz w:val="20"/>
                <w:szCs w:val="20"/>
              </w:rPr>
            </w:pPr>
          </w:p>
        </w:tc>
        <w:tc>
          <w:tcPr>
            <w:tcW w:w="590" w:type="pct"/>
          </w:tcPr>
          <w:p w:rsidR="00CE4FC0" w:rsidRPr="00CE4FC0" w:rsidRDefault="00CE4FC0" w:rsidP="00CE4FC0">
            <w:pPr>
              <w:jc w:val="right"/>
              <w:rPr>
                <w:rFonts w:ascii="Calibri" w:eastAsia="Times New Roman" w:hAnsi="Calibri" w:cs="Times New Roman"/>
                <w:sz w:val="20"/>
                <w:szCs w:val="20"/>
              </w:rPr>
            </w:pPr>
          </w:p>
        </w:tc>
        <w:tc>
          <w:tcPr>
            <w:tcW w:w="539" w:type="pct"/>
          </w:tcPr>
          <w:p w:rsidR="00CE4FC0" w:rsidRPr="00CE4FC0" w:rsidRDefault="00CE4FC0" w:rsidP="00CE4FC0">
            <w:pPr>
              <w:jc w:val="right"/>
              <w:rPr>
                <w:rFonts w:ascii="Calibri" w:eastAsia="Times New Roman" w:hAnsi="Calibri" w:cs="Times New Roman"/>
                <w:sz w:val="20"/>
                <w:szCs w:val="20"/>
              </w:rPr>
            </w:pPr>
          </w:p>
        </w:tc>
        <w:tc>
          <w:tcPr>
            <w:tcW w:w="369"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410"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Presuny</w:t>
            </w:r>
          </w:p>
        </w:tc>
        <w:tc>
          <w:tcPr>
            <w:tcW w:w="493" w:type="pct"/>
          </w:tcPr>
          <w:p w:rsidR="00CE4FC0" w:rsidRPr="00CE4FC0" w:rsidRDefault="00CE4FC0" w:rsidP="00CE4FC0">
            <w:pPr>
              <w:jc w:val="right"/>
              <w:rPr>
                <w:rFonts w:ascii="Calibri" w:eastAsia="Times New Roman" w:hAnsi="Calibri" w:cs="Times New Roman"/>
                <w:sz w:val="20"/>
                <w:szCs w:val="20"/>
              </w:rPr>
            </w:pPr>
          </w:p>
        </w:tc>
        <w:tc>
          <w:tcPr>
            <w:tcW w:w="492" w:type="pct"/>
          </w:tcPr>
          <w:p w:rsidR="00CE4FC0" w:rsidRPr="00CE4FC0" w:rsidRDefault="00CE4FC0" w:rsidP="00CE4FC0">
            <w:pPr>
              <w:jc w:val="right"/>
              <w:rPr>
                <w:rFonts w:ascii="Calibri" w:eastAsia="Times New Roman" w:hAnsi="Calibri" w:cs="Times New Roman"/>
                <w:sz w:val="20"/>
                <w:szCs w:val="20"/>
              </w:rPr>
            </w:pPr>
          </w:p>
        </w:tc>
        <w:tc>
          <w:tcPr>
            <w:tcW w:w="464" w:type="pct"/>
          </w:tcPr>
          <w:p w:rsidR="00CE4FC0" w:rsidRPr="00CE4FC0" w:rsidRDefault="00CE4FC0" w:rsidP="00CE4FC0">
            <w:pPr>
              <w:jc w:val="right"/>
              <w:rPr>
                <w:rFonts w:ascii="Calibri" w:eastAsia="Times New Roman" w:hAnsi="Calibri" w:cs="Times New Roman"/>
                <w:sz w:val="20"/>
                <w:szCs w:val="20"/>
              </w:rPr>
            </w:pPr>
          </w:p>
        </w:tc>
        <w:tc>
          <w:tcPr>
            <w:tcW w:w="398" w:type="pct"/>
          </w:tcPr>
          <w:p w:rsidR="00CE4FC0" w:rsidRPr="00CE4FC0" w:rsidRDefault="00CE4FC0" w:rsidP="00CE4FC0">
            <w:pPr>
              <w:jc w:val="right"/>
              <w:rPr>
                <w:rFonts w:ascii="Calibri" w:eastAsia="Times New Roman" w:hAnsi="Calibri" w:cs="Times New Roman"/>
                <w:sz w:val="20"/>
                <w:szCs w:val="20"/>
              </w:rPr>
            </w:pPr>
          </w:p>
        </w:tc>
        <w:tc>
          <w:tcPr>
            <w:tcW w:w="422" w:type="pct"/>
          </w:tcPr>
          <w:p w:rsidR="00CE4FC0" w:rsidRPr="00CE4FC0" w:rsidRDefault="00CE4FC0" w:rsidP="00CE4FC0">
            <w:pPr>
              <w:jc w:val="right"/>
              <w:rPr>
                <w:rFonts w:ascii="Calibri" w:eastAsia="Times New Roman" w:hAnsi="Calibri" w:cs="Times New Roman"/>
                <w:sz w:val="20"/>
                <w:szCs w:val="20"/>
              </w:rPr>
            </w:pPr>
          </w:p>
        </w:tc>
        <w:tc>
          <w:tcPr>
            <w:tcW w:w="420" w:type="pct"/>
          </w:tcPr>
          <w:p w:rsidR="00CE4FC0" w:rsidRPr="00CE4FC0" w:rsidRDefault="00CE4FC0" w:rsidP="00CE4FC0">
            <w:pPr>
              <w:jc w:val="right"/>
              <w:rPr>
                <w:rFonts w:ascii="Calibri" w:eastAsia="Times New Roman" w:hAnsi="Calibri" w:cs="Times New Roman"/>
                <w:sz w:val="20"/>
                <w:szCs w:val="20"/>
              </w:rPr>
            </w:pPr>
          </w:p>
        </w:tc>
        <w:tc>
          <w:tcPr>
            <w:tcW w:w="402" w:type="pct"/>
          </w:tcPr>
          <w:p w:rsidR="00CE4FC0" w:rsidRPr="00CE4FC0" w:rsidRDefault="00CE4FC0" w:rsidP="00CE4FC0">
            <w:pPr>
              <w:jc w:val="right"/>
              <w:rPr>
                <w:rFonts w:ascii="Calibri" w:eastAsia="Times New Roman" w:hAnsi="Calibri" w:cs="Times New Roman"/>
                <w:sz w:val="20"/>
                <w:szCs w:val="20"/>
              </w:rPr>
            </w:pPr>
          </w:p>
        </w:tc>
        <w:tc>
          <w:tcPr>
            <w:tcW w:w="590" w:type="pct"/>
          </w:tcPr>
          <w:p w:rsidR="00CE4FC0" w:rsidRPr="00CE4FC0" w:rsidRDefault="00CE4FC0" w:rsidP="00CE4FC0">
            <w:pPr>
              <w:jc w:val="right"/>
              <w:rPr>
                <w:rFonts w:ascii="Calibri" w:eastAsia="Times New Roman" w:hAnsi="Calibri" w:cs="Times New Roman"/>
                <w:sz w:val="20"/>
                <w:szCs w:val="20"/>
              </w:rPr>
            </w:pPr>
          </w:p>
        </w:tc>
        <w:tc>
          <w:tcPr>
            <w:tcW w:w="539" w:type="pct"/>
          </w:tcPr>
          <w:p w:rsidR="00CE4FC0" w:rsidRPr="00CE4FC0" w:rsidRDefault="00CE4FC0" w:rsidP="00CE4FC0">
            <w:pPr>
              <w:jc w:val="right"/>
              <w:rPr>
                <w:rFonts w:ascii="Calibri" w:eastAsia="Times New Roman" w:hAnsi="Calibri" w:cs="Times New Roman"/>
                <w:sz w:val="20"/>
                <w:szCs w:val="20"/>
              </w:rPr>
            </w:pPr>
          </w:p>
        </w:tc>
        <w:tc>
          <w:tcPr>
            <w:tcW w:w="369"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410" w:type="pct"/>
          </w:tcPr>
          <w:p w:rsidR="00CE4FC0" w:rsidRPr="00CE4FC0" w:rsidRDefault="00CE4FC0" w:rsidP="00CE4FC0">
            <w:pPr>
              <w:rPr>
                <w:rFonts w:ascii="Calibri" w:eastAsia="Times New Roman" w:hAnsi="Calibri" w:cs="Times New Roman"/>
                <w:b/>
                <w:sz w:val="20"/>
                <w:szCs w:val="20"/>
              </w:rPr>
            </w:pPr>
            <w:r w:rsidRPr="00CE4FC0">
              <w:rPr>
                <w:rFonts w:ascii="Calibri" w:eastAsia="Times New Roman" w:hAnsi="Calibri" w:cs="Times New Roman"/>
                <w:b/>
                <w:sz w:val="20"/>
                <w:szCs w:val="20"/>
              </w:rPr>
              <w:t xml:space="preserve">Stav na </w:t>
            </w:r>
            <w:r w:rsidRPr="00CE4FC0">
              <w:rPr>
                <w:rFonts w:ascii="Calibri" w:eastAsia="Times New Roman" w:hAnsi="Calibri" w:cs="Times New Roman"/>
                <w:b/>
                <w:sz w:val="20"/>
                <w:szCs w:val="20"/>
              </w:rPr>
              <w:lastRenderedPageBreak/>
              <w:t>konci účtovného obdobia</w:t>
            </w:r>
          </w:p>
        </w:tc>
        <w:tc>
          <w:tcPr>
            <w:tcW w:w="493" w:type="pct"/>
          </w:tcPr>
          <w:p w:rsidR="00CE4FC0" w:rsidRPr="00CE4FC0" w:rsidRDefault="00CE4FC0" w:rsidP="00CE4FC0">
            <w:pPr>
              <w:jc w:val="right"/>
              <w:rPr>
                <w:rFonts w:ascii="Calibri" w:eastAsia="Times New Roman" w:hAnsi="Calibri" w:cs="Times New Roman"/>
                <w:b/>
                <w:sz w:val="20"/>
                <w:szCs w:val="20"/>
              </w:rPr>
            </w:pPr>
          </w:p>
        </w:tc>
        <w:tc>
          <w:tcPr>
            <w:tcW w:w="492" w:type="pct"/>
          </w:tcPr>
          <w:p w:rsidR="00CE4FC0" w:rsidRPr="00CE4FC0" w:rsidRDefault="00CE4FC0" w:rsidP="00CE4FC0">
            <w:pPr>
              <w:jc w:val="right"/>
              <w:rPr>
                <w:rFonts w:ascii="Calibri" w:eastAsia="Times New Roman" w:hAnsi="Calibri" w:cs="Times New Roman"/>
                <w:b/>
                <w:sz w:val="20"/>
                <w:szCs w:val="20"/>
              </w:rPr>
            </w:pPr>
          </w:p>
        </w:tc>
        <w:tc>
          <w:tcPr>
            <w:tcW w:w="464" w:type="pct"/>
          </w:tcPr>
          <w:p w:rsidR="00CE4FC0" w:rsidRPr="00CE4FC0" w:rsidRDefault="00CE4FC0" w:rsidP="00CE4FC0">
            <w:pPr>
              <w:jc w:val="right"/>
              <w:rPr>
                <w:rFonts w:ascii="Calibri" w:eastAsia="Times New Roman" w:hAnsi="Calibri" w:cs="Times New Roman"/>
                <w:b/>
                <w:sz w:val="20"/>
                <w:szCs w:val="20"/>
              </w:rPr>
            </w:pPr>
          </w:p>
        </w:tc>
        <w:tc>
          <w:tcPr>
            <w:tcW w:w="398" w:type="pct"/>
          </w:tcPr>
          <w:p w:rsidR="00CE4FC0" w:rsidRPr="00CE4FC0" w:rsidRDefault="00CE4FC0" w:rsidP="00CE4FC0">
            <w:pPr>
              <w:jc w:val="right"/>
              <w:rPr>
                <w:rFonts w:ascii="Calibri" w:eastAsia="Times New Roman" w:hAnsi="Calibri" w:cs="Times New Roman"/>
                <w:b/>
                <w:sz w:val="20"/>
                <w:szCs w:val="20"/>
              </w:rPr>
            </w:pPr>
          </w:p>
        </w:tc>
        <w:tc>
          <w:tcPr>
            <w:tcW w:w="422" w:type="pct"/>
          </w:tcPr>
          <w:p w:rsidR="00CE4FC0" w:rsidRPr="00CE4FC0" w:rsidRDefault="00CE4FC0" w:rsidP="00CE4FC0">
            <w:pPr>
              <w:jc w:val="right"/>
              <w:rPr>
                <w:rFonts w:ascii="Calibri" w:eastAsia="Times New Roman" w:hAnsi="Calibri" w:cs="Times New Roman"/>
                <w:b/>
                <w:sz w:val="20"/>
                <w:szCs w:val="20"/>
              </w:rPr>
            </w:pPr>
          </w:p>
        </w:tc>
        <w:tc>
          <w:tcPr>
            <w:tcW w:w="420" w:type="pct"/>
          </w:tcPr>
          <w:p w:rsidR="00CE4FC0" w:rsidRPr="00CE4FC0" w:rsidRDefault="00CE4FC0" w:rsidP="00CE4FC0">
            <w:pPr>
              <w:jc w:val="right"/>
              <w:rPr>
                <w:rFonts w:ascii="Calibri" w:eastAsia="Times New Roman" w:hAnsi="Calibri" w:cs="Times New Roman"/>
                <w:b/>
                <w:sz w:val="20"/>
                <w:szCs w:val="20"/>
              </w:rPr>
            </w:pPr>
          </w:p>
        </w:tc>
        <w:tc>
          <w:tcPr>
            <w:tcW w:w="402" w:type="pct"/>
          </w:tcPr>
          <w:p w:rsidR="00CE4FC0" w:rsidRPr="00CE4FC0" w:rsidRDefault="00CE4FC0" w:rsidP="00CE4FC0">
            <w:pPr>
              <w:jc w:val="right"/>
              <w:rPr>
                <w:rFonts w:ascii="Calibri" w:eastAsia="Times New Roman" w:hAnsi="Calibri" w:cs="Times New Roman"/>
                <w:b/>
                <w:sz w:val="20"/>
                <w:szCs w:val="20"/>
              </w:rPr>
            </w:pPr>
          </w:p>
        </w:tc>
        <w:tc>
          <w:tcPr>
            <w:tcW w:w="590" w:type="pct"/>
          </w:tcPr>
          <w:p w:rsidR="00CE4FC0" w:rsidRPr="00CE4FC0" w:rsidRDefault="00CE4FC0" w:rsidP="00CE4FC0">
            <w:pPr>
              <w:jc w:val="right"/>
              <w:rPr>
                <w:rFonts w:ascii="Calibri" w:eastAsia="Times New Roman" w:hAnsi="Calibri" w:cs="Times New Roman"/>
                <w:b/>
                <w:sz w:val="20"/>
                <w:szCs w:val="20"/>
              </w:rPr>
            </w:pPr>
          </w:p>
        </w:tc>
        <w:tc>
          <w:tcPr>
            <w:tcW w:w="539" w:type="pct"/>
          </w:tcPr>
          <w:p w:rsidR="00CE4FC0" w:rsidRPr="00CE4FC0" w:rsidRDefault="00CE4FC0" w:rsidP="00CE4FC0">
            <w:pPr>
              <w:jc w:val="right"/>
              <w:rPr>
                <w:rFonts w:ascii="Calibri" w:eastAsia="Times New Roman" w:hAnsi="Calibri" w:cs="Times New Roman"/>
                <w:b/>
                <w:sz w:val="20"/>
                <w:szCs w:val="20"/>
              </w:rPr>
            </w:pPr>
          </w:p>
        </w:tc>
        <w:tc>
          <w:tcPr>
            <w:tcW w:w="369" w:type="pct"/>
          </w:tcPr>
          <w:p w:rsidR="00CE4FC0" w:rsidRPr="00CE4FC0" w:rsidRDefault="00CE4FC0" w:rsidP="00CE4FC0">
            <w:pPr>
              <w:jc w:val="right"/>
              <w:rPr>
                <w:rFonts w:ascii="Calibri" w:eastAsia="Times New Roman" w:hAnsi="Calibri" w:cs="Times New Roman"/>
                <w:b/>
                <w:sz w:val="20"/>
                <w:szCs w:val="20"/>
              </w:rPr>
            </w:pPr>
          </w:p>
        </w:tc>
      </w:tr>
      <w:tr w:rsidR="00CE4FC0" w:rsidRPr="00CE4FC0" w:rsidTr="00D60C0F">
        <w:tc>
          <w:tcPr>
            <w:tcW w:w="5000" w:type="pct"/>
            <w:gridSpan w:val="11"/>
            <w:shd w:val="clear" w:color="auto" w:fill="E6E6E6"/>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lastRenderedPageBreak/>
              <w:t>Účtovná hodnota</w:t>
            </w:r>
          </w:p>
        </w:tc>
      </w:tr>
      <w:tr w:rsidR="00CE4FC0" w:rsidRPr="00CE4FC0" w:rsidTr="00D60C0F">
        <w:tc>
          <w:tcPr>
            <w:tcW w:w="410" w:type="pct"/>
          </w:tcPr>
          <w:p w:rsidR="00CE4FC0" w:rsidRPr="00CE4FC0" w:rsidRDefault="00CE4FC0" w:rsidP="00CE4FC0">
            <w:pPr>
              <w:rPr>
                <w:rFonts w:ascii="Calibri" w:eastAsia="Times New Roman" w:hAnsi="Calibri" w:cs="Times New Roman"/>
                <w:b/>
                <w:sz w:val="20"/>
                <w:szCs w:val="20"/>
              </w:rPr>
            </w:pPr>
            <w:r w:rsidRPr="00CE4FC0">
              <w:rPr>
                <w:rFonts w:ascii="Calibri" w:eastAsia="Times New Roman" w:hAnsi="Calibri" w:cs="Times New Roman"/>
                <w:b/>
                <w:sz w:val="20"/>
                <w:szCs w:val="20"/>
              </w:rPr>
              <w:t>Stav na začiatku účtovného obdobia</w:t>
            </w:r>
          </w:p>
        </w:tc>
        <w:tc>
          <w:tcPr>
            <w:tcW w:w="493"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492" w:type="pct"/>
          </w:tcPr>
          <w:p w:rsidR="00CE4FC0" w:rsidRPr="00CE4FC0" w:rsidRDefault="00CE4FC0" w:rsidP="00CE4FC0">
            <w:pPr>
              <w:jc w:val="right"/>
              <w:rPr>
                <w:rFonts w:ascii="Calibri" w:eastAsia="Times New Roman" w:hAnsi="Calibri" w:cs="Times New Roman"/>
                <w:b/>
                <w:sz w:val="20"/>
                <w:szCs w:val="20"/>
              </w:rPr>
            </w:pPr>
          </w:p>
        </w:tc>
        <w:tc>
          <w:tcPr>
            <w:tcW w:w="464" w:type="pct"/>
          </w:tcPr>
          <w:p w:rsidR="00CE4FC0" w:rsidRPr="00CE4FC0" w:rsidRDefault="00CE4FC0" w:rsidP="00CE4FC0">
            <w:pPr>
              <w:jc w:val="right"/>
              <w:rPr>
                <w:rFonts w:ascii="Calibri" w:eastAsia="Times New Roman" w:hAnsi="Calibri" w:cs="Times New Roman"/>
                <w:b/>
                <w:sz w:val="20"/>
                <w:szCs w:val="20"/>
              </w:rPr>
            </w:pPr>
          </w:p>
        </w:tc>
        <w:tc>
          <w:tcPr>
            <w:tcW w:w="398" w:type="pct"/>
          </w:tcPr>
          <w:p w:rsidR="00CE4FC0" w:rsidRPr="00CE4FC0" w:rsidRDefault="00CE4FC0" w:rsidP="00CE4FC0">
            <w:pPr>
              <w:jc w:val="right"/>
              <w:rPr>
                <w:rFonts w:ascii="Calibri" w:eastAsia="Times New Roman" w:hAnsi="Calibri" w:cs="Times New Roman"/>
                <w:b/>
                <w:sz w:val="20"/>
                <w:szCs w:val="20"/>
              </w:rPr>
            </w:pPr>
          </w:p>
        </w:tc>
        <w:tc>
          <w:tcPr>
            <w:tcW w:w="422" w:type="pct"/>
          </w:tcPr>
          <w:p w:rsidR="00CE4FC0" w:rsidRPr="00CE4FC0" w:rsidRDefault="00CE4FC0" w:rsidP="00CE4FC0">
            <w:pPr>
              <w:jc w:val="right"/>
              <w:rPr>
                <w:rFonts w:ascii="Calibri" w:eastAsia="Times New Roman" w:hAnsi="Calibri" w:cs="Times New Roman"/>
                <w:b/>
                <w:sz w:val="20"/>
                <w:szCs w:val="20"/>
              </w:rPr>
            </w:pPr>
          </w:p>
        </w:tc>
        <w:tc>
          <w:tcPr>
            <w:tcW w:w="420" w:type="pct"/>
          </w:tcPr>
          <w:p w:rsidR="00CE4FC0" w:rsidRPr="00CE4FC0" w:rsidRDefault="00CE4FC0" w:rsidP="00CE4FC0">
            <w:pPr>
              <w:jc w:val="right"/>
              <w:rPr>
                <w:rFonts w:ascii="Calibri" w:eastAsia="Times New Roman" w:hAnsi="Calibri" w:cs="Times New Roman"/>
                <w:b/>
                <w:sz w:val="20"/>
                <w:szCs w:val="20"/>
              </w:rPr>
            </w:pPr>
          </w:p>
        </w:tc>
        <w:tc>
          <w:tcPr>
            <w:tcW w:w="402" w:type="pct"/>
          </w:tcPr>
          <w:p w:rsidR="00CE4FC0" w:rsidRPr="00CE4FC0" w:rsidRDefault="00CE4FC0" w:rsidP="00CE4FC0">
            <w:pPr>
              <w:jc w:val="right"/>
              <w:rPr>
                <w:rFonts w:ascii="Calibri" w:eastAsia="Times New Roman" w:hAnsi="Calibri" w:cs="Times New Roman"/>
                <w:b/>
                <w:sz w:val="20"/>
                <w:szCs w:val="20"/>
              </w:rPr>
            </w:pPr>
          </w:p>
        </w:tc>
        <w:tc>
          <w:tcPr>
            <w:tcW w:w="590" w:type="pct"/>
          </w:tcPr>
          <w:p w:rsidR="00CE4FC0" w:rsidRPr="00CE4FC0" w:rsidRDefault="00CE4FC0" w:rsidP="00CE4FC0">
            <w:pPr>
              <w:jc w:val="right"/>
              <w:rPr>
                <w:rFonts w:ascii="Calibri" w:eastAsia="Times New Roman" w:hAnsi="Calibri" w:cs="Times New Roman"/>
                <w:b/>
                <w:sz w:val="20"/>
                <w:szCs w:val="20"/>
              </w:rPr>
            </w:pPr>
          </w:p>
        </w:tc>
        <w:tc>
          <w:tcPr>
            <w:tcW w:w="539" w:type="pct"/>
          </w:tcPr>
          <w:p w:rsidR="00CE4FC0" w:rsidRPr="00CE4FC0" w:rsidRDefault="00CE4FC0" w:rsidP="00CE4FC0">
            <w:pPr>
              <w:jc w:val="right"/>
              <w:rPr>
                <w:rFonts w:ascii="Calibri" w:eastAsia="Times New Roman" w:hAnsi="Calibri" w:cs="Times New Roman"/>
                <w:b/>
                <w:sz w:val="20"/>
                <w:szCs w:val="20"/>
              </w:rPr>
            </w:pPr>
          </w:p>
        </w:tc>
        <w:tc>
          <w:tcPr>
            <w:tcW w:w="369"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r>
      <w:tr w:rsidR="00CE4FC0" w:rsidRPr="00CE4FC0" w:rsidTr="00D60C0F">
        <w:tc>
          <w:tcPr>
            <w:tcW w:w="410" w:type="pct"/>
          </w:tcPr>
          <w:p w:rsidR="00CE4FC0" w:rsidRPr="00CE4FC0" w:rsidRDefault="00CE4FC0" w:rsidP="00CE4FC0">
            <w:pPr>
              <w:rPr>
                <w:rFonts w:ascii="Calibri" w:eastAsia="Times New Roman" w:hAnsi="Calibri" w:cs="Times New Roman"/>
                <w:b/>
                <w:sz w:val="20"/>
                <w:szCs w:val="20"/>
              </w:rPr>
            </w:pPr>
            <w:r w:rsidRPr="00CE4FC0">
              <w:rPr>
                <w:rFonts w:ascii="Calibri" w:eastAsia="Times New Roman" w:hAnsi="Calibri" w:cs="Times New Roman"/>
                <w:b/>
                <w:sz w:val="20"/>
                <w:szCs w:val="20"/>
              </w:rPr>
              <w:t>Stav na konci účtovného obdobia</w:t>
            </w:r>
          </w:p>
        </w:tc>
        <w:tc>
          <w:tcPr>
            <w:tcW w:w="493"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492" w:type="pct"/>
          </w:tcPr>
          <w:p w:rsidR="00CE4FC0" w:rsidRPr="00CE4FC0" w:rsidRDefault="00CE4FC0" w:rsidP="00CE4FC0">
            <w:pPr>
              <w:jc w:val="right"/>
              <w:rPr>
                <w:rFonts w:ascii="Calibri" w:eastAsia="Times New Roman" w:hAnsi="Calibri" w:cs="Times New Roman"/>
                <w:b/>
                <w:sz w:val="20"/>
                <w:szCs w:val="20"/>
              </w:rPr>
            </w:pPr>
          </w:p>
        </w:tc>
        <w:tc>
          <w:tcPr>
            <w:tcW w:w="464" w:type="pct"/>
          </w:tcPr>
          <w:p w:rsidR="00CE4FC0" w:rsidRPr="00CE4FC0" w:rsidRDefault="00CE4FC0" w:rsidP="00CE4FC0">
            <w:pPr>
              <w:jc w:val="right"/>
              <w:rPr>
                <w:rFonts w:ascii="Calibri" w:eastAsia="Times New Roman" w:hAnsi="Calibri" w:cs="Times New Roman"/>
                <w:b/>
                <w:sz w:val="20"/>
                <w:szCs w:val="20"/>
              </w:rPr>
            </w:pPr>
          </w:p>
        </w:tc>
        <w:tc>
          <w:tcPr>
            <w:tcW w:w="398" w:type="pct"/>
          </w:tcPr>
          <w:p w:rsidR="00CE4FC0" w:rsidRPr="00CE4FC0" w:rsidRDefault="00CE4FC0" w:rsidP="00CE4FC0">
            <w:pPr>
              <w:jc w:val="right"/>
              <w:rPr>
                <w:rFonts w:ascii="Calibri" w:eastAsia="Times New Roman" w:hAnsi="Calibri" w:cs="Times New Roman"/>
                <w:b/>
                <w:sz w:val="20"/>
                <w:szCs w:val="20"/>
              </w:rPr>
            </w:pPr>
          </w:p>
        </w:tc>
        <w:tc>
          <w:tcPr>
            <w:tcW w:w="422" w:type="pct"/>
          </w:tcPr>
          <w:p w:rsidR="00CE4FC0" w:rsidRPr="00CE4FC0" w:rsidRDefault="00CE4FC0" w:rsidP="00CE4FC0">
            <w:pPr>
              <w:jc w:val="right"/>
              <w:rPr>
                <w:rFonts w:ascii="Calibri" w:eastAsia="Times New Roman" w:hAnsi="Calibri" w:cs="Times New Roman"/>
                <w:b/>
                <w:sz w:val="20"/>
                <w:szCs w:val="20"/>
              </w:rPr>
            </w:pPr>
          </w:p>
        </w:tc>
        <w:tc>
          <w:tcPr>
            <w:tcW w:w="420" w:type="pct"/>
          </w:tcPr>
          <w:p w:rsidR="00CE4FC0" w:rsidRPr="00CE4FC0" w:rsidRDefault="00CE4FC0" w:rsidP="00CE4FC0">
            <w:pPr>
              <w:jc w:val="right"/>
              <w:rPr>
                <w:rFonts w:ascii="Calibri" w:eastAsia="Times New Roman" w:hAnsi="Calibri" w:cs="Times New Roman"/>
                <w:b/>
                <w:sz w:val="20"/>
                <w:szCs w:val="20"/>
              </w:rPr>
            </w:pPr>
          </w:p>
        </w:tc>
        <w:tc>
          <w:tcPr>
            <w:tcW w:w="402" w:type="pct"/>
          </w:tcPr>
          <w:p w:rsidR="00CE4FC0" w:rsidRPr="00CE4FC0" w:rsidRDefault="00CE4FC0" w:rsidP="00CE4FC0">
            <w:pPr>
              <w:jc w:val="right"/>
              <w:rPr>
                <w:rFonts w:ascii="Calibri" w:eastAsia="Times New Roman" w:hAnsi="Calibri" w:cs="Times New Roman"/>
                <w:b/>
                <w:sz w:val="20"/>
                <w:szCs w:val="20"/>
              </w:rPr>
            </w:pPr>
          </w:p>
        </w:tc>
        <w:tc>
          <w:tcPr>
            <w:tcW w:w="590" w:type="pct"/>
          </w:tcPr>
          <w:p w:rsidR="00CE4FC0" w:rsidRPr="00CE4FC0" w:rsidRDefault="00CE4FC0" w:rsidP="00CE4FC0">
            <w:pPr>
              <w:jc w:val="right"/>
              <w:rPr>
                <w:rFonts w:ascii="Calibri" w:eastAsia="Times New Roman" w:hAnsi="Calibri" w:cs="Times New Roman"/>
                <w:b/>
                <w:sz w:val="20"/>
                <w:szCs w:val="20"/>
              </w:rPr>
            </w:pPr>
          </w:p>
        </w:tc>
        <w:tc>
          <w:tcPr>
            <w:tcW w:w="539" w:type="pct"/>
          </w:tcPr>
          <w:p w:rsidR="00CE4FC0" w:rsidRPr="00CE4FC0" w:rsidRDefault="00CE4FC0" w:rsidP="00CE4FC0">
            <w:pPr>
              <w:jc w:val="right"/>
              <w:rPr>
                <w:rFonts w:ascii="Calibri" w:eastAsia="Times New Roman" w:hAnsi="Calibri" w:cs="Times New Roman"/>
                <w:b/>
                <w:sz w:val="20"/>
                <w:szCs w:val="20"/>
              </w:rPr>
            </w:pPr>
          </w:p>
        </w:tc>
        <w:tc>
          <w:tcPr>
            <w:tcW w:w="369"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r>
    </w:tbl>
    <w:p w:rsidR="00CE4FC0" w:rsidRPr="00CE4FC0" w:rsidRDefault="00CE4FC0" w:rsidP="00CE4FC0">
      <w:pPr>
        <w:spacing w:after="200" w:line="276" w:lineRule="auto"/>
        <w:rPr>
          <w:rFonts w:ascii="Calibri" w:eastAsia="Times New Roman" w:hAnsi="Calibri" w:cs="Times New Roman"/>
          <w:sz w:val="20"/>
          <w:szCs w:val="20"/>
        </w:rPr>
      </w:pPr>
    </w:p>
    <w:p w:rsidR="00CE4FC0" w:rsidRPr="00CE4FC0" w:rsidRDefault="00CE4FC0" w:rsidP="00CE4FC0">
      <w:pPr>
        <w:spacing w:after="200" w:line="276" w:lineRule="auto"/>
        <w:rPr>
          <w:rFonts w:ascii="Calibri" w:eastAsia="Times New Roman" w:hAnsi="Calibri" w:cs="Times New Roman"/>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854"/>
      </w:tblGrid>
      <w:tr w:rsidR="00CE4FC0" w:rsidRPr="00CE4FC0" w:rsidTr="00D60C0F">
        <w:tc>
          <w:tcPr>
            <w:tcW w:w="5000" w:type="pct"/>
            <w:shd w:val="clear" w:color="auto" w:fill="C0C0C0"/>
          </w:tcPr>
          <w:p w:rsidR="00CE4FC0" w:rsidRPr="00CE4FC0" w:rsidRDefault="00CE4FC0" w:rsidP="00CE4FC0">
            <w:pPr>
              <w:jc w:val="center"/>
              <w:rPr>
                <w:rFonts w:ascii="Calibri" w:eastAsia="Times New Roman" w:hAnsi="Calibri" w:cs="Times New Roman"/>
                <w:b/>
                <w:sz w:val="20"/>
                <w:szCs w:val="20"/>
              </w:rPr>
            </w:pPr>
            <w:r w:rsidRPr="00CE4FC0">
              <w:rPr>
                <w:rFonts w:ascii="Calibri" w:eastAsia="Times New Roman" w:hAnsi="Calibri" w:cs="Times New Roman"/>
                <w:b/>
                <w:sz w:val="20"/>
                <w:szCs w:val="20"/>
              </w:rPr>
              <w:t>III. 1 g,i,j) Dlhodobý finančný majetok - štruktúra zmeny v jednotlivých zložkách</w:t>
            </w:r>
          </w:p>
        </w:tc>
      </w:tr>
    </w:tbl>
    <w:p w:rsidR="00CE4FC0" w:rsidRPr="00CE4FC0" w:rsidRDefault="00CE4FC0" w:rsidP="00CE4FC0">
      <w:pPr>
        <w:spacing w:after="200" w:line="276" w:lineRule="auto"/>
        <w:rPr>
          <w:rFonts w:ascii="Calibri" w:eastAsia="Times New Roman" w:hAnsi="Calibri" w:cs="Times New Roman"/>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27"/>
        <w:gridCol w:w="4927"/>
      </w:tblGrid>
      <w:tr w:rsidR="00CE4FC0" w:rsidRPr="00CE4FC0" w:rsidTr="00D60C0F">
        <w:tc>
          <w:tcPr>
            <w:tcW w:w="5000" w:type="pct"/>
            <w:gridSpan w:val="2"/>
            <w:shd w:val="clear" w:color="auto" w:fill="C0C0C0"/>
          </w:tcPr>
          <w:p w:rsidR="00CE4FC0" w:rsidRPr="00CE4FC0" w:rsidRDefault="00CE4FC0" w:rsidP="00CE4FC0">
            <w:pPr>
              <w:jc w:val="center"/>
              <w:rPr>
                <w:rFonts w:ascii="Calibri" w:eastAsia="Times New Roman" w:hAnsi="Calibri" w:cs="Times New Roman"/>
                <w:b/>
                <w:sz w:val="20"/>
                <w:szCs w:val="20"/>
              </w:rPr>
            </w:pPr>
            <w:r w:rsidRPr="00CE4FC0">
              <w:rPr>
                <w:rFonts w:ascii="Calibri" w:eastAsia="Times New Roman" w:hAnsi="Calibri" w:cs="Times New Roman"/>
                <w:b/>
                <w:sz w:val="20"/>
                <w:szCs w:val="20"/>
              </w:rPr>
              <w:t>III. 1 n) Zásoby na ktoré je zriadené záložné právo</w:t>
            </w:r>
          </w:p>
        </w:tc>
      </w:tr>
      <w:tr w:rsidR="00CE4FC0" w:rsidRPr="00CE4FC0" w:rsidTr="00D60C0F">
        <w:tc>
          <w:tcPr>
            <w:tcW w:w="2500"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Zásoby</w:t>
            </w:r>
          </w:p>
        </w:tc>
        <w:tc>
          <w:tcPr>
            <w:tcW w:w="2500"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Hodnota za bežné účtovné obdobie</w:t>
            </w:r>
          </w:p>
        </w:tc>
      </w:tr>
      <w:tr w:rsidR="00CE4FC0" w:rsidRPr="00CE4FC0" w:rsidTr="00D60C0F">
        <w:tc>
          <w:tcPr>
            <w:tcW w:w="2500"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Zásoby, na ktoré je zriadené záložné právo</w:t>
            </w:r>
          </w:p>
        </w:tc>
        <w:tc>
          <w:tcPr>
            <w:tcW w:w="2500"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r>
      <w:tr w:rsidR="00CE4FC0" w:rsidRPr="00CE4FC0" w:rsidTr="00D60C0F">
        <w:tc>
          <w:tcPr>
            <w:tcW w:w="2500"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Zásoby, s obmedzeným právom s nimi nakladať</w:t>
            </w:r>
          </w:p>
        </w:tc>
        <w:tc>
          <w:tcPr>
            <w:tcW w:w="2500"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r>
    </w:tbl>
    <w:p w:rsidR="00CE4FC0" w:rsidRPr="00CE4FC0" w:rsidRDefault="00CE4FC0" w:rsidP="00CE4FC0">
      <w:pPr>
        <w:spacing w:after="200" w:line="276" w:lineRule="auto"/>
        <w:rPr>
          <w:rFonts w:ascii="Calibri" w:eastAsia="Times New Roman" w:hAnsi="Calibri" w:cs="Times New Roman"/>
          <w:sz w:val="20"/>
          <w:szCs w:val="20"/>
        </w:rPr>
      </w:pPr>
    </w:p>
    <w:p w:rsidR="00CE4FC0" w:rsidRPr="00CE4FC0" w:rsidRDefault="00CE4FC0" w:rsidP="00CE4FC0">
      <w:pPr>
        <w:spacing w:after="200" w:line="276" w:lineRule="auto"/>
        <w:rPr>
          <w:rFonts w:ascii="Calibri" w:eastAsia="Times New Roman" w:hAnsi="Calibri" w:cs="Times New Roman"/>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41"/>
        <w:gridCol w:w="1641"/>
        <w:gridCol w:w="1644"/>
        <w:gridCol w:w="1644"/>
        <w:gridCol w:w="1644"/>
        <w:gridCol w:w="1640"/>
      </w:tblGrid>
      <w:tr w:rsidR="00CE4FC0" w:rsidRPr="00CE4FC0" w:rsidTr="00D60C0F">
        <w:tc>
          <w:tcPr>
            <w:tcW w:w="5000" w:type="pct"/>
            <w:gridSpan w:val="6"/>
            <w:shd w:val="clear" w:color="auto" w:fill="C0C0C0"/>
          </w:tcPr>
          <w:p w:rsidR="00CE4FC0" w:rsidRPr="00CE4FC0" w:rsidRDefault="00CE4FC0" w:rsidP="00CE4FC0">
            <w:pPr>
              <w:jc w:val="center"/>
              <w:rPr>
                <w:rFonts w:ascii="Calibri" w:eastAsia="Times New Roman" w:hAnsi="Calibri" w:cs="Times New Roman"/>
                <w:b/>
                <w:sz w:val="20"/>
                <w:szCs w:val="20"/>
              </w:rPr>
            </w:pPr>
            <w:r w:rsidRPr="00CE4FC0">
              <w:rPr>
                <w:rFonts w:ascii="Calibri" w:eastAsia="Times New Roman" w:hAnsi="Calibri" w:cs="Times New Roman"/>
                <w:b/>
                <w:sz w:val="20"/>
                <w:szCs w:val="20"/>
              </w:rPr>
              <w:t>III. 1 p) Najvýznamnejšie položky pohľadávok a opravné položky k nim</w:t>
            </w:r>
          </w:p>
        </w:tc>
      </w:tr>
      <w:tr w:rsidR="00CE4FC0" w:rsidRPr="00CE4FC0" w:rsidTr="00D60C0F">
        <w:tc>
          <w:tcPr>
            <w:tcW w:w="833"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Pohľadávky</w:t>
            </w:r>
          </w:p>
        </w:tc>
        <w:tc>
          <w:tcPr>
            <w:tcW w:w="833"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Stav OP na začiatku účtovného obdobia</w:t>
            </w:r>
          </w:p>
        </w:tc>
        <w:tc>
          <w:tcPr>
            <w:tcW w:w="834"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Tvorba OP</w:t>
            </w:r>
          </w:p>
        </w:tc>
        <w:tc>
          <w:tcPr>
            <w:tcW w:w="834"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Zúčtovanie OP z dôvodu zániku opodstatnenosti</w:t>
            </w:r>
          </w:p>
        </w:tc>
        <w:tc>
          <w:tcPr>
            <w:tcW w:w="834"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Zúčtovanie OP z dôvodu vyradenia majetku z účtovníctva</w:t>
            </w:r>
          </w:p>
        </w:tc>
        <w:tc>
          <w:tcPr>
            <w:tcW w:w="832"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Stav OP na konci účtovného obdobia</w:t>
            </w: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Pohľadávky z obchodného styku</w:t>
            </w:r>
          </w:p>
        </w:tc>
        <w:tc>
          <w:tcPr>
            <w:tcW w:w="833"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c>
          <w:tcPr>
            <w:tcW w:w="834"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358</w:t>
            </w: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2"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358</w:t>
            </w: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Pohľadávky voči DÚJ a MÚJ</w:t>
            </w:r>
          </w:p>
        </w:tc>
        <w:tc>
          <w:tcPr>
            <w:tcW w:w="833"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2"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Ostatné pohľadávky v rámci kons. celku</w:t>
            </w:r>
          </w:p>
        </w:tc>
        <w:tc>
          <w:tcPr>
            <w:tcW w:w="833"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2"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Pohľadávky voči spoločníkom, členom a združeniu</w:t>
            </w:r>
          </w:p>
        </w:tc>
        <w:tc>
          <w:tcPr>
            <w:tcW w:w="833"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2"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Iné pohľadávky</w:t>
            </w:r>
          </w:p>
        </w:tc>
        <w:tc>
          <w:tcPr>
            <w:tcW w:w="833"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2"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SPOLU</w:t>
            </w:r>
          </w:p>
        </w:tc>
        <w:tc>
          <w:tcPr>
            <w:tcW w:w="833"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c>
          <w:tcPr>
            <w:tcW w:w="834"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358</w:t>
            </w: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2"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358</w:t>
            </w:r>
          </w:p>
        </w:tc>
      </w:tr>
    </w:tbl>
    <w:p w:rsidR="00CE4FC0" w:rsidRPr="00CE4FC0" w:rsidRDefault="00CE4FC0" w:rsidP="00CE4FC0">
      <w:pPr>
        <w:spacing w:after="200" w:line="276" w:lineRule="auto"/>
        <w:rPr>
          <w:rFonts w:ascii="Calibri" w:eastAsia="Times New Roman" w:hAnsi="Calibri" w:cs="Times New Roman"/>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463"/>
        <w:gridCol w:w="2463"/>
        <w:gridCol w:w="2464"/>
        <w:gridCol w:w="2464"/>
      </w:tblGrid>
      <w:tr w:rsidR="00CE4FC0" w:rsidRPr="00CE4FC0" w:rsidTr="00D60C0F">
        <w:tc>
          <w:tcPr>
            <w:tcW w:w="5000" w:type="pct"/>
            <w:gridSpan w:val="4"/>
            <w:shd w:val="clear" w:color="auto" w:fill="C0C0C0"/>
          </w:tcPr>
          <w:p w:rsidR="00CE4FC0" w:rsidRPr="00CE4FC0" w:rsidRDefault="00CE4FC0" w:rsidP="00CE4FC0">
            <w:pPr>
              <w:jc w:val="center"/>
              <w:rPr>
                <w:rFonts w:ascii="Calibri" w:eastAsia="Times New Roman" w:hAnsi="Calibri" w:cs="Times New Roman"/>
                <w:b/>
                <w:sz w:val="20"/>
                <w:szCs w:val="20"/>
              </w:rPr>
            </w:pPr>
            <w:r w:rsidRPr="00CE4FC0">
              <w:rPr>
                <w:rFonts w:ascii="Calibri" w:eastAsia="Times New Roman" w:hAnsi="Calibri" w:cs="Times New Roman"/>
                <w:b/>
                <w:sz w:val="20"/>
                <w:szCs w:val="20"/>
              </w:rPr>
              <w:t>III. 1 q) Veková štruktúra pohľadávok</w:t>
            </w:r>
          </w:p>
        </w:tc>
      </w:tr>
      <w:tr w:rsidR="00CE4FC0" w:rsidRPr="00CE4FC0" w:rsidTr="00D60C0F">
        <w:tc>
          <w:tcPr>
            <w:tcW w:w="1250"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Názov položky</w:t>
            </w:r>
          </w:p>
        </w:tc>
        <w:tc>
          <w:tcPr>
            <w:tcW w:w="1250"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V lehote splatnosti</w:t>
            </w:r>
          </w:p>
        </w:tc>
        <w:tc>
          <w:tcPr>
            <w:tcW w:w="1250"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Po lehote splatnosti</w:t>
            </w:r>
          </w:p>
        </w:tc>
        <w:tc>
          <w:tcPr>
            <w:tcW w:w="1250"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Pohľadávky spolu</w:t>
            </w:r>
          </w:p>
        </w:tc>
      </w:tr>
      <w:tr w:rsidR="00CE4FC0" w:rsidRPr="00CE4FC0" w:rsidTr="00D60C0F">
        <w:tc>
          <w:tcPr>
            <w:tcW w:w="5000" w:type="pct"/>
            <w:gridSpan w:val="4"/>
            <w:shd w:val="clear" w:color="auto" w:fill="E6E6E6"/>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Dlhodobé pohľadávky</w:t>
            </w:r>
          </w:p>
        </w:tc>
      </w:tr>
      <w:tr w:rsidR="00CE4FC0" w:rsidRPr="00CE4FC0" w:rsidTr="00D60C0F">
        <w:tc>
          <w:tcPr>
            <w:tcW w:w="1250"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Pohľadávky  z obchodného styku</w:t>
            </w:r>
          </w:p>
        </w:tc>
        <w:tc>
          <w:tcPr>
            <w:tcW w:w="1250"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c>
          <w:tcPr>
            <w:tcW w:w="1250"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c>
          <w:tcPr>
            <w:tcW w:w="1250"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r>
      <w:tr w:rsidR="00CE4FC0" w:rsidRPr="00CE4FC0" w:rsidTr="00D60C0F">
        <w:tc>
          <w:tcPr>
            <w:tcW w:w="1250"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Pohľadávky voči DÚJ a MÚJ</w:t>
            </w:r>
          </w:p>
        </w:tc>
        <w:tc>
          <w:tcPr>
            <w:tcW w:w="1250"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c>
          <w:tcPr>
            <w:tcW w:w="1250"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c>
          <w:tcPr>
            <w:tcW w:w="1250"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r>
      <w:tr w:rsidR="00CE4FC0" w:rsidRPr="00CE4FC0" w:rsidTr="00D60C0F">
        <w:tc>
          <w:tcPr>
            <w:tcW w:w="1250"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lastRenderedPageBreak/>
              <w:t>Ostatné pohľadávky v rámci konsolidovaného celku</w:t>
            </w:r>
          </w:p>
        </w:tc>
        <w:tc>
          <w:tcPr>
            <w:tcW w:w="1250"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c>
          <w:tcPr>
            <w:tcW w:w="1250"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c>
          <w:tcPr>
            <w:tcW w:w="1250"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r>
      <w:tr w:rsidR="00CE4FC0" w:rsidRPr="00CE4FC0" w:rsidTr="00D60C0F">
        <w:tc>
          <w:tcPr>
            <w:tcW w:w="1250"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Pohľadávky voči spoločníkom, členom a združeniu</w:t>
            </w:r>
          </w:p>
        </w:tc>
        <w:tc>
          <w:tcPr>
            <w:tcW w:w="1250"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c>
          <w:tcPr>
            <w:tcW w:w="1250"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c>
          <w:tcPr>
            <w:tcW w:w="1250"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r>
      <w:tr w:rsidR="00CE4FC0" w:rsidRPr="00CE4FC0" w:rsidTr="00D60C0F">
        <w:tc>
          <w:tcPr>
            <w:tcW w:w="1250"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Iné pohľadávky</w:t>
            </w:r>
          </w:p>
        </w:tc>
        <w:tc>
          <w:tcPr>
            <w:tcW w:w="1250"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3 522</w:t>
            </w:r>
          </w:p>
        </w:tc>
        <w:tc>
          <w:tcPr>
            <w:tcW w:w="1250"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c>
          <w:tcPr>
            <w:tcW w:w="1250"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3 522</w:t>
            </w:r>
          </w:p>
        </w:tc>
      </w:tr>
      <w:tr w:rsidR="00CE4FC0" w:rsidRPr="00CE4FC0" w:rsidTr="00D60C0F">
        <w:tc>
          <w:tcPr>
            <w:tcW w:w="1250" w:type="pct"/>
          </w:tcPr>
          <w:p w:rsidR="00CE4FC0" w:rsidRPr="00CE4FC0" w:rsidRDefault="00CE4FC0" w:rsidP="00CE4FC0">
            <w:pPr>
              <w:rPr>
                <w:rFonts w:ascii="Calibri" w:eastAsia="Times New Roman" w:hAnsi="Calibri" w:cs="Times New Roman"/>
                <w:b/>
                <w:sz w:val="20"/>
                <w:szCs w:val="20"/>
              </w:rPr>
            </w:pPr>
            <w:r w:rsidRPr="00CE4FC0">
              <w:rPr>
                <w:rFonts w:ascii="Calibri" w:eastAsia="Times New Roman" w:hAnsi="Calibri" w:cs="Times New Roman"/>
                <w:b/>
                <w:sz w:val="20"/>
                <w:szCs w:val="20"/>
              </w:rPr>
              <w:t>Dlhodobé pohľadávky spolu</w:t>
            </w:r>
          </w:p>
        </w:tc>
        <w:tc>
          <w:tcPr>
            <w:tcW w:w="1250"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3 522</w:t>
            </w:r>
          </w:p>
        </w:tc>
        <w:tc>
          <w:tcPr>
            <w:tcW w:w="1250"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0</w:t>
            </w:r>
          </w:p>
        </w:tc>
        <w:tc>
          <w:tcPr>
            <w:tcW w:w="1250"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3 522</w:t>
            </w:r>
          </w:p>
        </w:tc>
      </w:tr>
      <w:tr w:rsidR="00CE4FC0" w:rsidRPr="00CE4FC0" w:rsidTr="00D60C0F">
        <w:tc>
          <w:tcPr>
            <w:tcW w:w="5000" w:type="pct"/>
            <w:gridSpan w:val="4"/>
            <w:shd w:val="clear" w:color="auto" w:fill="E6E6E6"/>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Krátkodobé pohľadávky</w:t>
            </w:r>
          </w:p>
        </w:tc>
      </w:tr>
      <w:tr w:rsidR="00CE4FC0" w:rsidRPr="00CE4FC0" w:rsidTr="00D60C0F">
        <w:tc>
          <w:tcPr>
            <w:tcW w:w="1250"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Pohľadávky z obchodného styku</w:t>
            </w:r>
          </w:p>
        </w:tc>
        <w:tc>
          <w:tcPr>
            <w:tcW w:w="1250"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316 270</w:t>
            </w:r>
          </w:p>
        </w:tc>
        <w:tc>
          <w:tcPr>
            <w:tcW w:w="1250"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358</w:t>
            </w:r>
          </w:p>
        </w:tc>
        <w:tc>
          <w:tcPr>
            <w:tcW w:w="1250"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316 628</w:t>
            </w:r>
          </w:p>
        </w:tc>
      </w:tr>
      <w:tr w:rsidR="00CE4FC0" w:rsidRPr="00CE4FC0" w:rsidTr="00D60C0F">
        <w:tc>
          <w:tcPr>
            <w:tcW w:w="1250"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Pohľadávky voči DÚJ a MÚJ</w:t>
            </w:r>
          </w:p>
        </w:tc>
        <w:tc>
          <w:tcPr>
            <w:tcW w:w="1250"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c>
          <w:tcPr>
            <w:tcW w:w="1250"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c>
          <w:tcPr>
            <w:tcW w:w="1250"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r>
      <w:tr w:rsidR="00CE4FC0" w:rsidRPr="00CE4FC0" w:rsidTr="00D60C0F">
        <w:tc>
          <w:tcPr>
            <w:tcW w:w="1250"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Ostatné pohľadávky v rámci konsolidovaného celku</w:t>
            </w:r>
          </w:p>
        </w:tc>
        <w:tc>
          <w:tcPr>
            <w:tcW w:w="1250"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c>
          <w:tcPr>
            <w:tcW w:w="1250"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c>
          <w:tcPr>
            <w:tcW w:w="1250"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r>
      <w:tr w:rsidR="00CE4FC0" w:rsidRPr="00CE4FC0" w:rsidTr="00D60C0F">
        <w:tc>
          <w:tcPr>
            <w:tcW w:w="1250"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Pohľadávky voči spoločníkom, členom a združeniu</w:t>
            </w:r>
          </w:p>
        </w:tc>
        <w:tc>
          <w:tcPr>
            <w:tcW w:w="1250"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c>
          <w:tcPr>
            <w:tcW w:w="1250"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c>
          <w:tcPr>
            <w:tcW w:w="1250"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r>
      <w:tr w:rsidR="00CE4FC0" w:rsidRPr="00CE4FC0" w:rsidTr="00D60C0F">
        <w:tc>
          <w:tcPr>
            <w:tcW w:w="1250"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Sociálne poistenie</w:t>
            </w:r>
          </w:p>
        </w:tc>
        <w:tc>
          <w:tcPr>
            <w:tcW w:w="1250"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c>
          <w:tcPr>
            <w:tcW w:w="1250"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c>
          <w:tcPr>
            <w:tcW w:w="1250"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r>
      <w:tr w:rsidR="00CE4FC0" w:rsidRPr="00CE4FC0" w:rsidTr="00D60C0F">
        <w:tc>
          <w:tcPr>
            <w:tcW w:w="1250"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Daňové pohľadávky a dotácie</w:t>
            </w:r>
          </w:p>
        </w:tc>
        <w:tc>
          <w:tcPr>
            <w:tcW w:w="1250"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186 666</w:t>
            </w:r>
          </w:p>
        </w:tc>
        <w:tc>
          <w:tcPr>
            <w:tcW w:w="1250"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c>
          <w:tcPr>
            <w:tcW w:w="1250"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186 666</w:t>
            </w:r>
          </w:p>
        </w:tc>
      </w:tr>
      <w:tr w:rsidR="00CE4FC0" w:rsidRPr="00CE4FC0" w:rsidTr="00D60C0F">
        <w:tc>
          <w:tcPr>
            <w:tcW w:w="1250"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Iné pohľadávky</w:t>
            </w:r>
          </w:p>
        </w:tc>
        <w:tc>
          <w:tcPr>
            <w:tcW w:w="1250"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9 164</w:t>
            </w:r>
          </w:p>
        </w:tc>
        <w:tc>
          <w:tcPr>
            <w:tcW w:w="1250"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c>
          <w:tcPr>
            <w:tcW w:w="1250"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9 164</w:t>
            </w:r>
          </w:p>
        </w:tc>
      </w:tr>
      <w:tr w:rsidR="00CE4FC0" w:rsidRPr="00CE4FC0" w:rsidTr="00D60C0F">
        <w:tc>
          <w:tcPr>
            <w:tcW w:w="1250" w:type="pct"/>
          </w:tcPr>
          <w:p w:rsidR="00CE4FC0" w:rsidRPr="00CE4FC0" w:rsidRDefault="00CE4FC0" w:rsidP="00CE4FC0">
            <w:pPr>
              <w:rPr>
                <w:rFonts w:ascii="Calibri" w:eastAsia="Times New Roman" w:hAnsi="Calibri" w:cs="Times New Roman"/>
                <w:b/>
                <w:sz w:val="20"/>
                <w:szCs w:val="20"/>
              </w:rPr>
            </w:pPr>
            <w:r w:rsidRPr="00CE4FC0">
              <w:rPr>
                <w:rFonts w:ascii="Calibri" w:eastAsia="Times New Roman" w:hAnsi="Calibri" w:cs="Times New Roman"/>
                <w:b/>
                <w:sz w:val="20"/>
                <w:szCs w:val="20"/>
              </w:rPr>
              <w:t>Krátkodobé pohľadávky spolu</w:t>
            </w:r>
          </w:p>
        </w:tc>
        <w:tc>
          <w:tcPr>
            <w:tcW w:w="1250"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512 100</w:t>
            </w:r>
          </w:p>
        </w:tc>
        <w:tc>
          <w:tcPr>
            <w:tcW w:w="1250"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358</w:t>
            </w:r>
          </w:p>
        </w:tc>
        <w:tc>
          <w:tcPr>
            <w:tcW w:w="1250"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512 458</w:t>
            </w:r>
          </w:p>
        </w:tc>
      </w:tr>
    </w:tbl>
    <w:p w:rsidR="00CE4FC0" w:rsidRPr="00CE4FC0" w:rsidRDefault="00CE4FC0" w:rsidP="00CE4FC0">
      <w:pPr>
        <w:spacing w:after="200" w:line="276" w:lineRule="auto"/>
        <w:rPr>
          <w:rFonts w:ascii="Calibri" w:eastAsia="Times New Roman" w:hAnsi="Calibri" w:cs="Times New Roman"/>
          <w:sz w:val="20"/>
          <w:szCs w:val="20"/>
        </w:rPr>
      </w:pPr>
    </w:p>
    <w:p w:rsidR="00CE4FC0" w:rsidRPr="00CE4FC0" w:rsidRDefault="00CE4FC0" w:rsidP="00CE4FC0">
      <w:pPr>
        <w:spacing w:after="200" w:line="276" w:lineRule="auto"/>
        <w:rPr>
          <w:rFonts w:ascii="Calibri" w:eastAsia="Times New Roman" w:hAnsi="Calibri" w:cs="Times New Roman"/>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84"/>
        <w:gridCol w:w="3283"/>
        <w:gridCol w:w="3287"/>
      </w:tblGrid>
      <w:tr w:rsidR="00CE4FC0" w:rsidRPr="00CE4FC0" w:rsidTr="00D60C0F">
        <w:tc>
          <w:tcPr>
            <w:tcW w:w="5000" w:type="pct"/>
            <w:gridSpan w:val="3"/>
            <w:shd w:val="clear" w:color="auto" w:fill="C0C0C0"/>
          </w:tcPr>
          <w:p w:rsidR="00CE4FC0" w:rsidRPr="00CE4FC0" w:rsidRDefault="00CE4FC0" w:rsidP="00CE4FC0">
            <w:pPr>
              <w:jc w:val="center"/>
              <w:rPr>
                <w:rFonts w:ascii="Calibri" w:eastAsia="Times New Roman" w:hAnsi="Calibri" w:cs="Times New Roman"/>
                <w:b/>
                <w:sz w:val="20"/>
                <w:szCs w:val="20"/>
              </w:rPr>
            </w:pPr>
            <w:r w:rsidRPr="00CE4FC0">
              <w:rPr>
                <w:rFonts w:ascii="Calibri" w:eastAsia="Times New Roman" w:hAnsi="Calibri" w:cs="Times New Roman"/>
                <w:b/>
                <w:sz w:val="20"/>
                <w:szCs w:val="20"/>
              </w:rPr>
              <w:t>III. 1 s) Odložená daňová pohľadávka</w:t>
            </w:r>
          </w:p>
        </w:tc>
      </w:tr>
      <w:tr w:rsidR="00CE4FC0" w:rsidRPr="00CE4FC0" w:rsidTr="00D60C0F">
        <w:tc>
          <w:tcPr>
            <w:tcW w:w="1666"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Názov položky</w:t>
            </w:r>
          </w:p>
        </w:tc>
        <w:tc>
          <w:tcPr>
            <w:tcW w:w="1666"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Bežné účtovné obdobie</w:t>
            </w:r>
          </w:p>
        </w:tc>
        <w:tc>
          <w:tcPr>
            <w:tcW w:w="1668"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Bezprostredne predchádzajúce účtovné obdobie</w:t>
            </w:r>
          </w:p>
        </w:tc>
      </w:tr>
      <w:tr w:rsidR="00CE4FC0" w:rsidRPr="00CE4FC0" w:rsidTr="00D60C0F">
        <w:tc>
          <w:tcPr>
            <w:tcW w:w="1666" w:type="pct"/>
          </w:tcPr>
          <w:p w:rsidR="00CE4FC0" w:rsidRPr="00CE4FC0" w:rsidRDefault="00CE4FC0" w:rsidP="00CE4FC0">
            <w:pPr>
              <w:rPr>
                <w:rFonts w:ascii="Calibri" w:eastAsia="Times New Roman" w:hAnsi="Calibri" w:cs="Times New Roman"/>
                <w:b/>
                <w:sz w:val="20"/>
                <w:szCs w:val="20"/>
              </w:rPr>
            </w:pPr>
            <w:r w:rsidRPr="00CE4FC0">
              <w:rPr>
                <w:rFonts w:ascii="Calibri" w:eastAsia="Times New Roman" w:hAnsi="Calibri" w:cs="Times New Roman"/>
                <w:b/>
                <w:sz w:val="20"/>
                <w:szCs w:val="20"/>
              </w:rPr>
              <w:t>Dočasné rozdiely medzi účtovnou hodnotou majetku a daňovou základňou, z toho:</w:t>
            </w:r>
          </w:p>
        </w:tc>
        <w:tc>
          <w:tcPr>
            <w:tcW w:w="1666"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3 366</w:t>
            </w:r>
          </w:p>
        </w:tc>
        <w:tc>
          <w:tcPr>
            <w:tcW w:w="1668"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14 243</w:t>
            </w: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odpočítateľné</w:t>
            </w:r>
          </w:p>
        </w:tc>
        <w:tc>
          <w:tcPr>
            <w:tcW w:w="1666" w:type="pct"/>
          </w:tcPr>
          <w:p w:rsidR="00CE4FC0" w:rsidRPr="00CE4FC0" w:rsidRDefault="00CE4FC0" w:rsidP="00CE4FC0">
            <w:pPr>
              <w:jc w:val="right"/>
              <w:rPr>
                <w:rFonts w:ascii="Calibri" w:eastAsia="Times New Roman" w:hAnsi="Calibri" w:cs="Times New Roman"/>
                <w:sz w:val="20"/>
                <w:szCs w:val="20"/>
              </w:rPr>
            </w:pPr>
          </w:p>
        </w:tc>
        <w:tc>
          <w:tcPr>
            <w:tcW w:w="1668"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zdaniteľné</w:t>
            </w:r>
          </w:p>
        </w:tc>
        <w:tc>
          <w:tcPr>
            <w:tcW w:w="1666"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3 366</w:t>
            </w:r>
          </w:p>
        </w:tc>
        <w:tc>
          <w:tcPr>
            <w:tcW w:w="1668"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14 243</w:t>
            </w:r>
          </w:p>
        </w:tc>
      </w:tr>
      <w:tr w:rsidR="00CE4FC0" w:rsidRPr="00CE4FC0" w:rsidTr="00D60C0F">
        <w:tc>
          <w:tcPr>
            <w:tcW w:w="1666" w:type="pct"/>
          </w:tcPr>
          <w:p w:rsidR="00CE4FC0" w:rsidRPr="00CE4FC0" w:rsidRDefault="00CE4FC0" w:rsidP="00CE4FC0">
            <w:pPr>
              <w:rPr>
                <w:rFonts w:ascii="Calibri" w:eastAsia="Times New Roman" w:hAnsi="Calibri" w:cs="Times New Roman"/>
                <w:b/>
                <w:sz w:val="20"/>
                <w:szCs w:val="20"/>
              </w:rPr>
            </w:pPr>
            <w:r w:rsidRPr="00CE4FC0">
              <w:rPr>
                <w:rFonts w:ascii="Calibri" w:eastAsia="Times New Roman" w:hAnsi="Calibri" w:cs="Times New Roman"/>
                <w:b/>
                <w:sz w:val="20"/>
                <w:szCs w:val="20"/>
              </w:rPr>
              <w:t>Dočasné rozdiely medzi účtovnou hodnotou záväzkov a daňovou základňou, z toho:</w:t>
            </w:r>
          </w:p>
        </w:tc>
        <w:tc>
          <w:tcPr>
            <w:tcW w:w="1666"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13 407</w:t>
            </w:r>
          </w:p>
        </w:tc>
        <w:tc>
          <w:tcPr>
            <w:tcW w:w="1668" w:type="pct"/>
          </w:tcPr>
          <w:p w:rsidR="00CE4FC0" w:rsidRPr="00CE4FC0" w:rsidRDefault="00CE4FC0" w:rsidP="00CE4FC0">
            <w:pPr>
              <w:jc w:val="right"/>
              <w:rPr>
                <w:rFonts w:ascii="Calibri" w:eastAsia="Times New Roman" w:hAnsi="Calibri" w:cs="Times New Roman"/>
                <w:b/>
                <w:sz w:val="20"/>
                <w:szCs w:val="20"/>
              </w:rPr>
            </w:pP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odpočítateľné</w:t>
            </w:r>
          </w:p>
        </w:tc>
        <w:tc>
          <w:tcPr>
            <w:tcW w:w="1666" w:type="pct"/>
          </w:tcPr>
          <w:p w:rsidR="00CE4FC0" w:rsidRPr="00CE4FC0" w:rsidRDefault="00CE4FC0" w:rsidP="00CE4FC0">
            <w:pPr>
              <w:jc w:val="right"/>
              <w:rPr>
                <w:rFonts w:ascii="Calibri" w:eastAsia="Times New Roman" w:hAnsi="Calibri" w:cs="Times New Roman"/>
                <w:sz w:val="20"/>
                <w:szCs w:val="20"/>
              </w:rPr>
            </w:pPr>
          </w:p>
        </w:tc>
        <w:tc>
          <w:tcPr>
            <w:tcW w:w="1668"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zdaniteľné</w:t>
            </w:r>
          </w:p>
        </w:tc>
        <w:tc>
          <w:tcPr>
            <w:tcW w:w="1666" w:type="pct"/>
          </w:tcPr>
          <w:p w:rsidR="00CE4FC0" w:rsidRPr="00CE4FC0" w:rsidRDefault="00CE4FC0" w:rsidP="00CE4FC0">
            <w:pPr>
              <w:jc w:val="right"/>
              <w:rPr>
                <w:rFonts w:ascii="Calibri" w:eastAsia="Times New Roman" w:hAnsi="Calibri" w:cs="Times New Roman"/>
                <w:sz w:val="20"/>
                <w:szCs w:val="20"/>
              </w:rPr>
            </w:pPr>
          </w:p>
        </w:tc>
        <w:tc>
          <w:tcPr>
            <w:tcW w:w="1668"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1666" w:type="pct"/>
          </w:tcPr>
          <w:p w:rsidR="00CE4FC0" w:rsidRPr="00CE4FC0" w:rsidRDefault="00CE4FC0" w:rsidP="00CE4FC0">
            <w:pPr>
              <w:rPr>
                <w:rFonts w:ascii="Calibri" w:eastAsia="Times New Roman" w:hAnsi="Calibri" w:cs="Times New Roman"/>
                <w:b/>
                <w:sz w:val="20"/>
                <w:szCs w:val="20"/>
              </w:rPr>
            </w:pPr>
            <w:r w:rsidRPr="00CE4FC0">
              <w:rPr>
                <w:rFonts w:ascii="Calibri" w:eastAsia="Times New Roman" w:hAnsi="Calibri" w:cs="Times New Roman"/>
                <w:b/>
                <w:sz w:val="20"/>
                <w:szCs w:val="20"/>
              </w:rPr>
              <w:t>Možnosť umorovať daňovú stratu v budúcnosti</w:t>
            </w:r>
          </w:p>
        </w:tc>
        <w:tc>
          <w:tcPr>
            <w:tcW w:w="1666" w:type="pct"/>
          </w:tcPr>
          <w:p w:rsidR="00CE4FC0" w:rsidRPr="00CE4FC0" w:rsidRDefault="00CE4FC0" w:rsidP="00CE4FC0">
            <w:pPr>
              <w:jc w:val="right"/>
              <w:rPr>
                <w:rFonts w:ascii="Calibri" w:eastAsia="Times New Roman" w:hAnsi="Calibri" w:cs="Times New Roman"/>
                <w:b/>
                <w:sz w:val="20"/>
                <w:szCs w:val="20"/>
              </w:rPr>
            </w:pPr>
          </w:p>
        </w:tc>
        <w:tc>
          <w:tcPr>
            <w:tcW w:w="1668" w:type="pct"/>
          </w:tcPr>
          <w:p w:rsidR="00CE4FC0" w:rsidRPr="00CE4FC0" w:rsidRDefault="00CE4FC0" w:rsidP="00CE4FC0">
            <w:pPr>
              <w:jc w:val="right"/>
              <w:rPr>
                <w:rFonts w:ascii="Calibri" w:eastAsia="Times New Roman" w:hAnsi="Calibri" w:cs="Times New Roman"/>
                <w:b/>
                <w:sz w:val="20"/>
                <w:szCs w:val="20"/>
              </w:rPr>
            </w:pPr>
          </w:p>
        </w:tc>
      </w:tr>
      <w:tr w:rsidR="00CE4FC0" w:rsidRPr="00CE4FC0" w:rsidTr="00D60C0F">
        <w:tc>
          <w:tcPr>
            <w:tcW w:w="1666" w:type="pct"/>
          </w:tcPr>
          <w:p w:rsidR="00CE4FC0" w:rsidRPr="00CE4FC0" w:rsidRDefault="00CE4FC0" w:rsidP="00CE4FC0">
            <w:pPr>
              <w:rPr>
                <w:rFonts w:ascii="Calibri" w:eastAsia="Times New Roman" w:hAnsi="Calibri" w:cs="Times New Roman"/>
                <w:b/>
                <w:sz w:val="20"/>
                <w:szCs w:val="20"/>
              </w:rPr>
            </w:pPr>
            <w:r w:rsidRPr="00CE4FC0">
              <w:rPr>
                <w:rFonts w:ascii="Calibri" w:eastAsia="Times New Roman" w:hAnsi="Calibri" w:cs="Times New Roman"/>
                <w:b/>
                <w:sz w:val="20"/>
                <w:szCs w:val="20"/>
              </w:rPr>
              <w:t>Možnosť previesť nevyužité daňové odpočty</w:t>
            </w:r>
          </w:p>
        </w:tc>
        <w:tc>
          <w:tcPr>
            <w:tcW w:w="1666" w:type="pct"/>
          </w:tcPr>
          <w:p w:rsidR="00CE4FC0" w:rsidRPr="00CE4FC0" w:rsidRDefault="00CE4FC0" w:rsidP="00CE4FC0">
            <w:pPr>
              <w:jc w:val="right"/>
              <w:rPr>
                <w:rFonts w:ascii="Calibri" w:eastAsia="Times New Roman" w:hAnsi="Calibri" w:cs="Times New Roman"/>
                <w:b/>
                <w:sz w:val="20"/>
                <w:szCs w:val="20"/>
              </w:rPr>
            </w:pPr>
          </w:p>
        </w:tc>
        <w:tc>
          <w:tcPr>
            <w:tcW w:w="1668" w:type="pct"/>
          </w:tcPr>
          <w:p w:rsidR="00CE4FC0" w:rsidRPr="00CE4FC0" w:rsidRDefault="00CE4FC0" w:rsidP="00CE4FC0">
            <w:pPr>
              <w:jc w:val="right"/>
              <w:rPr>
                <w:rFonts w:ascii="Calibri" w:eastAsia="Times New Roman" w:hAnsi="Calibri" w:cs="Times New Roman"/>
                <w:b/>
                <w:sz w:val="20"/>
                <w:szCs w:val="20"/>
              </w:rPr>
            </w:pPr>
          </w:p>
        </w:tc>
      </w:tr>
      <w:tr w:rsidR="00CE4FC0" w:rsidRPr="00CE4FC0" w:rsidTr="00D60C0F">
        <w:tc>
          <w:tcPr>
            <w:tcW w:w="1666" w:type="pct"/>
          </w:tcPr>
          <w:p w:rsidR="00CE4FC0" w:rsidRPr="00CE4FC0" w:rsidRDefault="00CE4FC0" w:rsidP="00CE4FC0">
            <w:pPr>
              <w:rPr>
                <w:rFonts w:ascii="Calibri" w:eastAsia="Times New Roman" w:hAnsi="Calibri" w:cs="Times New Roman"/>
                <w:b/>
                <w:sz w:val="20"/>
                <w:szCs w:val="20"/>
              </w:rPr>
            </w:pPr>
            <w:r w:rsidRPr="00CE4FC0">
              <w:rPr>
                <w:rFonts w:ascii="Calibri" w:eastAsia="Times New Roman" w:hAnsi="Calibri" w:cs="Times New Roman"/>
                <w:b/>
                <w:sz w:val="20"/>
                <w:szCs w:val="20"/>
              </w:rPr>
              <w:t>Sadzba dane z príjmov ( v %)</w:t>
            </w:r>
          </w:p>
        </w:tc>
        <w:tc>
          <w:tcPr>
            <w:tcW w:w="1666"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21</w:t>
            </w:r>
          </w:p>
        </w:tc>
        <w:tc>
          <w:tcPr>
            <w:tcW w:w="1668"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21</w:t>
            </w:r>
          </w:p>
        </w:tc>
      </w:tr>
      <w:tr w:rsidR="00CE4FC0" w:rsidRPr="00CE4FC0" w:rsidTr="00D60C0F">
        <w:tc>
          <w:tcPr>
            <w:tcW w:w="1666" w:type="pct"/>
          </w:tcPr>
          <w:p w:rsidR="00CE4FC0" w:rsidRPr="00CE4FC0" w:rsidRDefault="00CE4FC0" w:rsidP="00CE4FC0">
            <w:pPr>
              <w:rPr>
                <w:rFonts w:ascii="Calibri" w:eastAsia="Times New Roman" w:hAnsi="Calibri" w:cs="Times New Roman"/>
                <w:b/>
                <w:sz w:val="20"/>
                <w:szCs w:val="20"/>
              </w:rPr>
            </w:pPr>
            <w:r w:rsidRPr="00CE4FC0">
              <w:rPr>
                <w:rFonts w:ascii="Calibri" w:eastAsia="Times New Roman" w:hAnsi="Calibri" w:cs="Times New Roman"/>
                <w:b/>
                <w:sz w:val="20"/>
                <w:szCs w:val="20"/>
              </w:rPr>
              <w:t>Odložená daňová pohľadávka</w:t>
            </w:r>
          </w:p>
        </w:tc>
        <w:tc>
          <w:tcPr>
            <w:tcW w:w="1666"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16 772</w:t>
            </w:r>
          </w:p>
        </w:tc>
        <w:tc>
          <w:tcPr>
            <w:tcW w:w="1668"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14 407</w:t>
            </w:r>
          </w:p>
        </w:tc>
      </w:tr>
      <w:tr w:rsidR="00CE4FC0" w:rsidRPr="00CE4FC0" w:rsidTr="00D60C0F">
        <w:tc>
          <w:tcPr>
            <w:tcW w:w="1666" w:type="pct"/>
          </w:tcPr>
          <w:p w:rsidR="00CE4FC0" w:rsidRPr="00CE4FC0" w:rsidRDefault="00CE4FC0" w:rsidP="00CE4FC0">
            <w:pPr>
              <w:rPr>
                <w:rFonts w:ascii="Calibri" w:eastAsia="Times New Roman" w:hAnsi="Calibri" w:cs="Times New Roman"/>
                <w:b/>
                <w:sz w:val="20"/>
                <w:szCs w:val="20"/>
              </w:rPr>
            </w:pPr>
            <w:r w:rsidRPr="00CE4FC0">
              <w:rPr>
                <w:rFonts w:ascii="Calibri" w:eastAsia="Times New Roman" w:hAnsi="Calibri" w:cs="Times New Roman"/>
                <w:b/>
                <w:sz w:val="20"/>
                <w:szCs w:val="20"/>
              </w:rPr>
              <w:t>Uplatnená daňová pohľadávka</w:t>
            </w:r>
          </w:p>
        </w:tc>
        <w:tc>
          <w:tcPr>
            <w:tcW w:w="1666" w:type="pct"/>
          </w:tcPr>
          <w:p w:rsidR="00CE4FC0" w:rsidRPr="00CE4FC0" w:rsidRDefault="00CE4FC0" w:rsidP="00CE4FC0">
            <w:pPr>
              <w:jc w:val="right"/>
              <w:rPr>
                <w:rFonts w:ascii="Calibri" w:eastAsia="Times New Roman" w:hAnsi="Calibri" w:cs="Times New Roman"/>
                <w:b/>
                <w:sz w:val="20"/>
                <w:szCs w:val="20"/>
              </w:rPr>
            </w:pPr>
          </w:p>
        </w:tc>
        <w:tc>
          <w:tcPr>
            <w:tcW w:w="1668" w:type="pct"/>
          </w:tcPr>
          <w:p w:rsidR="00CE4FC0" w:rsidRPr="00CE4FC0" w:rsidRDefault="00CE4FC0" w:rsidP="00CE4FC0">
            <w:pPr>
              <w:jc w:val="right"/>
              <w:rPr>
                <w:rFonts w:ascii="Calibri" w:eastAsia="Times New Roman" w:hAnsi="Calibri" w:cs="Times New Roman"/>
                <w:b/>
                <w:sz w:val="20"/>
                <w:szCs w:val="20"/>
              </w:rPr>
            </w:pP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Zaúčtovaná  ako zníženie nákladov</w:t>
            </w:r>
          </w:p>
        </w:tc>
        <w:tc>
          <w:tcPr>
            <w:tcW w:w="1666"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3 522</w:t>
            </w:r>
          </w:p>
        </w:tc>
        <w:tc>
          <w:tcPr>
            <w:tcW w:w="1668"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3 026</w:t>
            </w: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Zaúčtovaná do vlastného imania</w:t>
            </w:r>
          </w:p>
        </w:tc>
        <w:tc>
          <w:tcPr>
            <w:tcW w:w="1666" w:type="pct"/>
          </w:tcPr>
          <w:p w:rsidR="00CE4FC0" w:rsidRPr="00CE4FC0" w:rsidRDefault="00CE4FC0" w:rsidP="00CE4FC0">
            <w:pPr>
              <w:jc w:val="right"/>
              <w:rPr>
                <w:rFonts w:ascii="Calibri" w:eastAsia="Times New Roman" w:hAnsi="Calibri" w:cs="Times New Roman"/>
                <w:sz w:val="20"/>
                <w:szCs w:val="20"/>
              </w:rPr>
            </w:pPr>
          </w:p>
        </w:tc>
        <w:tc>
          <w:tcPr>
            <w:tcW w:w="1668"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1666" w:type="pct"/>
          </w:tcPr>
          <w:p w:rsidR="00CE4FC0" w:rsidRPr="00CE4FC0" w:rsidRDefault="00CE4FC0" w:rsidP="00CE4FC0">
            <w:pPr>
              <w:rPr>
                <w:rFonts w:ascii="Calibri" w:eastAsia="Times New Roman" w:hAnsi="Calibri" w:cs="Times New Roman"/>
                <w:b/>
                <w:sz w:val="20"/>
                <w:szCs w:val="20"/>
              </w:rPr>
            </w:pPr>
            <w:r w:rsidRPr="00CE4FC0">
              <w:rPr>
                <w:rFonts w:ascii="Calibri" w:eastAsia="Times New Roman" w:hAnsi="Calibri" w:cs="Times New Roman"/>
                <w:b/>
                <w:sz w:val="20"/>
                <w:szCs w:val="20"/>
              </w:rPr>
              <w:t>Odložený daňový záväzok</w:t>
            </w:r>
          </w:p>
        </w:tc>
        <w:tc>
          <w:tcPr>
            <w:tcW w:w="1666"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16 772</w:t>
            </w:r>
          </w:p>
        </w:tc>
        <w:tc>
          <w:tcPr>
            <w:tcW w:w="1668"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14 243</w:t>
            </w:r>
          </w:p>
        </w:tc>
      </w:tr>
      <w:tr w:rsidR="00CE4FC0" w:rsidRPr="00CE4FC0" w:rsidTr="00D60C0F">
        <w:tc>
          <w:tcPr>
            <w:tcW w:w="1666" w:type="pct"/>
          </w:tcPr>
          <w:p w:rsidR="00CE4FC0" w:rsidRPr="00CE4FC0" w:rsidRDefault="00CE4FC0" w:rsidP="00CE4FC0">
            <w:pPr>
              <w:rPr>
                <w:rFonts w:ascii="Calibri" w:eastAsia="Times New Roman" w:hAnsi="Calibri" w:cs="Times New Roman"/>
                <w:b/>
                <w:sz w:val="20"/>
                <w:szCs w:val="20"/>
              </w:rPr>
            </w:pPr>
            <w:r w:rsidRPr="00CE4FC0">
              <w:rPr>
                <w:rFonts w:ascii="Calibri" w:eastAsia="Times New Roman" w:hAnsi="Calibri" w:cs="Times New Roman"/>
                <w:b/>
                <w:sz w:val="20"/>
                <w:szCs w:val="20"/>
              </w:rPr>
              <w:t>Zmena odloženého daňového záväzku</w:t>
            </w:r>
          </w:p>
        </w:tc>
        <w:tc>
          <w:tcPr>
            <w:tcW w:w="1666" w:type="pct"/>
          </w:tcPr>
          <w:p w:rsidR="00CE4FC0" w:rsidRPr="00CE4FC0" w:rsidRDefault="00CE4FC0" w:rsidP="00CE4FC0">
            <w:pPr>
              <w:jc w:val="right"/>
              <w:rPr>
                <w:rFonts w:ascii="Calibri" w:eastAsia="Times New Roman" w:hAnsi="Calibri" w:cs="Times New Roman"/>
                <w:b/>
                <w:sz w:val="20"/>
                <w:szCs w:val="20"/>
              </w:rPr>
            </w:pPr>
          </w:p>
        </w:tc>
        <w:tc>
          <w:tcPr>
            <w:tcW w:w="1668" w:type="pct"/>
          </w:tcPr>
          <w:p w:rsidR="00CE4FC0" w:rsidRPr="00CE4FC0" w:rsidRDefault="00CE4FC0" w:rsidP="00CE4FC0">
            <w:pPr>
              <w:jc w:val="right"/>
              <w:rPr>
                <w:rFonts w:ascii="Calibri" w:eastAsia="Times New Roman" w:hAnsi="Calibri" w:cs="Times New Roman"/>
                <w:b/>
                <w:sz w:val="20"/>
                <w:szCs w:val="20"/>
              </w:rPr>
            </w:pP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Zaúčtovaná ako náklad</w:t>
            </w:r>
          </w:p>
        </w:tc>
        <w:tc>
          <w:tcPr>
            <w:tcW w:w="1666"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-3 488</w:t>
            </w:r>
          </w:p>
        </w:tc>
        <w:tc>
          <w:tcPr>
            <w:tcW w:w="1668"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-36 941</w:t>
            </w: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Zaúčtovaná do vlastného imania</w:t>
            </w:r>
          </w:p>
        </w:tc>
        <w:tc>
          <w:tcPr>
            <w:tcW w:w="1666" w:type="pct"/>
          </w:tcPr>
          <w:p w:rsidR="00CE4FC0" w:rsidRPr="00CE4FC0" w:rsidRDefault="00CE4FC0" w:rsidP="00CE4FC0">
            <w:pPr>
              <w:jc w:val="right"/>
              <w:rPr>
                <w:rFonts w:ascii="Calibri" w:eastAsia="Times New Roman" w:hAnsi="Calibri" w:cs="Times New Roman"/>
                <w:sz w:val="20"/>
                <w:szCs w:val="20"/>
              </w:rPr>
            </w:pPr>
          </w:p>
        </w:tc>
        <w:tc>
          <w:tcPr>
            <w:tcW w:w="1668"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Iné</w:t>
            </w:r>
          </w:p>
        </w:tc>
        <w:tc>
          <w:tcPr>
            <w:tcW w:w="1666" w:type="pct"/>
          </w:tcPr>
          <w:p w:rsidR="00CE4FC0" w:rsidRPr="00CE4FC0" w:rsidRDefault="00CE4FC0" w:rsidP="00CE4FC0">
            <w:pPr>
              <w:jc w:val="right"/>
              <w:rPr>
                <w:rFonts w:ascii="Calibri" w:eastAsia="Times New Roman" w:hAnsi="Calibri" w:cs="Times New Roman"/>
                <w:sz w:val="20"/>
                <w:szCs w:val="20"/>
              </w:rPr>
            </w:pPr>
          </w:p>
        </w:tc>
        <w:tc>
          <w:tcPr>
            <w:tcW w:w="1668" w:type="pct"/>
          </w:tcPr>
          <w:p w:rsidR="00CE4FC0" w:rsidRPr="00CE4FC0" w:rsidRDefault="00CE4FC0" w:rsidP="00CE4FC0">
            <w:pPr>
              <w:jc w:val="right"/>
              <w:rPr>
                <w:rFonts w:ascii="Calibri" w:eastAsia="Times New Roman" w:hAnsi="Calibri" w:cs="Times New Roman"/>
                <w:sz w:val="20"/>
                <w:szCs w:val="20"/>
              </w:rPr>
            </w:pPr>
          </w:p>
        </w:tc>
      </w:tr>
    </w:tbl>
    <w:p w:rsidR="00CE4FC0" w:rsidRPr="00CE4FC0" w:rsidRDefault="00CE4FC0" w:rsidP="00CE4FC0">
      <w:pPr>
        <w:spacing w:after="200" w:line="276" w:lineRule="auto"/>
        <w:rPr>
          <w:rFonts w:ascii="Calibri" w:eastAsia="Times New Roman" w:hAnsi="Calibri" w:cs="Times New Roman"/>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84"/>
        <w:gridCol w:w="3283"/>
        <w:gridCol w:w="3287"/>
      </w:tblGrid>
      <w:tr w:rsidR="00CE4FC0" w:rsidRPr="00CE4FC0" w:rsidTr="00D60C0F">
        <w:tc>
          <w:tcPr>
            <w:tcW w:w="5000" w:type="pct"/>
            <w:gridSpan w:val="3"/>
            <w:shd w:val="clear" w:color="auto" w:fill="C0C0C0"/>
          </w:tcPr>
          <w:p w:rsidR="00CE4FC0" w:rsidRPr="00CE4FC0" w:rsidRDefault="00CE4FC0" w:rsidP="00CE4FC0">
            <w:pPr>
              <w:jc w:val="center"/>
              <w:rPr>
                <w:rFonts w:ascii="Calibri" w:eastAsia="Times New Roman" w:hAnsi="Calibri" w:cs="Times New Roman"/>
                <w:b/>
                <w:sz w:val="20"/>
                <w:szCs w:val="20"/>
              </w:rPr>
            </w:pPr>
            <w:r w:rsidRPr="00CE4FC0">
              <w:rPr>
                <w:rFonts w:ascii="Calibri" w:eastAsia="Times New Roman" w:hAnsi="Calibri" w:cs="Times New Roman"/>
                <w:b/>
                <w:sz w:val="20"/>
                <w:szCs w:val="20"/>
              </w:rPr>
              <w:lastRenderedPageBreak/>
              <w:t>III. 1 t1) Krátkodobý finančný majetok - zložky</w:t>
            </w:r>
          </w:p>
        </w:tc>
      </w:tr>
      <w:tr w:rsidR="00CE4FC0" w:rsidRPr="00CE4FC0" w:rsidTr="00D60C0F">
        <w:tc>
          <w:tcPr>
            <w:tcW w:w="1666"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Názov položky</w:t>
            </w:r>
          </w:p>
        </w:tc>
        <w:tc>
          <w:tcPr>
            <w:tcW w:w="1666"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Bežné účtovné obdobie</w:t>
            </w:r>
          </w:p>
        </w:tc>
        <w:tc>
          <w:tcPr>
            <w:tcW w:w="1667"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Bezprostredne predchádzajúce účtovné obdobie</w:t>
            </w: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Pokladnica, ceniny</w:t>
            </w:r>
          </w:p>
        </w:tc>
        <w:tc>
          <w:tcPr>
            <w:tcW w:w="1666"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20 326</w:t>
            </w:r>
          </w:p>
        </w:tc>
        <w:tc>
          <w:tcPr>
            <w:tcW w:w="1667"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13 723</w:t>
            </w: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Bežné účty v banke alebo v pobočke zahraničnej banky</w:t>
            </w:r>
          </w:p>
        </w:tc>
        <w:tc>
          <w:tcPr>
            <w:tcW w:w="1666"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384 430</w:t>
            </w:r>
          </w:p>
        </w:tc>
        <w:tc>
          <w:tcPr>
            <w:tcW w:w="1667"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1 553 843</w:t>
            </w: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Vkladové účty v banke alebo v pobočke zahraničnej banky termínované</w:t>
            </w:r>
          </w:p>
        </w:tc>
        <w:tc>
          <w:tcPr>
            <w:tcW w:w="1666"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c>
          <w:tcPr>
            <w:tcW w:w="1667"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Peniaze na ceste</w:t>
            </w:r>
          </w:p>
        </w:tc>
        <w:tc>
          <w:tcPr>
            <w:tcW w:w="1666"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c>
          <w:tcPr>
            <w:tcW w:w="1667"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SPOLU</w:t>
            </w:r>
          </w:p>
        </w:tc>
        <w:tc>
          <w:tcPr>
            <w:tcW w:w="1666"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404 756</w:t>
            </w:r>
          </w:p>
        </w:tc>
        <w:tc>
          <w:tcPr>
            <w:tcW w:w="1667"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1 567 566</w:t>
            </w:r>
          </w:p>
        </w:tc>
      </w:tr>
    </w:tbl>
    <w:p w:rsidR="00CE4FC0" w:rsidRPr="00CE4FC0" w:rsidRDefault="00CE4FC0" w:rsidP="00CE4FC0">
      <w:pPr>
        <w:spacing w:after="200" w:line="276" w:lineRule="auto"/>
        <w:rPr>
          <w:rFonts w:ascii="Calibri" w:eastAsia="Times New Roman" w:hAnsi="Calibri" w:cs="Times New Roman"/>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854"/>
      </w:tblGrid>
      <w:tr w:rsidR="00CE4FC0" w:rsidRPr="00CE4FC0" w:rsidTr="00D60C0F">
        <w:tc>
          <w:tcPr>
            <w:tcW w:w="5000" w:type="pct"/>
            <w:shd w:val="clear" w:color="auto" w:fill="C0C0C0"/>
          </w:tcPr>
          <w:p w:rsidR="00CE4FC0" w:rsidRPr="00CE4FC0" w:rsidRDefault="00CE4FC0" w:rsidP="00CE4FC0">
            <w:pPr>
              <w:jc w:val="center"/>
              <w:rPr>
                <w:rFonts w:ascii="Calibri" w:eastAsia="Times New Roman" w:hAnsi="Calibri" w:cs="Times New Roman"/>
                <w:b/>
                <w:sz w:val="20"/>
                <w:szCs w:val="20"/>
              </w:rPr>
            </w:pPr>
            <w:r w:rsidRPr="00CE4FC0">
              <w:rPr>
                <w:rFonts w:ascii="Calibri" w:eastAsia="Times New Roman" w:hAnsi="Calibri" w:cs="Times New Roman"/>
                <w:b/>
                <w:sz w:val="20"/>
                <w:szCs w:val="20"/>
              </w:rPr>
              <w:t>III. 1 y) Významné položky časového rozlíšenia</w:t>
            </w:r>
          </w:p>
        </w:tc>
      </w:tr>
    </w:tbl>
    <w:p w:rsidR="00CE4FC0" w:rsidRPr="00CE4FC0" w:rsidRDefault="00CE4FC0" w:rsidP="00CE4FC0">
      <w:pPr>
        <w:spacing w:after="200" w:line="276" w:lineRule="auto"/>
        <w:rPr>
          <w:rFonts w:ascii="Calibri" w:eastAsia="Times New Roman" w:hAnsi="Calibri" w:cs="Times New Roman"/>
          <w:sz w:val="20"/>
          <w:szCs w:val="20"/>
        </w:rPr>
      </w:pPr>
    </w:p>
    <w:p w:rsidR="00CE4FC0" w:rsidRPr="00CE4FC0" w:rsidRDefault="00CE4FC0" w:rsidP="00CE4FC0">
      <w:pPr>
        <w:autoSpaceDE w:val="0"/>
        <w:autoSpaceDN w:val="0"/>
        <w:adjustRightInd w:val="0"/>
        <w:rPr>
          <w:rFonts w:ascii="Microsoft Sans Serif" w:eastAsia="Times New Roman" w:hAnsi="Microsoft Sans Serif" w:cs="Microsoft Sans Serif"/>
          <w:sz w:val="17"/>
          <w:szCs w:val="17"/>
          <w:lang w:eastAsia="sk-SK"/>
        </w:rPr>
      </w:pPr>
      <w:r w:rsidRPr="00CE4FC0">
        <w:rPr>
          <w:rFonts w:ascii="Microsoft Sans Serif" w:eastAsia="Times New Roman" w:hAnsi="Microsoft Sans Serif" w:cs="Microsoft Sans Serif"/>
          <w:sz w:val="17"/>
          <w:szCs w:val="17"/>
          <w:lang w:eastAsia="sk-SK"/>
        </w:rPr>
        <w:t>Významné položky časového rozlíšenia  - náklady budúcich období za rok 2017 tvorí : - poistenie majetku podľa obdobia uzatvorených poistných  zmlúv</w:t>
      </w:r>
    </w:p>
    <w:p w:rsidR="00CE4FC0" w:rsidRPr="00CE4FC0" w:rsidRDefault="00CE4FC0" w:rsidP="00CE4FC0">
      <w:pPr>
        <w:autoSpaceDE w:val="0"/>
        <w:autoSpaceDN w:val="0"/>
        <w:adjustRightInd w:val="0"/>
        <w:rPr>
          <w:rFonts w:ascii="Microsoft Sans Serif" w:eastAsia="Times New Roman" w:hAnsi="Microsoft Sans Serif" w:cs="Microsoft Sans Serif"/>
          <w:sz w:val="17"/>
          <w:szCs w:val="17"/>
          <w:lang w:eastAsia="sk-SK"/>
        </w:rPr>
      </w:pPr>
    </w:p>
    <w:tbl>
      <w:tblPr>
        <w:tblW w:w="5000" w:type="pct"/>
        <w:tblBorders>
          <w:top w:val="single" w:sz="4" w:space="0" w:color="auto"/>
          <w:left w:val="single" w:sz="4" w:space="0" w:color="auto"/>
          <w:bottom w:val="single" w:sz="4" w:space="0" w:color="auto"/>
          <w:right w:val="single" w:sz="4" w:space="0" w:color="auto"/>
        </w:tblBorders>
        <w:tblLook w:val="04A0"/>
      </w:tblPr>
      <w:tblGrid>
        <w:gridCol w:w="9854"/>
      </w:tblGrid>
      <w:tr w:rsidR="00CE4FC0" w:rsidRPr="00CE4FC0" w:rsidTr="00D60C0F">
        <w:tc>
          <w:tcPr>
            <w:tcW w:w="5000" w:type="pct"/>
            <w:tcBorders>
              <w:top w:val="single" w:sz="4" w:space="0" w:color="auto"/>
              <w:bottom w:val="single" w:sz="4" w:space="0" w:color="auto"/>
            </w:tcBorders>
            <w:shd w:val="clear" w:color="auto" w:fill="C0C0C0"/>
          </w:tcPr>
          <w:p w:rsidR="00CE4FC0" w:rsidRPr="00CE4FC0" w:rsidRDefault="00CE4FC0" w:rsidP="00CE4FC0">
            <w:pPr>
              <w:jc w:val="center"/>
              <w:rPr>
                <w:rFonts w:ascii="Calibri" w:eastAsia="Times New Roman" w:hAnsi="Calibri" w:cs="Times New Roman"/>
                <w:b/>
                <w:sz w:val="28"/>
                <w:szCs w:val="28"/>
              </w:rPr>
            </w:pPr>
            <w:r w:rsidRPr="00CE4FC0">
              <w:rPr>
                <w:rFonts w:ascii="Calibri" w:eastAsia="Times New Roman" w:hAnsi="Calibri" w:cs="Times New Roman"/>
                <w:b/>
                <w:sz w:val="28"/>
                <w:szCs w:val="28"/>
              </w:rPr>
              <w:t>III. 2) Pasíva</w:t>
            </w:r>
          </w:p>
        </w:tc>
      </w:tr>
    </w:tbl>
    <w:p w:rsidR="00CE4FC0" w:rsidRPr="00CE4FC0" w:rsidRDefault="00CE4FC0" w:rsidP="00CE4FC0">
      <w:pPr>
        <w:spacing w:after="200" w:line="276" w:lineRule="auto"/>
        <w:rPr>
          <w:rFonts w:ascii="Calibri" w:eastAsia="Times New Roman" w:hAnsi="Calibri" w:cs="Times New Roman"/>
          <w:sz w:val="20"/>
          <w:szCs w:val="20"/>
        </w:rPr>
      </w:pPr>
    </w:p>
    <w:tbl>
      <w:tblPr>
        <w:tblW w:w="5000" w:type="pct"/>
        <w:tblBorders>
          <w:top w:val="single" w:sz="4" w:space="0" w:color="auto"/>
          <w:left w:val="single" w:sz="4" w:space="0" w:color="auto"/>
          <w:bottom w:val="single" w:sz="4" w:space="0" w:color="auto"/>
          <w:right w:val="single" w:sz="4" w:space="0" w:color="auto"/>
        </w:tblBorders>
        <w:tblLook w:val="04A0"/>
      </w:tblPr>
      <w:tblGrid>
        <w:gridCol w:w="9854"/>
      </w:tblGrid>
      <w:tr w:rsidR="00CE4FC0" w:rsidRPr="00CE4FC0" w:rsidTr="00D60C0F">
        <w:tc>
          <w:tcPr>
            <w:tcW w:w="5000" w:type="pct"/>
            <w:tcBorders>
              <w:top w:val="single" w:sz="4" w:space="0" w:color="auto"/>
              <w:bottom w:val="single" w:sz="4" w:space="0" w:color="auto"/>
            </w:tcBorders>
            <w:shd w:val="clear" w:color="auto" w:fill="C0C0C0"/>
          </w:tcPr>
          <w:p w:rsidR="00CE4FC0" w:rsidRPr="00CE4FC0" w:rsidRDefault="00CE4FC0" w:rsidP="00CE4FC0">
            <w:pPr>
              <w:jc w:val="center"/>
              <w:rPr>
                <w:rFonts w:ascii="Calibri" w:eastAsia="Times New Roman" w:hAnsi="Calibri" w:cs="Times New Roman"/>
                <w:b/>
              </w:rPr>
            </w:pPr>
            <w:r w:rsidRPr="00CE4FC0">
              <w:rPr>
                <w:rFonts w:ascii="Calibri" w:eastAsia="Times New Roman" w:hAnsi="Calibri" w:cs="Times New Roman"/>
                <w:b/>
              </w:rPr>
              <w:t>III. 2a) Vlastné imanie</w:t>
            </w:r>
          </w:p>
        </w:tc>
      </w:tr>
    </w:tbl>
    <w:p w:rsidR="00CE4FC0" w:rsidRPr="00CE4FC0" w:rsidRDefault="00CE4FC0" w:rsidP="00CE4FC0">
      <w:pPr>
        <w:spacing w:after="200" w:line="276" w:lineRule="auto"/>
        <w:rPr>
          <w:rFonts w:ascii="Calibri" w:eastAsia="Times New Roman" w:hAnsi="Calibri" w:cs="Times New Roman"/>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41"/>
        <w:gridCol w:w="1641"/>
        <w:gridCol w:w="1644"/>
        <w:gridCol w:w="1644"/>
        <w:gridCol w:w="1644"/>
        <w:gridCol w:w="1640"/>
      </w:tblGrid>
      <w:tr w:rsidR="00CE4FC0" w:rsidRPr="00CE4FC0" w:rsidTr="00D60C0F">
        <w:tc>
          <w:tcPr>
            <w:tcW w:w="5000" w:type="pct"/>
            <w:gridSpan w:val="6"/>
            <w:shd w:val="clear" w:color="auto" w:fill="C0C0C0"/>
          </w:tcPr>
          <w:p w:rsidR="00CE4FC0" w:rsidRPr="00CE4FC0" w:rsidRDefault="00CE4FC0" w:rsidP="00CE4FC0">
            <w:pPr>
              <w:jc w:val="center"/>
              <w:rPr>
                <w:rFonts w:ascii="Calibri" w:eastAsia="Times New Roman" w:hAnsi="Calibri" w:cs="Times New Roman"/>
                <w:b/>
                <w:sz w:val="20"/>
                <w:szCs w:val="20"/>
              </w:rPr>
            </w:pPr>
            <w:r w:rsidRPr="00CE4FC0">
              <w:rPr>
                <w:rFonts w:ascii="Calibri" w:eastAsia="Times New Roman" w:hAnsi="Calibri" w:cs="Times New Roman"/>
                <w:b/>
                <w:sz w:val="20"/>
                <w:szCs w:val="20"/>
              </w:rPr>
              <w:t>III. 2 a1-2) Základné imanie</w:t>
            </w:r>
          </w:p>
        </w:tc>
      </w:tr>
      <w:tr w:rsidR="00CE4FC0" w:rsidRPr="00CE4FC0" w:rsidTr="00D60C0F">
        <w:tc>
          <w:tcPr>
            <w:tcW w:w="833"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Druh akcie</w:t>
            </w:r>
          </w:p>
        </w:tc>
        <w:tc>
          <w:tcPr>
            <w:tcW w:w="833"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Hodnota</w:t>
            </w:r>
          </w:p>
        </w:tc>
        <w:tc>
          <w:tcPr>
            <w:tcW w:w="834"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Počet</w:t>
            </w:r>
          </w:p>
        </w:tc>
        <w:tc>
          <w:tcPr>
            <w:tcW w:w="834"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Spolu</w:t>
            </w:r>
          </w:p>
        </w:tc>
        <w:tc>
          <w:tcPr>
            <w:tcW w:w="834"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Splatené</w:t>
            </w:r>
          </w:p>
        </w:tc>
        <w:tc>
          <w:tcPr>
            <w:tcW w:w="832"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Práva spojené s akciou</w:t>
            </w: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Kmeňové</w:t>
            </w:r>
          </w:p>
        </w:tc>
        <w:tc>
          <w:tcPr>
            <w:tcW w:w="833"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3 320</w:t>
            </w:r>
          </w:p>
        </w:tc>
        <w:tc>
          <w:tcPr>
            <w:tcW w:w="834"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10</w:t>
            </w:r>
          </w:p>
        </w:tc>
        <w:tc>
          <w:tcPr>
            <w:tcW w:w="834"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33 200</w:t>
            </w:r>
          </w:p>
        </w:tc>
        <w:tc>
          <w:tcPr>
            <w:tcW w:w="834"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33 200</w:t>
            </w:r>
          </w:p>
        </w:tc>
        <w:tc>
          <w:tcPr>
            <w:tcW w:w="832" w:type="pct"/>
          </w:tcPr>
          <w:p w:rsidR="00CE4FC0" w:rsidRPr="00CE4FC0" w:rsidRDefault="00CE4FC0" w:rsidP="00CE4FC0">
            <w:pPr>
              <w:rPr>
                <w:rFonts w:ascii="Calibri" w:eastAsia="Times New Roman" w:hAnsi="Calibri" w:cs="Times New Roman"/>
                <w:sz w:val="20"/>
                <w:szCs w:val="20"/>
              </w:rPr>
            </w:pP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SPOLU</w:t>
            </w:r>
          </w:p>
        </w:tc>
        <w:tc>
          <w:tcPr>
            <w:tcW w:w="833"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3 320</w:t>
            </w:r>
          </w:p>
        </w:tc>
        <w:tc>
          <w:tcPr>
            <w:tcW w:w="834"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10</w:t>
            </w:r>
          </w:p>
        </w:tc>
        <w:tc>
          <w:tcPr>
            <w:tcW w:w="834"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33 200</w:t>
            </w:r>
          </w:p>
        </w:tc>
        <w:tc>
          <w:tcPr>
            <w:tcW w:w="834"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33 200</w:t>
            </w:r>
          </w:p>
        </w:tc>
        <w:tc>
          <w:tcPr>
            <w:tcW w:w="832" w:type="pct"/>
          </w:tcPr>
          <w:p w:rsidR="00CE4FC0" w:rsidRPr="00CE4FC0" w:rsidRDefault="00CE4FC0" w:rsidP="00CE4FC0">
            <w:pPr>
              <w:rPr>
                <w:rFonts w:ascii="Calibri" w:eastAsia="Times New Roman" w:hAnsi="Calibri" w:cs="Times New Roman"/>
                <w:sz w:val="20"/>
                <w:szCs w:val="20"/>
              </w:rPr>
            </w:pPr>
          </w:p>
        </w:tc>
      </w:tr>
    </w:tbl>
    <w:p w:rsidR="00CE4FC0" w:rsidRPr="00CE4FC0" w:rsidRDefault="00CE4FC0" w:rsidP="00CE4FC0">
      <w:pPr>
        <w:spacing w:after="200" w:line="276" w:lineRule="auto"/>
        <w:rPr>
          <w:rFonts w:ascii="Calibri" w:eastAsia="Times New Roman" w:hAnsi="Calibri" w:cs="Times New Roman"/>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27"/>
        <w:gridCol w:w="4927"/>
      </w:tblGrid>
      <w:tr w:rsidR="00CE4FC0" w:rsidRPr="00CE4FC0" w:rsidTr="00D60C0F">
        <w:tc>
          <w:tcPr>
            <w:tcW w:w="5000" w:type="pct"/>
            <w:gridSpan w:val="2"/>
            <w:shd w:val="clear" w:color="auto" w:fill="C0C0C0"/>
          </w:tcPr>
          <w:p w:rsidR="00CE4FC0" w:rsidRPr="00CE4FC0" w:rsidRDefault="00CE4FC0" w:rsidP="00CE4FC0">
            <w:pPr>
              <w:jc w:val="center"/>
              <w:rPr>
                <w:rFonts w:ascii="Calibri" w:eastAsia="Times New Roman" w:hAnsi="Calibri" w:cs="Times New Roman"/>
                <w:b/>
                <w:sz w:val="20"/>
                <w:szCs w:val="20"/>
              </w:rPr>
            </w:pPr>
            <w:r w:rsidRPr="00CE4FC0">
              <w:rPr>
                <w:rFonts w:ascii="Calibri" w:eastAsia="Times New Roman" w:hAnsi="Calibri" w:cs="Times New Roman"/>
                <w:b/>
                <w:sz w:val="20"/>
                <w:szCs w:val="20"/>
              </w:rPr>
              <w:t>III. 2 a3-1) Rozdelenie účtovného zisku, vysporiadanie straty</w:t>
            </w:r>
          </w:p>
        </w:tc>
      </w:tr>
      <w:tr w:rsidR="00CE4FC0" w:rsidRPr="00CE4FC0" w:rsidTr="00D60C0F">
        <w:tc>
          <w:tcPr>
            <w:tcW w:w="2500"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Názov položky</w:t>
            </w:r>
          </w:p>
        </w:tc>
        <w:tc>
          <w:tcPr>
            <w:tcW w:w="2500"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Bezprostredne predchádzajúce účtovné obdobie</w:t>
            </w:r>
          </w:p>
        </w:tc>
      </w:tr>
      <w:tr w:rsidR="00CE4FC0" w:rsidRPr="00CE4FC0" w:rsidTr="00D60C0F">
        <w:tc>
          <w:tcPr>
            <w:tcW w:w="2500"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Účtovný zisk</w:t>
            </w:r>
          </w:p>
        </w:tc>
        <w:tc>
          <w:tcPr>
            <w:tcW w:w="2500"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3 796 557</w:t>
            </w:r>
          </w:p>
        </w:tc>
      </w:tr>
    </w:tbl>
    <w:p w:rsidR="00CE4FC0" w:rsidRPr="00CE4FC0" w:rsidRDefault="00CE4FC0" w:rsidP="00CE4FC0">
      <w:pPr>
        <w:spacing w:after="200" w:line="276" w:lineRule="auto"/>
        <w:rPr>
          <w:rFonts w:ascii="Calibri" w:eastAsia="Times New Roman" w:hAnsi="Calibri" w:cs="Times New Roman"/>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27"/>
        <w:gridCol w:w="4927"/>
      </w:tblGrid>
      <w:tr w:rsidR="00CE4FC0" w:rsidRPr="00CE4FC0" w:rsidTr="00D60C0F">
        <w:tc>
          <w:tcPr>
            <w:tcW w:w="5000" w:type="pct"/>
            <w:gridSpan w:val="2"/>
            <w:shd w:val="clear" w:color="auto" w:fill="C0C0C0"/>
          </w:tcPr>
          <w:p w:rsidR="00CE4FC0" w:rsidRPr="00CE4FC0" w:rsidRDefault="00CE4FC0" w:rsidP="00CE4FC0">
            <w:pPr>
              <w:jc w:val="center"/>
              <w:rPr>
                <w:rFonts w:ascii="Calibri" w:eastAsia="Times New Roman" w:hAnsi="Calibri" w:cs="Times New Roman"/>
                <w:b/>
                <w:sz w:val="20"/>
                <w:szCs w:val="20"/>
              </w:rPr>
            </w:pPr>
            <w:r w:rsidRPr="00CE4FC0">
              <w:rPr>
                <w:rFonts w:ascii="Calibri" w:eastAsia="Times New Roman" w:hAnsi="Calibri" w:cs="Times New Roman"/>
                <w:b/>
                <w:sz w:val="20"/>
                <w:szCs w:val="20"/>
              </w:rPr>
              <w:t>III. 2 a6-1) Navrhnuté rozdelenie zisku alebo vysporiadania straty za bežné účtovné obdobie</w:t>
            </w:r>
          </w:p>
        </w:tc>
      </w:tr>
      <w:tr w:rsidR="00CE4FC0" w:rsidRPr="00CE4FC0" w:rsidTr="00D60C0F">
        <w:tc>
          <w:tcPr>
            <w:tcW w:w="2500"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Názov položky</w:t>
            </w:r>
          </w:p>
        </w:tc>
        <w:tc>
          <w:tcPr>
            <w:tcW w:w="2500"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Rozdelenie účtovného zisku</w:t>
            </w:r>
          </w:p>
        </w:tc>
      </w:tr>
      <w:tr w:rsidR="00CE4FC0" w:rsidRPr="00CE4FC0" w:rsidTr="00D60C0F">
        <w:tc>
          <w:tcPr>
            <w:tcW w:w="2500"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Prídel do zákonného rezervného fondu</w:t>
            </w:r>
          </w:p>
        </w:tc>
        <w:tc>
          <w:tcPr>
            <w:tcW w:w="2500"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r>
      <w:tr w:rsidR="00CE4FC0" w:rsidRPr="00CE4FC0" w:rsidTr="00D60C0F">
        <w:tc>
          <w:tcPr>
            <w:tcW w:w="2500"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Prídel do štatutárnych a ostatných fondov</w:t>
            </w:r>
          </w:p>
        </w:tc>
        <w:tc>
          <w:tcPr>
            <w:tcW w:w="2500"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r>
      <w:tr w:rsidR="00CE4FC0" w:rsidRPr="00CE4FC0" w:rsidTr="00D60C0F">
        <w:tc>
          <w:tcPr>
            <w:tcW w:w="2500"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Prídel do sociálneho fondu</w:t>
            </w:r>
          </w:p>
        </w:tc>
        <w:tc>
          <w:tcPr>
            <w:tcW w:w="2500"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r>
      <w:tr w:rsidR="00CE4FC0" w:rsidRPr="00CE4FC0" w:rsidTr="00D60C0F">
        <w:tc>
          <w:tcPr>
            <w:tcW w:w="2500"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Prídel na zvýšenie základného imania</w:t>
            </w:r>
          </w:p>
        </w:tc>
        <w:tc>
          <w:tcPr>
            <w:tcW w:w="2500"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r>
      <w:tr w:rsidR="00CE4FC0" w:rsidRPr="00CE4FC0" w:rsidTr="00D60C0F">
        <w:tc>
          <w:tcPr>
            <w:tcW w:w="2500"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Úhrada straty minulých období</w:t>
            </w:r>
          </w:p>
        </w:tc>
        <w:tc>
          <w:tcPr>
            <w:tcW w:w="2500"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r>
      <w:tr w:rsidR="00CE4FC0" w:rsidRPr="00CE4FC0" w:rsidTr="00D60C0F">
        <w:tc>
          <w:tcPr>
            <w:tcW w:w="2500"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Prevod do nerozdeleného zisku minulých rokov</w:t>
            </w:r>
          </w:p>
        </w:tc>
        <w:tc>
          <w:tcPr>
            <w:tcW w:w="2500"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557</w:t>
            </w:r>
          </w:p>
        </w:tc>
      </w:tr>
      <w:tr w:rsidR="00CE4FC0" w:rsidRPr="00CE4FC0" w:rsidTr="00D60C0F">
        <w:tc>
          <w:tcPr>
            <w:tcW w:w="2500"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Rozdelenie podielu na zisku spoločníkom, členom</w:t>
            </w:r>
          </w:p>
        </w:tc>
        <w:tc>
          <w:tcPr>
            <w:tcW w:w="2500"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3 796 000</w:t>
            </w:r>
          </w:p>
        </w:tc>
      </w:tr>
      <w:tr w:rsidR="00CE4FC0" w:rsidRPr="00CE4FC0" w:rsidTr="00D60C0F">
        <w:tc>
          <w:tcPr>
            <w:tcW w:w="2500"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Iné</w:t>
            </w:r>
          </w:p>
        </w:tc>
        <w:tc>
          <w:tcPr>
            <w:tcW w:w="2500"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r>
      <w:tr w:rsidR="00CE4FC0" w:rsidRPr="00CE4FC0" w:rsidTr="00D60C0F">
        <w:tc>
          <w:tcPr>
            <w:tcW w:w="2500"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SPOLU</w:t>
            </w:r>
          </w:p>
        </w:tc>
        <w:tc>
          <w:tcPr>
            <w:tcW w:w="2500"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3 796 557</w:t>
            </w:r>
          </w:p>
        </w:tc>
      </w:tr>
    </w:tbl>
    <w:p w:rsidR="00CE4FC0" w:rsidRPr="00CE4FC0" w:rsidRDefault="00CE4FC0" w:rsidP="00CE4FC0">
      <w:pPr>
        <w:spacing w:after="200" w:line="276" w:lineRule="auto"/>
        <w:rPr>
          <w:rFonts w:ascii="Calibri" w:eastAsia="Times New Roman" w:hAnsi="Calibri" w:cs="Times New Roman"/>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62"/>
        <w:gridCol w:w="1617"/>
        <w:gridCol w:w="1619"/>
        <w:gridCol w:w="1620"/>
        <w:gridCol w:w="1620"/>
        <w:gridCol w:w="1616"/>
      </w:tblGrid>
      <w:tr w:rsidR="00CE4FC0" w:rsidRPr="00CE4FC0" w:rsidTr="00D60C0F">
        <w:tc>
          <w:tcPr>
            <w:tcW w:w="5000" w:type="pct"/>
            <w:gridSpan w:val="6"/>
            <w:shd w:val="clear" w:color="auto" w:fill="C0C0C0"/>
          </w:tcPr>
          <w:p w:rsidR="00CE4FC0" w:rsidRPr="00CE4FC0" w:rsidRDefault="00CE4FC0" w:rsidP="00CE4FC0">
            <w:pPr>
              <w:jc w:val="center"/>
              <w:rPr>
                <w:rFonts w:ascii="Calibri" w:eastAsia="Times New Roman" w:hAnsi="Calibri" w:cs="Times New Roman"/>
                <w:b/>
                <w:sz w:val="20"/>
                <w:szCs w:val="20"/>
              </w:rPr>
            </w:pPr>
            <w:r w:rsidRPr="00CE4FC0">
              <w:rPr>
                <w:rFonts w:ascii="Calibri" w:eastAsia="Times New Roman" w:hAnsi="Calibri" w:cs="Times New Roman"/>
                <w:b/>
                <w:sz w:val="20"/>
                <w:szCs w:val="20"/>
              </w:rPr>
              <w:t>III. 2 b) Rezervy</w:t>
            </w:r>
          </w:p>
        </w:tc>
      </w:tr>
      <w:tr w:rsidR="00CE4FC0" w:rsidRPr="00CE4FC0" w:rsidTr="00D60C0F">
        <w:tc>
          <w:tcPr>
            <w:tcW w:w="833"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Názov položky</w:t>
            </w:r>
          </w:p>
        </w:tc>
        <w:tc>
          <w:tcPr>
            <w:tcW w:w="833"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Stav na začiatku účtovného obdobia</w:t>
            </w:r>
          </w:p>
        </w:tc>
        <w:tc>
          <w:tcPr>
            <w:tcW w:w="834"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Tvorba</w:t>
            </w:r>
          </w:p>
        </w:tc>
        <w:tc>
          <w:tcPr>
            <w:tcW w:w="834"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Použitie</w:t>
            </w:r>
          </w:p>
        </w:tc>
        <w:tc>
          <w:tcPr>
            <w:tcW w:w="834"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Zrušenie</w:t>
            </w:r>
          </w:p>
        </w:tc>
        <w:tc>
          <w:tcPr>
            <w:tcW w:w="832"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Stav na konci účtovného obdobia</w:t>
            </w:r>
          </w:p>
        </w:tc>
      </w:tr>
      <w:tr w:rsidR="00CE4FC0" w:rsidRPr="00CE4FC0" w:rsidTr="00D60C0F">
        <w:tc>
          <w:tcPr>
            <w:tcW w:w="833" w:type="pct"/>
          </w:tcPr>
          <w:p w:rsidR="00CE4FC0" w:rsidRPr="00CE4FC0" w:rsidRDefault="00CE4FC0" w:rsidP="00CE4FC0">
            <w:pPr>
              <w:rPr>
                <w:rFonts w:ascii="Calibri" w:eastAsia="Times New Roman" w:hAnsi="Calibri" w:cs="Times New Roman"/>
                <w:b/>
                <w:sz w:val="20"/>
                <w:szCs w:val="20"/>
              </w:rPr>
            </w:pPr>
            <w:r w:rsidRPr="00CE4FC0">
              <w:rPr>
                <w:rFonts w:ascii="Calibri" w:eastAsia="Times New Roman" w:hAnsi="Calibri" w:cs="Times New Roman"/>
                <w:b/>
                <w:sz w:val="20"/>
                <w:szCs w:val="20"/>
              </w:rPr>
              <w:t>Dlhodobé rezervy, z toho:</w:t>
            </w:r>
          </w:p>
        </w:tc>
        <w:tc>
          <w:tcPr>
            <w:tcW w:w="833" w:type="pct"/>
          </w:tcPr>
          <w:p w:rsidR="00CE4FC0" w:rsidRPr="00CE4FC0" w:rsidRDefault="00CE4FC0" w:rsidP="00CE4FC0">
            <w:pPr>
              <w:jc w:val="right"/>
              <w:rPr>
                <w:rFonts w:ascii="Calibri" w:eastAsia="Times New Roman" w:hAnsi="Calibri" w:cs="Times New Roman"/>
                <w:b/>
                <w:sz w:val="20"/>
                <w:szCs w:val="20"/>
              </w:rPr>
            </w:pPr>
          </w:p>
        </w:tc>
        <w:tc>
          <w:tcPr>
            <w:tcW w:w="834" w:type="pct"/>
          </w:tcPr>
          <w:p w:rsidR="00CE4FC0" w:rsidRPr="00CE4FC0" w:rsidRDefault="00CE4FC0" w:rsidP="00CE4FC0">
            <w:pPr>
              <w:jc w:val="right"/>
              <w:rPr>
                <w:rFonts w:ascii="Calibri" w:eastAsia="Times New Roman" w:hAnsi="Calibri" w:cs="Times New Roman"/>
                <w:b/>
                <w:sz w:val="20"/>
                <w:szCs w:val="20"/>
              </w:rPr>
            </w:pPr>
          </w:p>
        </w:tc>
        <w:tc>
          <w:tcPr>
            <w:tcW w:w="834" w:type="pct"/>
          </w:tcPr>
          <w:p w:rsidR="00CE4FC0" w:rsidRPr="00CE4FC0" w:rsidRDefault="00CE4FC0" w:rsidP="00CE4FC0">
            <w:pPr>
              <w:jc w:val="right"/>
              <w:rPr>
                <w:rFonts w:ascii="Calibri" w:eastAsia="Times New Roman" w:hAnsi="Calibri" w:cs="Times New Roman"/>
                <w:b/>
                <w:sz w:val="20"/>
                <w:szCs w:val="20"/>
              </w:rPr>
            </w:pPr>
          </w:p>
        </w:tc>
        <w:tc>
          <w:tcPr>
            <w:tcW w:w="834" w:type="pct"/>
          </w:tcPr>
          <w:p w:rsidR="00CE4FC0" w:rsidRPr="00CE4FC0" w:rsidRDefault="00CE4FC0" w:rsidP="00CE4FC0">
            <w:pPr>
              <w:jc w:val="right"/>
              <w:rPr>
                <w:rFonts w:ascii="Calibri" w:eastAsia="Times New Roman" w:hAnsi="Calibri" w:cs="Times New Roman"/>
                <w:b/>
                <w:sz w:val="20"/>
                <w:szCs w:val="20"/>
              </w:rPr>
            </w:pPr>
          </w:p>
        </w:tc>
        <w:tc>
          <w:tcPr>
            <w:tcW w:w="832" w:type="pct"/>
          </w:tcPr>
          <w:p w:rsidR="00CE4FC0" w:rsidRPr="00CE4FC0" w:rsidRDefault="00CE4FC0" w:rsidP="00CE4FC0">
            <w:pPr>
              <w:jc w:val="right"/>
              <w:rPr>
                <w:rFonts w:ascii="Calibri" w:eastAsia="Times New Roman" w:hAnsi="Calibri" w:cs="Times New Roman"/>
                <w:b/>
                <w:sz w:val="20"/>
                <w:szCs w:val="20"/>
              </w:rPr>
            </w:pPr>
          </w:p>
        </w:tc>
      </w:tr>
      <w:tr w:rsidR="00CE4FC0" w:rsidRPr="00CE4FC0" w:rsidTr="00D60C0F">
        <w:tc>
          <w:tcPr>
            <w:tcW w:w="833" w:type="pct"/>
          </w:tcPr>
          <w:p w:rsidR="00CE4FC0" w:rsidRPr="00CE4FC0" w:rsidRDefault="00CE4FC0" w:rsidP="00CE4FC0">
            <w:pPr>
              <w:rPr>
                <w:rFonts w:ascii="Calibri" w:eastAsia="Times New Roman" w:hAnsi="Calibri" w:cs="Times New Roman"/>
                <w:b/>
                <w:sz w:val="20"/>
                <w:szCs w:val="20"/>
              </w:rPr>
            </w:pPr>
            <w:r w:rsidRPr="00CE4FC0">
              <w:rPr>
                <w:rFonts w:ascii="Calibri" w:eastAsia="Times New Roman" w:hAnsi="Calibri" w:cs="Times New Roman"/>
                <w:b/>
                <w:sz w:val="20"/>
                <w:szCs w:val="20"/>
              </w:rPr>
              <w:t>Krátkodobé rezervy, z toho:</w:t>
            </w:r>
          </w:p>
        </w:tc>
        <w:tc>
          <w:tcPr>
            <w:tcW w:w="833"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21 410</w:t>
            </w:r>
          </w:p>
        </w:tc>
        <w:tc>
          <w:tcPr>
            <w:tcW w:w="834"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14 096</w:t>
            </w:r>
          </w:p>
        </w:tc>
        <w:tc>
          <w:tcPr>
            <w:tcW w:w="834"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21 410</w:t>
            </w:r>
          </w:p>
        </w:tc>
        <w:tc>
          <w:tcPr>
            <w:tcW w:w="834" w:type="pct"/>
          </w:tcPr>
          <w:p w:rsidR="00CE4FC0" w:rsidRPr="00CE4FC0" w:rsidRDefault="00CE4FC0" w:rsidP="00CE4FC0">
            <w:pPr>
              <w:jc w:val="right"/>
              <w:rPr>
                <w:rFonts w:ascii="Calibri" w:eastAsia="Times New Roman" w:hAnsi="Calibri" w:cs="Times New Roman"/>
                <w:b/>
                <w:sz w:val="20"/>
                <w:szCs w:val="20"/>
              </w:rPr>
            </w:pPr>
          </w:p>
        </w:tc>
        <w:tc>
          <w:tcPr>
            <w:tcW w:w="832"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14 096</w:t>
            </w: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lastRenderedPageBreak/>
              <w:t>Audítorské služby</w:t>
            </w:r>
          </w:p>
        </w:tc>
        <w:tc>
          <w:tcPr>
            <w:tcW w:w="833"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7 000</w:t>
            </w:r>
          </w:p>
        </w:tc>
        <w:tc>
          <w:tcPr>
            <w:tcW w:w="834"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7 000</w:t>
            </w:r>
          </w:p>
        </w:tc>
        <w:tc>
          <w:tcPr>
            <w:tcW w:w="834"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7 000</w:t>
            </w: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2"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7 000</w:t>
            </w: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Služby  /revízie, odpad, kúrenie/ týkajúce sa prenajatých priestorov, vyúčtované v nasledujúcom roku</w:t>
            </w:r>
          </w:p>
        </w:tc>
        <w:tc>
          <w:tcPr>
            <w:tcW w:w="833"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4 907</w:t>
            </w:r>
          </w:p>
        </w:tc>
        <w:tc>
          <w:tcPr>
            <w:tcW w:w="834"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3 059</w:t>
            </w:r>
          </w:p>
        </w:tc>
        <w:tc>
          <w:tcPr>
            <w:tcW w:w="834"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4 907</w:t>
            </w: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2"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3 059</w:t>
            </w: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nevyčerpaná dovolenka+odvody</w:t>
            </w:r>
          </w:p>
        </w:tc>
        <w:tc>
          <w:tcPr>
            <w:tcW w:w="833"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7 503</w:t>
            </w:r>
          </w:p>
        </w:tc>
        <w:tc>
          <w:tcPr>
            <w:tcW w:w="834"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4 038</w:t>
            </w:r>
          </w:p>
        </w:tc>
        <w:tc>
          <w:tcPr>
            <w:tcW w:w="834"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7 503</w:t>
            </w: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2"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4 038</w:t>
            </w: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cestovné</w:t>
            </w:r>
          </w:p>
        </w:tc>
        <w:tc>
          <w:tcPr>
            <w:tcW w:w="833"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c>
          <w:tcPr>
            <w:tcW w:w="834"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2"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ročné zúčtovanie zdrav.poistenia</w:t>
            </w:r>
          </w:p>
        </w:tc>
        <w:tc>
          <w:tcPr>
            <w:tcW w:w="833"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2 000</w:t>
            </w:r>
          </w:p>
        </w:tc>
        <w:tc>
          <w:tcPr>
            <w:tcW w:w="834"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c>
          <w:tcPr>
            <w:tcW w:w="834"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2 000</w:t>
            </w: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2"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r>
    </w:tbl>
    <w:p w:rsidR="00CE4FC0" w:rsidRPr="00CE4FC0" w:rsidRDefault="00CE4FC0" w:rsidP="00CE4FC0">
      <w:pPr>
        <w:spacing w:after="200" w:line="276" w:lineRule="auto"/>
        <w:rPr>
          <w:rFonts w:ascii="Calibri" w:eastAsia="Times New Roman" w:hAnsi="Calibri" w:cs="Times New Roman"/>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84"/>
        <w:gridCol w:w="3283"/>
        <w:gridCol w:w="3287"/>
      </w:tblGrid>
      <w:tr w:rsidR="00CE4FC0" w:rsidRPr="00CE4FC0" w:rsidTr="00D60C0F">
        <w:tc>
          <w:tcPr>
            <w:tcW w:w="5000" w:type="pct"/>
            <w:gridSpan w:val="3"/>
            <w:shd w:val="clear" w:color="auto" w:fill="C0C0C0"/>
          </w:tcPr>
          <w:p w:rsidR="00CE4FC0" w:rsidRPr="00CE4FC0" w:rsidRDefault="00CE4FC0" w:rsidP="00CE4FC0">
            <w:pPr>
              <w:jc w:val="center"/>
              <w:rPr>
                <w:rFonts w:ascii="Calibri" w:eastAsia="Times New Roman" w:hAnsi="Calibri" w:cs="Times New Roman"/>
                <w:b/>
                <w:sz w:val="20"/>
                <w:szCs w:val="20"/>
              </w:rPr>
            </w:pPr>
            <w:r w:rsidRPr="00CE4FC0">
              <w:rPr>
                <w:rFonts w:ascii="Calibri" w:eastAsia="Times New Roman" w:hAnsi="Calibri" w:cs="Times New Roman"/>
                <w:b/>
                <w:sz w:val="20"/>
                <w:szCs w:val="20"/>
              </w:rPr>
              <w:t>III. 2 d) Záväzky - podľa zostatkovej doby splatnosti</w:t>
            </w:r>
          </w:p>
        </w:tc>
      </w:tr>
      <w:tr w:rsidR="00CE4FC0" w:rsidRPr="00CE4FC0" w:rsidTr="00D60C0F">
        <w:tc>
          <w:tcPr>
            <w:tcW w:w="1666"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Názov položky</w:t>
            </w:r>
          </w:p>
        </w:tc>
        <w:tc>
          <w:tcPr>
            <w:tcW w:w="1666"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Bežné účtovné obdobie</w:t>
            </w:r>
          </w:p>
        </w:tc>
        <w:tc>
          <w:tcPr>
            <w:tcW w:w="1667"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Bezprostredne predchádzajúce účtovné obdobie</w:t>
            </w:r>
          </w:p>
        </w:tc>
      </w:tr>
      <w:tr w:rsidR="00CE4FC0" w:rsidRPr="00CE4FC0" w:rsidTr="00D60C0F">
        <w:tc>
          <w:tcPr>
            <w:tcW w:w="1666" w:type="pct"/>
          </w:tcPr>
          <w:p w:rsidR="00CE4FC0" w:rsidRPr="00CE4FC0" w:rsidRDefault="00CE4FC0" w:rsidP="00CE4FC0">
            <w:pPr>
              <w:rPr>
                <w:rFonts w:ascii="Calibri" w:eastAsia="Times New Roman" w:hAnsi="Calibri" w:cs="Times New Roman"/>
                <w:b/>
                <w:sz w:val="20"/>
                <w:szCs w:val="20"/>
              </w:rPr>
            </w:pPr>
            <w:r w:rsidRPr="00CE4FC0">
              <w:rPr>
                <w:rFonts w:ascii="Calibri" w:eastAsia="Times New Roman" w:hAnsi="Calibri" w:cs="Times New Roman"/>
                <w:b/>
                <w:sz w:val="20"/>
                <w:szCs w:val="20"/>
              </w:rPr>
              <w:t>Dlhodobé záväzky spolu</w:t>
            </w:r>
          </w:p>
        </w:tc>
        <w:tc>
          <w:tcPr>
            <w:tcW w:w="1666" w:type="pct"/>
          </w:tcPr>
          <w:p w:rsidR="00CE4FC0" w:rsidRPr="00CE4FC0" w:rsidRDefault="00CE4FC0" w:rsidP="00CE4FC0">
            <w:pPr>
              <w:jc w:val="right"/>
              <w:rPr>
                <w:rFonts w:ascii="Calibri" w:eastAsia="Times New Roman" w:hAnsi="Calibri" w:cs="Times New Roman"/>
                <w:b/>
                <w:sz w:val="20"/>
                <w:szCs w:val="20"/>
              </w:rPr>
            </w:pPr>
          </w:p>
        </w:tc>
        <w:tc>
          <w:tcPr>
            <w:tcW w:w="1667" w:type="pct"/>
          </w:tcPr>
          <w:p w:rsidR="00CE4FC0" w:rsidRPr="00CE4FC0" w:rsidRDefault="00CE4FC0" w:rsidP="00CE4FC0">
            <w:pPr>
              <w:jc w:val="right"/>
              <w:rPr>
                <w:rFonts w:ascii="Calibri" w:eastAsia="Times New Roman" w:hAnsi="Calibri" w:cs="Times New Roman"/>
                <w:b/>
                <w:sz w:val="20"/>
                <w:szCs w:val="20"/>
              </w:rPr>
            </w:pP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Záväzky so zostatkovou dobou splatnosti nad päť rokov</w:t>
            </w:r>
          </w:p>
        </w:tc>
        <w:tc>
          <w:tcPr>
            <w:tcW w:w="1666" w:type="pct"/>
          </w:tcPr>
          <w:p w:rsidR="00CE4FC0" w:rsidRPr="00CE4FC0" w:rsidRDefault="00CE4FC0" w:rsidP="00CE4FC0">
            <w:pPr>
              <w:jc w:val="right"/>
              <w:rPr>
                <w:rFonts w:ascii="Calibri" w:eastAsia="Times New Roman" w:hAnsi="Calibri" w:cs="Times New Roman"/>
                <w:sz w:val="20"/>
                <w:szCs w:val="20"/>
              </w:rPr>
            </w:pPr>
          </w:p>
        </w:tc>
        <w:tc>
          <w:tcPr>
            <w:tcW w:w="1667"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Záväzky so zostatkovou dobou splatnosti jeden rok až päť rokov</w:t>
            </w:r>
          </w:p>
        </w:tc>
        <w:tc>
          <w:tcPr>
            <w:tcW w:w="1666" w:type="pct"/>
          </w:tcPr>
          <w:p w:rsidR="00CE4FC0" w:rsidRPr="00CE4FC0" w:rsidRDefault="00CE4FC0" w:rsidP="00CE4FC0">
            <w:pPr>
              <w:jc w:val="right"/>
              <w:rPr>
                <w:rFonts w:ascii="Calibri" w:eastAsia="Times New Roman" w:hAnsi="Calibri" w:cs="Times New Roman"/>
                <w:sz w:val="20"/>
                <w:szCs w:val="20"/>
              </w:rPr>
            </w:pPr>
          </w:p>
        </w:tc>
        <w:tc>
          <w:tcPr>
            <w:tcW w:w="1667"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1666" w:type="pct"/>
          </w:tcPr>
          <w:p w:rsidR="00CE4FC0" w:rsidRPr="00CE4FC0" w:rsidRDefault="00CE4FC0" w:rsidP="00CE4FC0">
            <w:pPr>
              <w:rPr>
                <w:rFonts w:ascii="Calibri" w:eastAsia="Times New Roman" w:hAnsi="Calibri" w:cs="Times New Roman"/>
                <w:b/>
                <w:sz w:val="20"/>
                <w:szCs w:val="20"/>
              </w:rPr>
            </w:pPr>
            <w:r w:rsidRPr="00CE4FC0">
              <w:rPr>
                <w:rFonts w:ascii="Calibri" w:eastAsia="Times New Roman" w:hAnsi="Calibri" w:cs="Times New Roman"/>
                <w:b/>
                <w:sz w:val="20"/>
                <w:szCs w:val="20"/>
              </w:rPr>
              <w:t>Krátkodobé záväzky spolu</w:t>
            </w:r>
          </w:p>
        </w:tc>
        <w:tc>
          <w:tcPr>
            <w:tcW w:w="1666"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74 572</w:t>
            </w:r>
          </w:p>
        </w:tc>
        <w:tc>
          <w:tcPr>
            <w:tcW w:w="1667"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297 517</w:t>
            </w: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Záväzky so zostatkovou dobou splatnosti do jedného roka vrátane</w:t>
            </w:r>
          </w:p>
        </w:tc>
        <w:tc>
          <w:tcPr>
            <w:tcW w:w="1666"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74 572</w:t>
            </w:r>
          </w:p>
        </w:tc>
        <w:tc>
          <w:tcPr>
            <w:tcW w:w="1667"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297 517</w:t>
            </w: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Záväzky po lehote splatnosti</w:t>
            </w:r>
          </w:p>
        </w:tc>
        <w:tc>
          <w:tcPr>
            <w:tcW w:w="1666"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c>
          <w:tcPr>
            <w:tcW w:w="1667"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r>
    </w:tbl>
    <w:p w:rsidR="00CE4FC0" w:rsidRPr="00CE4FC0" w:rsidRDefault="00CE4FC0" w:rsidP="00CE4FC0">
      <w:pPr>
        <w:spacing w:after="200" w:line="276" w:lineRule="auto"/>
        <w:rPr>
          <w:rFonts w:ascii="Calibri" w:eastAsia="Times New Roman" w:hAnsi="Calibri" w:cs="Times New Roman"/>
          <w:sz w:val="20"/>
          <w:szCs w:val="20"/>
        </w:rPr>
      </w:pPr>
    </w:p>
    <w:tbl>
      <w:tblPr>
        <w:tblW w:w="5000" w:type="pct"/>
        <w:tblBorders>
          <w:top w:val="single" w:sz="4" w:space="0" w:color="auto"/>
          <w:left w:val="single" w:sz="4" w:space="0" w:color="auto"/>
          <w:bottom w:val="single" w:sz="4" w:space="0" w:color="auto"/>
          <w:right w:val="single" w:sz="4" w:space="0" w:color="auto"/>
        </w:tblBorders>
        <w:tblLook w:val="04A0"/>
      </w:tblPr>
      <w:tblGrid>
        <w:gridCol w:w="9854"/>
      </w:tblGrid>
      <w:tr w:rsidR="00CE4FC0" w:rsidRPr="00CE4FC0" w:rsidTr="00D60C0F">
        <w:tc>
          <w:tcPr>
            <w:tcW w:w="5000" w:type="pct"/>
            <w:tcBorders>
              <w:top w:val="single" w:sz="4" w:space="0" w:color="auto"/>
              <w:bottom w:val="single" w:sz="4" w:space="0" w:color="auto"/>
            </w:tcBorders>
            <w:shd w:val="clear" w:color="auto" w:fill="C0C0C0"/>
          </w:tcPr>
          <w:p w:rsidR="00CE4FC0" w:rsidRPr="00CE4FC0" w:rsidRDefault="00CE4FC0" w:rsidP="00CE4FC0">
            <w:pPr>
              <w:jc w:val="center"/>
              <w:rPr>
                <w:rFonts w:ascii="Calibri" w:eastAsia="Times New Roman" w:hAnsi="Calibri" w:cs="Times New Roman"/>
                <w:b/>
                <w:sz w:val="20"/>
                <w:szCs w:val="20"/>
              </w:rPr>
            </w:pPr>
            <w:r w:rsidRPr="00CE4FC0">
              <w:rPr>
                <w:rFonts w:ascii="Calibri" w:eastAsia="Times New Roman" w:hAnsi="Calibri" w:cs="Times New Roman"/>
                <w:b/>
                <w:sz w:val="20"/>
                <w:szCs w:val="20"/>
              </w:rPr>
              <w:t>III. 2 f) Výpočet odloženého daňového záväzku</w:t>
            </w:r>
          </w:p>
        </w:tc>
      </w:tr>
    </w:tbl>
    <w:p w:rsidR="00CE4FC0" w:rsidRPr="00CE4FC0" w:rsidRDefault="00CE4FC0" w:rsidP="00CE4FC0">
      <w:pPr>
        <w:spacing w:after="200" w:line="276" w:lineRule="auto"/>
        <w:rPr>
          <w:rFonts w:ascii="Calibri" w:eastAsia="Times New Roman" w:hAnsi="Calibri" w:cs="Times New Roman"/>
          <w:sz w:val="20"/>
          <w:szCs w:val="20"/>
        </w:rPr>
      </w:pPr>
    </w:p>
    <w:p w:rsidR="00CE4FC0" w:rsidRPr="00CE4FC0" w:rsidRDefault="00CE4FC0" w:rsidP="00CE4FC0">
      <w:pPr>
        <w:autoSpaceDE w:val="0"/>
        <w:autoSpaceDN w:val="0"/>
        <w:adjustRightInd w:val="0"/>
        <w:rPr>
          <w:rFonts w:ascii="Microsoft Sans Serif" w:eastAsia="Times New Roman" w:hAnsi="Microsoft Sans Serif" w:cs="Microsoft Sans Serif"/>
          <w:sz w:val="17"/>
          <w:szCs w:val="17"/>
          <w:lang w:eastAsia="sk-SK"/>
        </w:rPr>
      </w:pPr>
      <w:r w:rsidRPr="00CE4FC0">
        <w:rPr>
          <w:rFonts w:ascii="Microsoft Sans Serif" w:eastAsia="Times New Roman" w:hAnsi="Microsoft Sans Serif" w:cs="Microsoft Sans Serif"/>
          <w:sz w:val="17"/>
          <w:szCs w:val="17"/>
          <w:lang w:eastAsia="sk-SK"/>
        </w:rPr>
        <w:t>Odložený daňový záväzok vznikol z rozdielu medzi zostatkovou  účtovnou hodnotou majetku a zostatkovou daňovou hodnotou majetku s uplatnením 21% sadzbou dane.</w:t>
      </w:r>
    </w:p>
    <w:p w:rsidR="00CE4FC0" w:rsidRPr="00CE4FC0" w:rsidRDefault="00CE4FC0" w:rsidP="00CE4FC0">
      <w:pPr>
        <w:spacing w:after="200" w:line="276" w:lineRule="auto"/>
        <w:rPr>
          <w:rFonts w:ascii="Calibri" w:eastAsia="Times New Roman" w:hAnsi="Calibri" w:cs="Times New Roman"/>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84"/>
        <w:gridCol w:w="3283"/>
        <w:gridCol w:w="3287"/>
      </w:tblGrid>
      <w:tr w:rsidR="00CE4FC0" w:rsidRPr="00CE4FC0" w:rsidTr="00D60C0F">
        <w:tc>
          <w:tcPr>
            <w:tcW w:w="5000" w:type="pct"/>
            <w:gridSpan w:val="3"/>
            <w:shd w:val="clear" w:color="auto" w:fill="C0C0C0"/>
          </w:tcPr>
          <w:p w:rsidR="00CE4FC0" w:rsidRPr="00CE4FC0" w:rsidRDefault="00CE4FC0" w:rsidP="00CE4FC0">
            <w:pPr>
              <w:jc w:val="center"/>
              <w:rPr>
                <w:rFonts w:ascii="Calibri" w:eastAsia="Times New Roman" w:hAnsi="Calibri" w:cs="Times New Roman"/>
                <w:b/>
                <w:sz w:val="20"/>
                <w:szCs w:val="20"/>
              </w:rPr>
            </w:pPr>
            <w:r w:rsidRPr="00CE4FC0">
              <w:rPr>
                <w:rFonts w:ascii="Calibri" w:eastAsia="Times New Roman" w:hAnsi="Calibri" w:cs="Times New Roman"/>
                <w:b/>
                <w:sz w:val="20"/>
                <w:szCs w:val="20"/>
              </w:rPr>
              <w:t>III. 2 g) Záväzky zo sociálneho fondu</w:t>
            </w:r>
          </w:p>
        </w:tc>
      </w:tr>
      <w:tr w:rsidR="00CE4FC0" w:rsidRPr="00CE4FC0" w:rsidTr="00D60C0F">
        <w:tc>
          <w:tcPr>
            <w:tcW w:w="1666"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Názov položky</w:t>
            </w:r>
          </w:p>
        </w:tc>
        <w:tc>
          <w:tcPr>
            <w:tcW w:w="1666"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Bežné účtovné obdobie</w:t>
            </w:r>
          </w:p>
        </w:tc>
        <w:tc>
          <w:tcPr>
            <w:tcW w:w="1668"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Bezprostredne predchádzajúce účtovné obdobie</w:t>
            </w:r>
          </w:p>
        </w:tc>
      </w:tr>
      <w:tr w:rsidR="00CE4FC0" w:rsidRPr="00CE4FC0" w:rsidTr="00D60C0F">
        <w:tc>
          <w:tcPr>
            <w:tcW w:w="1666" w:type="pct"/>
          </w:tcPr>
          <w:p w:rsidR="00CE4FC0" w:rsidRPr="00CE4FC0" w:rsidRDefault="00CE4FC0" w:rsidP="00CE4FC0">
            <w:pPr>
              <w:rPr>
                <w:rFonts w:ascii="Calibri" w:eastAsia="Times New Roman" w:hAnsi="Calibri" w:cs="Times New Roman"/>
                <w:b/>
                <w:sz w:val="20"/>
                <w:szCs w:val="20"/>
              </w:rPr>
            </w:pPr>
            <w:r w:rsidRPr="00CE4FC0">
              <w:rPr>
                <w:rFonts w:ascii="Calibri" w:eastAsia="Times New Roman" w:hAnsi="Calibri" w:cs="Times New Roman"/>
                <w:b/>
                <w:sz w:val="20"/>
                <w:szCs w:val="20"/>
              </w:rPr>
              <w:t>Začiatočný stav sociálneho fondu</w:t>
            </w:r>
          </w:p>
        </w:tc>
        <w:tc>
          <w:tcPr>
            <w:tcW w:w="1666"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915</w:t>
            </w:r>
          </w:p>
        </w:tc>
        <w:tc>
          <w:tcPr>
            <w:tcW w:w="1668"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759</w:t>
            </w: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Tvorba sociálneho fondu na ťarchu nákladov</w:t>
            </w:r>
          </w:p>
        </w:tc>
        <w:tc>
          <w:tcPr>
            <w:tcW w:w="1666"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676</w:t>
            </w:r>
          </w:p>
        </w:tc>
        <w:tc>
          <w:tcPr>
            <w:tcW w:w="1668"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665</w:t>
            </w: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Tvorba sociálneho fondu zo zisku</w:t>
            </w:r>
          </w:p>
        </w:tc>
        <w:tc>
          <w:tcPr>
            <w:tcW w:w="1666"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c>
          <w:tcPr>
            <w:tcW w:w="1668"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Ostatná tvorba sociálneho fondu</w:t>
            </w:r>
          </w:p>
        </w:tc>
        <w:tc>
          <w:tcPr>
            <w:tcW w:w="1666"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c>
          <w:tcPr>
            <w:tcW w:w="1668"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r>
      <w:tr w:rsidR="00CE4FC0" w:rsidRPr="00CE4FC0" w:rsidTr="00D60C0F">
        <w:tc>
          <w:tcPr>
            <w:tcW w:w="1666" w:type="pct"/>
          </w:tcPr>
          <w:p w:rsidR="00CE4FC0" w:rsidRPr="00CE4FC0" w:rsidRDefault="00CE4FC0" w:rsidP="00CE4FC0">
            <w:pPr>
              <w:rPr>
                <w:rFonts w:ascii="Calibri" w:eastAsia="Times New Roman" w:hAnsi="Calibri" w:cs="Times New Roman"/>
                <w:b/>
                <w:sz w:val="20"/>
                <w:szCs w:val="20"/>
              </w:rPr>
            </w:pPr>
            <w:r w:rsidRPr="00CE4FC0">
              <w:rPr>
                <w:rFonts w:ascii="Calibri" w:eastAsia="Times New Roman" w:hAnsi="Calibri" w:cs="Times New Roman"/>
                <w:b/>
                <w:sz w:val="20"/>
                <w:szCs w:val="20"/>
              </w:rPr>
              <w:t>Tvorba sociálneho fondu spolu</w:t>
            </w:r>
          </w:p>
        </w:tc>
        <w:tc>
          <w:tcPr>
            <w:tcW w:w="1666"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676</w:t>
            </w:r>
          </w:p>
        </w:tc>
        <w:tc>
          <w:tcPr>
            <w:tcW w:w="1668"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665</w:t>
            </w:r>
          </w:p>
        </w:tc>
      </w:tr>
      <w:tr w:rsidR="00CE4FC0" w:rsidRPr="00CE4FC0" w:rsidTr="00D60C0F">
        <w:tc>
          <w:tcPr>
            <w:tcW w:w="1666" w:type="pct"/>
          </w:tcPr>
          <w:p w:rsidR="00CE4FC0" w:rsidRPr="00CE4FC0" w:rsidRDefault="00CE4FC0" w:rsidP="00CE4FC0">
            <w:pPr>
              <w:rPr>
                <w:rFonts w:ascii="Calibri" w:eastAsia="Times New Roman" w:hAnsi="Calibri" w:cs="Times New Roman"/>
                <w:b/>
                <w:sz w:val="20"/>
                <w:szCs w:val="20"/>
              </w:rPr>
            </w:pPr>
            <w:r w:rsidRPr="00CE4FC0">
              <w:rPr>
                <w:rFonts w:ascii="Calibri" w:eastAsia="Times New Roman" w:hAnsi="Calibri" w:cs="Times New Roman"/>
                <w:b/>
                <w:sz w:val="20"/>
                <w:szCs w:val="20"/>
              </w:rPr>
              <w:t>Čerpanie sociálneho fondu</w:t>
            </w:r>
          </w:p>
        </w:tc>
        <w:tc>
          <w:tcPr>
            <w:tcW w:w="1666"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476</w:t>
            </w:r>
          </w:p>
        </w:tc>
        <w:tc>
          <w:tcPr>
            <w:tcW w:w="1668"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509</w:t>
            </w:r>
          </w:p>
        </w:tc>
      </w:tr>
      <w:tr w:rsidR="00CE4FC0" w:rsidRPr="00CE4FC0" w:rsidTr="00D60C0F">
        <w:tc>
          <w:tcPr>
            <w:tcW w:w="1666" w:type="pct"/>
          </w:tcPr>
          <w:p w:rsidR="00CE4FC0" w:rsidRPr="00CE4FC0" w:rsidRDefault="00CE4FC0" w:rsidP="00CE4FC0">
            <w:pPr>
              <w:rPr>
                <w:rFonts w:ascii="Calibri" w:eastAsia="Times New Roman" w:hAnsi="Calibri" w:cs="Times New Roman"/>
                <w:b/>
                <w:sz w:val="20"/>
                <w:szCs w:val="20"/>
              </w:rPr>
            </w:pPr>
            <w:r w:rsidRPr="00CE4FC0">
              <w:rPr>
                <w:rFonts w:ascii="Calibri" w:eastAsia="Times New Roman" w:hAnsi="Calibri" w:cs="Times New Roman"/>
                <w:b/>
                <w:sz w:val="20"/>
                <w:szCs w:val="20"/>
              </w:rPr>
              <w:t>Konečný zostatok sociálneho fondu</w:t>
            </w:r>
          </w:p>
        </w:tc>
        <w:tc>
          <w:tcPr>
            <w:tcW w:w="1666"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1 115</w:t>
            </w:r>
          </w:p>
        </w:tc>
        <w:tc>
          <w:tcPr>
            <w:tcW w:w="1668"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915</w:t>
            </w:r>
          </w:p>
        </w:tc>
      </w:tr>
    </w:tbl>
    <w:p w:rsidR="00CE4FC0" w:rsidRPr="00CE4FC0" w:rsidRDefault="00CE4FC0" w:rsidP="00CE4FC0">
      <w:pPr>
        <w:spacing w:after="200" w:line="276" w:lineRule="auto"/>
        <w:rPr>
          <w:rFonts w:ascii="Calibri" w:eastAsia="Times New Roman" w:hAnsi="Calibri" w:cs="Times New Roman"/>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69"/>
        <w:gridCol w:w="1365"/>
        <w:gridCol w:w="1376"/>
        <w:gridCol w:w="1378"/>
        <w:gridCol w:w="1378"/>
        <w:gridCol w:w="1490"/>
        <w:gridCol w:w="1498"/>
      </w:tblGrid>
      <w:tr w:rsidR="00CE4FC0" w:rsidRPr="00CE4FC0" w:rsidTr="00D60C0F">
        <w:tc>
          <w:tcPr>
            <w:tcW w:w="5000" w:type="pct"/>
            <w:gridSpan w:val="7"/>
            <w:shd w:val="clear" w:color="auto" w:fill="C0C0C0"/>
          </w:tcPr>
          <w:p w:rsidR="00CE4FC0" w:rsidRPr="00CE4FC0" w:rsidRDefault="00CE4FC0" w:rsidP="00CE4FC0">
            <w:pPr>
              <w:jc w:val="center"/>
              <w:rPr>
                <w:rFonts w:ascii="Calibri" w:eastAsia="Times New Roman" w:hAnsi="Calibri" w:cs="Times New Roman"/>
                <w:b/>
                <w:sz w:val="20"/>
                <w:szCs w:val="20"/>
              </w:rPr>
            </w:pPr>
            <w:r w:rsidRPr="00CE4FC0">
              <w:rPr>
                <w:rFonts w:ascii="Calibri" w:eastAsia="Times New Roman" w:hAnsi="Calibri" w:cs="Times New Roman"/>
                <w:b/>
                <w:sz w:val="20"/>
                <w:szCs w:val="20"/>
              </w:rPr>
              <w:t>III. 2 i2) Bankové úvery a pôžičky</w:t>
            </w:r>
          </w:p>
        </w:tc>
      </w:tr>
      <w:tr w:rsidR="00CE4FC0" w:rsidRPr="00CE4FC0" w:rsidTr="00D60C0F">
        <w:tc>
          <w:tcPr>
            <w:tcW w:w="695"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Názov položky</w:t>
            </w:r>
          </w:p>
        </w:tc>
        <w:tc>
          <w:tcPr>
            <w:tcW w:w="693"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Mena</w:t>
            </w:r>
          </w:p>
        </w:tc>
        <w:tc>
          <w:tcPr>
            <w:tcW w:w="698"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Úrok p. a. v %</w:t>
            </w:r>
          </w:p>
        </w:tc>
        <w:tc>
          <w:tcPr>
            <w:tcW w:w="699"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Dátum splatnosti</w:t>
            </w:r>
          </w:p>
        </w:tc>
        <w:tc>
          <w:tcPr>
            <w:tcW w:w="699"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Suma istiny v príslušnej mene za bežné účtovné obdobie</w:t>
            </w:r>
          </w:p>
        </w:tc>
        <w:tc>
          <w:tcPr>
            <w:tcW w:w="756"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Suma istiny v eurách za bežné účtovné obdobie</w:t>
            </w:r>
          </w:p>
        </w:tc>
        <w:tc>
          <w:tcPr>
            <w:tcW w:w="760"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Suma istiny v príslušnej mene za bezprostredne predchádzajúce účtovné obdobie</w:t>
            </w:r>
          </w:p>
        </w:tc>
      </w:tr>
      <w:tr w:rsidR="00CE4FC0" w:rsidRPr="00CE4FC0" w:rsidTr="00D60C0F">
        <w:tc>
          <w:tcPr>
            <w:tcW w:w="5000" w:type="pct"/>
            <w:gridSpan w:val="7"/>
            <w:shd w:val="clear" w:color="auto" w:fill="E6E6E6"/>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lastRenderedPageBreak/>
              <w:t>Dlhodobé pôžičky</w:t>
            </w:r>
          </w:p>
        </w:tc>
      </w:tr>
      <w:tr w:rsidR="00CE4FC0" w:rsidRPr="00CE4FC0" w:rsidTr="00D60C0F">
        <w:tc>
          <w:tcPr>
            <w:tcW w:w="5000" w:type="pct"/>
            <w:gridSpan w:val="7"/>
            <w:shd w:val="clear" w:color="auto" w:fill="E6E6E6"/>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Krátkodobé pôžičky</w:t>
            </w:r>
          </w:p>
        </w:tc>
      </w:tr>
      <w:tr w:rsidR="00CE4FC0" w:rsidRPr="00CE4FC0" w:rsidTr="00D60C0F">
        <w:tc>
          <w:tcPr>
            <w:tcW w:w="5000" w:type="pct"/>
            <w:gridSpan w:val="7"/>
            <w:shd w:val="clear" w:color="auto" w:fill="E6E6E6"/>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Krátkodobé finančné výpomoci</w:t>
            </w:r>
          </w:p>
        </w:tc>
      </w:tr>
    </w:tbl>
    <w:p w:rsidR="00CE4FC0" w:rsidRPr="00CE4FC0" w:rsidRDefault="00CE4FC0" w:rsidP="00CE4FC0">
      <w:pPr>
        <w:spacing w:after="200" w:line="276" w:lineRule="auto"/>
        <w:rPr>
          <w:rFonts w:ascii="Calibri" w:eastAsia="Times New Roman" w:hAnsi="Calibri" w:cs="Times New Roman"/>
          <w:sz w:val="20"/>
          <w:szCs w:val="20"/>
        </w:rPr>
      </w:pPr>
    </w:p>
    <w:tbl>
      <w:tblPr>
        <w:tblW w:w="5000" w:type="pct"/>
        <w:tblBorders>
          <w:top w:val="single" w:sz="4" w:space="0" w:color="auto"/>
          <w:left w:val="single" w:sz="4" w:space="0" w:color="auto"/>
          <w:bottom w:val="single" w:sz="4" w:space="0" w:color="auto"/>
          <w:right w:val="single" w:sz="4" w:space="0" w:color="auto"/>
        </w:tblBorders>
        <w:tblLook w:val="04A0"/>
      </w:tblPr>
      <w:tblGrid>
        <w:gridCol w:w="9854"/>
      </w:tblGrid>
      <w:tr w:rsidR="00CE4FC0" w:rsidRPr="00CE4FC0" w:rsidTr="00D60C0F">
        <w:tc>
          <w:tcPr>
            <w:tcW w:w="5000" w:type="pct"/>
            <w:tcBorders>
              <w:top w:val="single" w:sz="4" w:space="0" w:color="auto"/>
              <w:bottom w:val="single" w:sz="4" w:space="0" w:color="auto"/>
            </w:tcBorders>
            <w:shd w:val="clear" w:color="auto" w:fill="C0C0C0"/>
          </w:tcPr>
          <w:p w:rsidR="00CE4FC0" w:rsidRPr="00CE4FC0" w:rsidRDefault="00CE4FC0" w:rsidP="00CE4FC0">
            <w:pPr>
              <w:jc w:val="center"/>
              <w:rPr>
                <w:rFonts w:ascii="Calibri" w:eastAsia="Times New Roman" w:hAnsi="Calibri" w:cs="Times New Roman"/>
                <w:b/>
                <w:sz w:val="28"/>
                <w:szCs w:val="28"/>
              </w:rPr>
            </w:pPr>
            <w:r w:rsidRPr="00CE4FC0">
              <w:rPr>
                <w:rFonts w:ascii="Calibri" w:eastAsia="Times New Roman" w:hAnsi="Calibri" w:cs="Times New Roman"/>
                <w:b/>
                <w:sz w:val="28"/>
                <w:szCs w:val="28"/>
              </w:rPr>
              <w:t>III. 5) Odložená daň</w:t>
            </w:r>
          </w:p>
        </w:tc>
      </w:tr>
    </w:tbl>
    <w:p w:rsidR="00CE4FC0" w:rsidRPr="00CE4FC0" w:rsidRDefault="00CE4FC0" w:rsidP="00CE4FC0">
      <w:pPr>
        <w:spacing w:after="200" w:line="276" w:lineRule="auto"/>
        <w:rPr>
          <w:rFonts w:ascii="Calibri" w:eastAsia="Times New Roman" w:hAnsi="Calibri" w:cs="Times New Roman"/>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78"/>
        <w:gridCol w:w="1016"/>
        <w:gridCol w:w="1001"/>
        <w:gridCol w:w="1001"/>
        <w:gridCol w:w="1719"/>
        <w:gridCol w:w="1719"/>
        <w:gridCol w:w="1720"/>
      </w:tblGrid>
      <w:tr w:rsidR="00CE4FC0" w:rsidRPr="00CE4FC0" w:rsidTr="00D60C0F">
        <w:tc>
          <w:tcPr>
            <w:tcW w:w="5000" w:type="pct"/>
            <w:gridSpan w:val="7"/>
            <w:shd w:val="clear" w:color="auto" w:fill="C0C0C0"/>
          </w:tcPr>
          <w:p w:rsidR="00CE4FC0" w:rsidRPr="00CE4FC0" w:rsidRDefault="00CE4FC0" w:rsidP="00CE4FC0">
            <w:pPr>
              <w:jc w:val="center"/>
              <w:rPr>
                <w:rFonts w:ascii="Calibri" w:eastAsia="Times New Roman" w:hAnsi="Calibri" w:cs="Times New Roman"/>
                <w:b/>
                <w:sz w:val="20"/>
                <w:szCs w:val="20"/>
              </w:rPr>
            </w:pPr>
            <w:r w:rsidRPr="00CE4FC0">
              <w:rPr>
                <w:rFonts w:ascii="Calibri" w:eastAsia="Times New Roman" w:hAnsi="Calibri" w:cs="Times New Roman"/>
                <w:b/>
                <w:sz w:val="20"/>
                <w:szCs w:val="20"/>
              </w:rPr>
              <w:t>III. 5 f) Vzťah medzi sumou splatnej dane z príjmov a sumou odloženej dane z príjmov a medzi výsledkom hospodárenia pred zdanením</w:t>
            </w:r>
          </w:p>
        </w:tc>
      </w:tr>
      <w:tr w:rsidR="00CE4FC0" w:rsidRPr="00CE4FC0" w:rsidTr="00D60C0F">
        <w:tc>
          <w:tcPr>
            <w:tcW w:w="853"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Názov položky</w:t>
            </w:r>
          </w:p>
        </w:tc>
        <w:tc>
          <w:tcPr>
            <w:tcW w:w="509"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Bežné účtovné obdobie - Základ dane</w:t>
            </w:r>
          </w:p>
        </w:tc>
        <w:tc>
          <w:tcPr>
            <w:tcW w:w="509"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Bežné účtovné obdobie - Daň</w:t>
            </w:r>
          </w:p>
        </w:tc>
        <w:tc>
          <w:tcPr>
            <w:tcW w:w="509"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Bežné účtovné obdobie - Daň v %</w:t>
            </w:r>
          </w:p>
        </w:tc>
        <w:tc>
          <w:tcPr>
            <w:tcW w:w="873"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Bezprostredne predchádzajúce účtovné obdobie - Základ dane</w:t>
            </w:r>
          </w:p>
        </w:tc>
        <w:tc>
          <w:tcPr>
            <w:tcW w:w="873"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Bezprostredne predchádzajúce účtovné obdobie - Daň</w:t>
            </w:r>
          </w:p>
        </w:tc>
        <w:tc>
          <w:tcPr>
            <w:tcW w:w="874"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Bezprostredne predchádzajúce účtovné obdobie - Daň v %</w:t>
            </w:r>
          </w:p>
        </w:tc>
      </w:tr>
      <w:tr w:rsidR="00CE4FC0" w:rsidRPr="00CE4FC0" w:rsidTr="00D60C0F">
        <w:tc>
          <w:tcPr>
            <w:tcW w:w="85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Výsledok hospodárenia pred  zdanením, z toho:</w:t>
            </w:r>
          </w:p>
        </w:tc>
        <w:tc>
          <w:tcPr>
            <w:tcW w:w="509"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2 500 750</w:t>
            </w:r>
          </w:p>
        </w:tc>
        <w:tc>
          <w:tcPr>
            <w:tcW w:w="509" w:type="pct"/>
          </w:tcPr>
          <w:p w:rsidR="00CE4FC0" w:rsidRPr="00CE4FC0" w:rsidRDefault="00CE4FC0" w:rsidP="00CE4FC0">
            <w:pPr>
              <w:jc w:val="right"/>
              <w:rPr>
                <w:rFonts w:ascii="Calibri" w:eastAsia="Times New Roman" w:hAnsi="Calibri" w:cs="Times New Roman"/>
                <w:sz w:val="20"/>
                <w:szCs w:val="20"/>
              </w:rPr>
            </w:pPr>
          </w:p>
        </w:tc>
        <w:tc>
          <w:tcPr>
            <w:tcW w:w="509" w:type="pct"/>
          </w:tcPr>
          <w:p w:rsidR="00CE4FC0" w:rsidRPr="00CE4FC0" w:rsidRDefault="00CE4FC0" w:rsidP="00CE4FC0">
            <w:pPr>
              <w:jc w:val="right"/>
              <w:rPr>
                <w:rFonts w:ascii="Calibri" w:eastAsia="Times New Roman" w:hAnsi="Calibri" w:cs="Times New Roman"/>
                <w:sz w:val="20"/>
                <w:szCs w:val="20"/>
              </w:rPr>
            </w:pPr>
          </w:p>
        </w:tc>
        <w:tc>
          <w:tcPr>
            <w:tcW w:w="873"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4 908 993</w:t>
            </w:r>
          </w:p>
        </w:tc>
        <w:tc>
          <w:tcPr>
            <w:tcW w:w="873" w:type="pct"/>
          </w:tcPr>
          <w:p w:rsidR="00CE4FC0" w:rsidRPr="00CE4FC0" w:rsidRDefault="00CE4FC0" w:rsidP="00CE4FC0">
            <w:pPr>
              <w:jc w:val="right"/>
              <w:rPr>
                <w:rFonts w:ascii="Calibri" w:eastAsia="Times New Roman" w:hAnsi="Calibri" w:cs="Times New Roman"/>
                <w:sz w:val="20"/>
                <w:szCs w:val="20"/>
              </w:rPr>
            </w:pPr>
          </w:p>
        </w:tc>
        <w:tc>
          <w:tcPr>
            <w:tcW w:w="874"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85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teoretická daň</w:t>
            </w:r>
          </w:p>
        </w:tc>
        <w:tc>
          <w:tcPr>
            <w:tcW w:w="509" w:type="pct"/>
          </w:tcPr>
          <w:p w:rsidR="00CE4FC0" w:rsidRPr="00CE4FC0" w:rsidRDefault="00CE4FC0" w:rsidP="00CE4FC0">
            <w:pPr>
              <w:jc w:val="right"/>
              <w:rPr>
                <w:rFonts w:ascii="Calibri" w:eastAsia="Times New Roman" w:hAnsi="Calibri" w:cs="Times New Roman"/>
                <w:sz w:val="20"/>
                <w:szCs w:val="20"/>
              </w:rPr>
            </w:pPr>
          </w:p>
        </w:tc>
        <w:tc>
          <w:tcPr>
            <w:tcW w:w="509"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525 158</w:t>
            </w:r>
          </w:p>
        </w:tc>
        <w:tc>
          <w:tcPr>
            <w:tcW w:w="509"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21,00</w:t>
            </w:r>
          </w:p>
        </w:tc>
        <w:tc>
          <w:tcPr>
            <w:tcW w:w="873" w:type="pct"/>
          </w:tcPr>
          <w:p w:rsidR="00CE4FC0" w:rsidRPr="00CE4FC0" w:rsidRDefault="00CE4FC0" w:rsidP="00CE4FC0">
            <w:pPr>
              <w:jc w:val="right"/>
              <w:rPr>
                <w:rFonts w:ascii="Calibri" w:eastAsia="Times New Roman" w:hAnsi="Calibri" w:cs="Times New Roman"/>
                <w:sz w:val="20"/>
                <w:szCs w:val="20"/>
              </w:rPr>
            </w:pPr>
          </w:p>
        </w:tc>
        <w:tc>
          <w:tcPr>
            <w:tcW w:w="873"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1 079 978</w:t>
            </w:r>
          </w:p>
        </w:tc>
        <w:tc>
          <w:tcPr>
            <w:tcW w:w="874"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22,00</w:t>
            </w:r>
          </w:p>
        </w:tc>
      </w:tr>
      <w:tr w:rsidR="00CE4FC0" w:rsidRPr="00CE4FC0" w:rsidTr="00D60C0F">
        <w:tc>
          <w:tcPr>
            <w:tcW w:w="85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Daňovo neuznané náklady</w:t>
            </w:r>
          </w:p>
        </w:tc>
        <w:tc>
          <w:tcPr>
            <w:tcW w:w="509"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115 031</w:t>
            </w:r>
          </w:p>
        </w:tc>
        <w:tc>
          <w:tcPr>
            <w:tcW w:w="509"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24 156</w:t>
            </w:r>
          </w:p>
        </w:tc>
        <w:tc>
          <w:tcPr>
            <w:tcW w:w="509"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0,96</w:t>
            </w:r>
          </w:p>
        </w:tc>
        <w:tc>
          <w:tcPr>
            <w:tcW w:w="873"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349 120</w:t>
            </w:r>
          </w:p>
        </w:tc>
        <w:tc>
          <w:tcPr>
            <w:tcW w:w="873"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76 806</w:t>
            </w:r>
          </w:p>
        </w:tc>
        <w:tc>
          <w:tcPr>
            <w:tcW w:w="874"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1,56</w:t>
            </w:r>
          </w:p>
        </w:tc>
      </w:tr>
      <w:tr w:rsidR="00CE4FC0" w:rsidRPr="00CE4FC0" w:rsidTr="00D60C0F">
        <w:tc>
          <w:tcPr>
            <w:tcW w:w="85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Výnosy nepodliehajúce dani</w:t>
            </w:r>
          </w:p>
        </w:tc>
        <w:tc>
          <w:tcPr>
            <w:tcW w:w="509" w:type="pct"/>
          </w:tcPr>
          <w:p w:rsidR="00CE4FC0" w:rsidRPr="00CE4FC0" w:rsidRDefault="00CE4FC0" w:rsidP="00CE4FC0">
            <w:pPr>
              <w:jc w:val="right"/>
              <w:rPr>
                <w:rFonts w:ascii="Calibri" w:eastAsia="Times New Roman" w:hAnsi="Calibri" w:cs="Times New Roman"/>
                <w:sz w:val="20"/>
                <w:szCs w:val="20"/>
              </w:rPr>
            </w:pPr>
          </w:p>
        </w:tc>
        <w:tc>
          <w:tcPr>
            <w:tcW w:w="509" w:type="pct"/>
          </w:tcPr>
          <w:p w:rsidR="00CE4FC0" w:rsidRPr="00CE4FC0" w:rsidRDefault="00CE4FC0" w:rsidP="00CE4FC0">
            <w:pPr>
              <w:jc w:val="right"/>
              <w:rPr>
                <w:rFonts w:ascii="Calibri" w:eastAsia="Times New Roman" w:hAnsi="Calibri" w:cs="Times New Roman"/>
                <w:sz w:val="20"/>
                <w:szCs w:val="20"/>
              </w:rPr>
            </w:pPr>
          </w:p>
        </w:tc>
        <w:tc>
          <w:tcPr>
            <w:tcW w:w="509" w:type="pct"/>
          </w:tcPr>
          <w:p w:rsidR="00CE4FC0" w:rsidRPr="00CE4FC0" w:rsidRDefault="00CE4FC0" w:rsidP="00CE4FC0">
            <w:pPr>
              <w:jc w:val="right"/>
              <w:rPr>
                <w:rFonts w:ascii="Calibri" w:eastAsia="Times New Roman" w:hAnsi="Calibri" w:cs="Times New Roman"/>
                <w:sz w:val="20"/>
                <w:szCs w:val="20"/>
              </w:rPr>
            </w:pPr>
          </w:p>
        </w:tc>
        <w:tc>
          <w:tcPr>
            <w:tcW w:w="873"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-200</w:t>
            </w:r>
          </w:p>
        </w:tc>
        <w:tc>
          <w:tcPr>
            <w:tcW w:w="873"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-44</w:t>
            </w:r>
          </w:p>
        </w:tc>
        <w:tc>
          <w:tcPr>
            <w:tcW w:w="874"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0,00</w:t>
            </w:r>
          </w:p>
        </w:tc>
      </w:tr>
      <w:tr w:rsidR="00CE4FC0" w:rsidRPr="00CE4FC0" w:rsidTr="00D60C0F">
        <w:tc>
          <w:tcPr>
            <w:tcW w:w="85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Vplyv nevykázanej odloženej daňovej pohľadávky</w:t>
            </w:r>
          </w:p>
        </w:tc>
        <w:tc>
          <w:tcPr>
            <w:tcW w:w="509" w:type="pct"/>
          </w:tcPr>
          <w:p w:rsidR="00CE4FC0" w:rsidRPr="00CE4FC0" w:rsidRDefault="00CE4FC0" w:rsidP="00CE4FC0">
            <w:pPr>
              <w:jc w:val="right"/>
              <w:rPr>
                <w:rFonts w:ascii="Calibri" w:eastAsia="Times New Roman" w:hAnsi="Calibri" w:cs="Times New Roman"/>
                <w:sz w:val="20"/>
                <w:szCs w:val="20"/>
              </w:rPr>
            </w:pPr>
          </w:p>
        </w:tc>
        <w:tc>
          <w:tcPr>
            <w:tcW w:w="509" w:type="pct"/>
          </w:tcPr>
          <w:p w:rsidR="00CE4FC0" w:rsidRPr="00CE4FC0" w:rsidRDefault="00CE4FC0" w:rsidP="00CE4FC0">
            <w:pPr>
              <w:jc w:val="right"/>
              <w:rPr>
                <w:rFonts w:ascii="Calibri" w:eastAsia="Times New Roman" w:hAnsi="Calibri" w:cs="Times New Roman"/>
                <w:sz w:val="20"/>
                <w:szCs w:val="20"/>
              </w:rPr>
            </w:pPr>
          </w:p>
        </w:tc>
        <w:tc>
          <w:tcPr>
            <w:tcW w:w="509" w:type="pct"/>
          </w:tcPr>
          <w:p w:rsidR="00CE4FC0" w:rsidRPr="00CE4FC0" w:rsidRDefault="00CE4FC0" w:rsidP="00CE4FC0">
            <w:pPr>
              <w:jc w:val="right"/>
              <w:rPr>
                <w:rFonts w:ascii="Calibri" w:eastAsia="Times New Roman" w:hAnsi="Calibri" w:cs="Times New Roman"/>
                <w:sz w:val="20"/>
                <w:szCs w:val="20"/>
              </w:rPr>
            </w:pPr>
          </w:p>
        </w:tc>
        <w:tc>
          <w:tcPr>
            <w:tcW w:w="873" w:type="pct"/>
          </w:tcPr>
          <w:p w:rsidR="00CE4FC0" w:rsidRPr="00CE4FC0" w:rsidRDefault="00CE4FC0" w:rsidP="00CE4FC0">
            <w:pPr>
              <w:jc w:val="right"/>
              <w:rPr>
                <w:rFonts w:ascii="Calibri" w:eastAsia="Times New Roman" w:hAnsi="Calibri" w:cs="Times New Roman"/>
                <w:sz w:val="20"/>
                <w:szCs w:val="20"/>
              </w:rPr>
            </w:pPr>
          </w:p>
        </w:tc>
        <w:tc>
          <w:tcPr>
            <w:tcW w:w="873" w:type="pct"/>
          </w:tcPr>
          <w:p w:rsidR="00CE4FC0" w:rsidRPr="00CE4FC0" w:rsidRDefault="00CE4FC0" w:rsidP="00CE4FC0">
            <w:pPr>
              <w:jc w:val="right"/>
              <w:rPr>
                <w:rFonts w:ascii="Calibri" w:eastAsia="Times New Roman" w:hAnsi="Calibri" w:cs="Times New Roman"/>
                <w:sz w:val="20"/>
                <w:szCs w:val="20"/>
              </w:rPr>
            </w:pPr>
          </w:p>
        </w:tc>
        <w:tc>
          <w:tcPr>
            <w:tcW w:w="874"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85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Umorenie daňovej straty</w:t>
            </w:r>
          </w:p>
        </w:tc>
        <w:tc>
          <w:tcPr>
            <w:tcW w:w="509" w:type="pct"/>
          </w:tcPr>
          <w:p w:rsidR="00CE4FC0" w:rsidRPr="00CE4FC0" w:rsidRDefault="00CE4FC0" w:rsidP="00CE4FC0">
            <w:pPr>
              <w:jc w:val="right"/>
              <w:rPr>
                <w:rFonts w:ascii="Calibri" w:eastAsia="Times New Roman" w:hAnsi="Calibri" w:cs="Times New Roman"/>
                <w:sz w:val="20"/>
                <w:szCs w:val="20"/>
              </w:rPr>
            </w:pPr>
          </w:p>
        </w:tc>
        <w:tc>
          <w:tcPr>
            <w:tcW w:w="509" w:type="pct"/>
          </w:tcPr>
          <w:p w:rsidR="00CE4FC0" w:rsidRPr="00CE4FC0" w:rsidRDefault="00CE4FC0" w:rsidP="00CE4FC0">
            <w:pPr>
              <w:jc w:val="right"/>
              <w:rPr>
                <w:rFonts w:ascii="Calibri" w:eastAsia="Times New Roman" w:hAnsi="Calibri" w:cs="Times New Roman"/>
                <w:sz w:val="20"/>
                <w:szCs w:val="20"/>
              </w:rPr>
            </w:pPr>
          </w:p>
        </w:tc>
        <w:tc>
          <w:tcPr>
            <w:tcW w:w="509" w:type="pct"/>
          </w:tcPr>
          <w:p w:rsidR="00CE4FC0" w:rsidRPr="00CE4FC0" w:rsidRDefault="00CE4FC0" w:rsidP="00CE4FC0">
            <w:pPr>
              <w:jc w:val="right"/>
              <w:rPr>
                <w:rFonts w:ascii="Calibri" w:eastAsia="Times New Roman" w:hAnsi="Calibri" w:cs="Times New Roman"/>
                <w:sz w:val="20"/>
                <w:szCs w:val="20"/>
              </w:rPr>
            </w:pPr>
          </w:p>
        </w:tc>
        <w:tc>
          <w:tcPr>
            <w:tcW w:w="873" w:type="pct"/>
          </w:tcPr>
          <w:p w:rsidR="00CE4FC0" w:rsidRPr="00CE4FC0" w:rsidRDefault="00CE4FC0" w:rsidP="00CE4FC0">
            <w:pPr>
              <w:jc w:val="right"/>
              <w:rPr>
                <w:rFonts w:ascii="Calibri" w:eastAsia="Times New Roman" w:hAnsi="Calibri" w:cs="Times New Roman"/>
                <w:sz w:val="20"/>
                <w:szCs w:val="20"/>
              </w:rPr>
            </w:pPr>
          </w:p>
        </w:tc>
        <w:tc>
          <w:tcPr>
            <w:tcW w:w="873" w:type="pct"/>
          </w:tcPr>
          <w:p w:rsidR="00CE4FC0" w:rsidRPr="00CE4FC0" w:rsidRDefault="00CE4FC0" w:rsidP="00CE4FC0">
            <w:pPr>
              <w:jc w:val="right"/>
              <w:rPr>
                <w:rFonts w:ascii="Calibri" w:eastAsia="Times New Roman" w:hAnsi="Calibri" w:cs="Times New Roman"/>
                <w:sz w:val="20"/>
                <w:szCs w:val="20"/>
              </w:rPr>
            </w:pPr>
          </w:p>
        </w:tc>
        <w:tc>
          <w:tcPr>
            <w:tcW w:w="874"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85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Zmena sadzby dane</w:t>
            </w:r>
          </w:p>
        </w:tc>
        <w:tc>
          <w:tcPr>
            <w:tcW w:w="509" w:type="pct"/>
          </w:tcPr>
          <w:p w:rsidR="00CE4FC0" w:rsidRPr="00CE4FC0" w:rsidRDefault="00CE4FC0" w:rsidP="00CE4FC0">
            <w:pPr>
              <w:jc w:val="right"/>
              <w:rPr>
                <w:rFonts w:ascii="Calibri" w:eastAsia="Times New Roman" w:hAnsi="Calibri" w:cs="Times New Roman"/>
                <w:sz w:val="20"/>
                <w:szCs w:val="20"/>
              </w:rPr>
            </w:pPr>
          </w:p>
        </w:tc>
        <w:tc>
          <w:tcPr>
            <w:tcW w:w="509" w:type="pct"/>
          </w:tcPr>
          <w:p w:rsidR="00CE4FC0" w:rsidRPr="00CE4FC0" w:rsidRDefault="00CE4FC0" w:rsidP="00CE4FC0">
            <w:pPr>
              <w:jc w:val="right"/>
              <w:rPr>
                <w:rFonts w:ascii="Calibri" w:eastAsia="Times New Roman" w:hAnsi="Calibri" w:cs="Times New Roman"/>
                <w:sz w:val="20"/>
                <w:szCs w:val="20"/>
              </w:rPr>
            </w:pPr>
          </w:p>
        </w:tc>
        <w:tc>
          <w:tcPr>
            <w:tcW w:w="509" w:type="pct"/>
          </w:tcPr>
          <w:p w:rsidR="00CE4FC0" w:rsidRPr="00CE4FC0" w:rsidRDefault="00CE4FC0" w:rsidP="00CE4FC0">
            <w:pPr>
              <w:jc w:val="right"/>
              <w:rPr>
                <w:rFonts w:ascii="Calibri" w:eastAsia="Times New Roman" w:hAnsi="Calibri" w:cs="Times New Roman"/>
                <w:sz w:val="20"/>
                <w:szCs w:val="20"/>
              </w:rPr>
            </w:pPr>
          </w:p>
        </w:tc>
        <w:tc>
          <w:tcPr>
            <w:tcW w:w="873" w:type="pct"/>
          </w:tcPr>
          <w:p w:rsidR="00CE4FC0" w:rsidRPr="00CE4FC0" w:rsidRDefault="00CE4FC0" w:rsidP="00CE4FC0">
            <w:pPr>
              <w:jc w:val="right"/>
              <w:rPr>
                <w:rFonts w:ascii="Calibri" w:eastAsia="Times New Roman" w:hAnsi="Calibri" w:cs="Times New Roman"/>
                <w:sz w:val="20"/>
                <w:szCs w:val="20"/>
              </w:rPr>
            </w:pPr>
          </w:p>
        </w:tc>
        <w:tc>
          <w:tcPr>
            <w:tcW w:w="873" w:type="pct"/>
          </w:tcPr>
          <w:p w:rsidR="00CE4FC0" w:rsidRPr="00CE4FC0" w:rsidRDefault="00CE4FC0" w:rsidP="00CE4FC0">
            <w:pPr>
              <w:jc w:val="right"/>
              <w:rPr>
                <w:rFonts w:ascii="Calibri" w:eastAsia="Times New Roman" w:hAnsi="Calibri" w:cs="Times New Roman"/>
                <w:sz w:val="20"/>
                <w:szCs w:val="20"/>
              </w:rPr>
            </w:pPr>
          </w:p>
        </w:tc>
        <w:tc>
          <w:tcPr>
            <w:tcW w:w="874"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85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Iné</w:t>
            </w:r>
          </w:p>
        </w:tc>
        <w:tc>
          <w:tcPr>
            <w:tcW w:w="509"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-14 407</w:t>
            </w:r>
          </w:p>
        </w:tc>
        <w:tc>
          <w:tcPr>
            <w:tcW w:w="509"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-3 026</w:t>
            </w:r>
          </w:p>
        </w:tc>
        <w:tc>
          <w:tcPr>
            <w:tcW w:w="509"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-0,12</w:t>
            </w:r>
          </w:p>
        </w:tc>
        <w:tc>
          <w:tcPr>
            <w:tcW w:w="873"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-33 649</w:t>
            </w:r>
          </w:p>
        </w:tc>
        <w:tc>
          <w:tcPr>
            <w:tcW w:w="873"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-7 403</w:t>
            </w:r>
          </w:p>
        </w:tc>
        <w:tc>
          <w:tcPr>
            <w:tcW w:w="874"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-0,15</w:t>
            </w:r>
          </w:p>
        </w:tc>
      </w:tr>
      <w:tr w:rsidR="00CE4FC0" w:rsidRPr="00CE4FC0" w:rsidTr="00D60C0F">
        <w:tc>
          <w:tcPr>
            <w:tcW w:w="85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Spolu</w:t>
            </w:r>
          </w:p>
        </w:tc>
        <w:tc>
          <w:tcPr>
            <w:tcW w:w="509"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2 601 374</w:t>
            </w:r>
          </w:p>
        </w:tc>
        <w:tc>
          <w:tcPr>
            <w:tcW w:w="509"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546 289</w:t>
            </w:r>
          </w:p>
        </w:tc>
        <w:tc>
          <w:tcPr>
            <w:tcW w:w="509"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21,84</w:t>
            </w:r>
          </w:p>
        </w:tc>
        <w:tc>
          <w:tcPr>
            <w:tcW w:w="873"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5 224 265</w:t>
            </w:r>
          </w:p>
        </w:tc>
        <w:tc>
          <w:tcPr>
            <w:tcW w:w="873"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1 149 338</w:t>
            </w:r>
          </w:p>
        </w:tc>
        <w:tc>
          <w:tcPr>
            <w:tcW w:w="874"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23,41</w:t>
            </w:r>
          </w:p>
        </w:tc>
      </w:tr>
      <w:tr w:rsidR="00CE4FC0" w:rsidRPr="00CE4FC0" w:rsidTr="00D60C0F">
        <w:tc>
          <w:tcPr>
            <w:tcW w:w="85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Splatná daň z príjmov</w:t>
            </w:r>
          </w:p>
        </w:tc>
        <w:tc>
          <w:tcPr>
            <w:tcW w:w="509" w:type="pct"/>
          </w:tcPr>
          <w:p w:rsidR="00CE4FC0" w:rsidRPr="00CE4FC0" w:rsidRDefault="00CE4FC0" w:rsidP="00CE4FC0">
            <w:pPr>
              <w:jc w:val="right"/>
              <w:rPr>
                <w:rFonts w:ascii="Calibri" w:eastAsia="Times New Roman" w:hAnsi="Calibri" w:cs="Times New Roman"/>
                <w:sz w:val="20"/>
                <w:szCs w:val="20"/>
              </w:rPr>
            </w:pPr>
          </w:p>
        </w:tc>
        <w:tc>
          <w:tcPr>
            <w:tcW w:w="509"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546 289</w:t>
            </w:r>
          </w:p>
        </w:tc>
        <w:tc>
          <w:tcPr>
            <w:tcW w:w="509"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21,84</w:t>
            </w:r>
          </w:p>
        </w:tc>
        <w:tc>
          <w:tcPr>
            <w:tcW w:w="873" w:type="pct"/>
          </w:tcPr>
          <w:p w:rsidR="00CE4FC0" w:rsidRPr="00CE4FC0" w:rsidRDefault="00CE4FC0" w:rsidP="00CE4FC0">
            <w:pPr>
              <w:jc w:val="right"/>
              <w:rPr>
                <w:rFonts w:ascii="Calibri" w:eastAsia="Times New Roman" w:hAnsi="Calibri" w:cs="Times New Roman"/>
                <w:sz w:val="20"/>
                <w:szCs w:val="20"/>
              </w:rPr>
            </w:pPr>
          </w:p>
        </w:tc>
        <w:tc>
          <w:tcPr>
            <w:tcW w:w="873"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1 149 338</w:t>
            </w:r>
          </w:p>
        </w:tc>
        <w:tc>
          <w:tcPr>
            <w:tcW w:w="874"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23,41</w:t>
            </w:r>
          </w:p>
        </w:tc>
      </w:tr>
      <w:tr w:rsidR="00CE4FC0" w:rsidRPr="00CE4FC0" w:rsidTr="00D60C0F">
        <w:tc>
          <w:tcPr>
            <w:tcW w:w="85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Odložená daň z príjmov</w:t>
            </w:r>
          </w:p>
        </w:tc>
        <w:tc>
          <w:tcPr>
            <w:tcW w:w="509" w:type="pct"/>
          </w:tcPr>
          <w:p w:rsidR="00CE4FC0" w:rsidRPr="00CE4FC0" w:rsidRDefault="00CE4FC0" w:rsidP="00CE4FC0">
            <w:pPr>
              <w:jc w:val="right"/>
              <w:rPr>
                <w:rFonts w:ascii="Calibri" w:eastAsia="Times New Roman" w:hAnsi="Calibri" w:cs="Times New Roman"/>
                <w:sz w:val="20"/>
                <w:szCs w:val="20"/>
              </w:rPr>
            </w:pPr>
          </w:p>
        </w:tc>
        <w:tc>
          <w:tcPr>
            <w:tcW w:w="509"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-3 488</w:t>
            </w:r>
          </w:p>
        </w:tc>
        <w:tc>
          <w:tcPr>
            <w:tcW w:w="509"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-0,13</w:t>
            </w:r>
          </w:p>
        </w:tc>
        <w:tc>
          <w:tcPr>
            <w:tcW w:w="873" w:type="pct"/>
          </w:tcPr>
          <w:p w:rsidR="00CE4FC0" w:rsidRPr="00CE4FC0" w:rsidRDefault="00CE4FC0" w:rsidP="00CE4FC0">
            <w:pPr>
              <w:jc w:val="right"/>
              <w:rPr>
                <w:rFonts w:ascii="Calibri" w:eastAsia="Times New Roman" w:hAnsi="Calibri" w:cs="Times New Roman"/>
                <w:sz w:val="20"/>
                <w:szCs w:val="20"/>
              </w:rPr>
            </w:pPr>
          </w:p>
        </w:tc>
        <w:tc>
          <w:tcPr>
            <w:tcW w:w="873"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-36 941</w:t>
            </w:r>
          </w:p>
        </w:tc>
        <w:tc>
          <w:tcPr>
            <w:tcW w:w="874"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-0,75</w:t>
            </w:r>
          </w:p>
        </w:tc>
      </w:tr>
      <w:tr w:rsidR="00CE4FC0" w:rsidRPr="00CE4FC0" w:rsidTr="00D60C0F">
        <w:tc>
          <w:tcPr>
            <w:tcW w:w="85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 xml:space="preserve">Celková daň z príjmov </w:t>
            </w:r>
          </w:p>
        </w:tc>
        <w:tc>
          <w:tcPr>
            <w:tcW w:w="509" w:type="pct"/>
          </w:tcPr>
          <w:p w:rsidR="00CE4FC0" w:rsidRPr="00CE4FC0" w:rsidRDefault="00CE4FC0" w:rsidP="00CE4FC0">
            <w:pPr>
              <w:jc w:val="right"/>
              <w:rPr>
                <w:rFonts w:ascii="Calibri" w:eastAsia="Times New Roman" w:hAnsi="Calibri" w:cs="Times New Roman"/>
                <w:sz w:val="20"/>
                <w:szCs w:val="20"/>
              </w:rPr>
            </w:pPr>
          </w:p>
        </w:tc>
        <w:tc>
          <w:tcPr>
            <w:tcW w:w="509"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542 801</w:t>
            </w:r>
          </w:p>
        </w:tc>
        <w:tc>
          <w:tcPr>
            <w:tcW w:w="509"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21,70</w:t>
            </w:r>
          </w:p>
        </w:tc>
        <w:tc>
          <w:tcPr>
            <w:tcW w:w="873" w:type="pct"/>
          </w:tcPr>
          <w:p w:rsidR="00CE4FC0" w:rsidRPr="00CE4FC0" w:rsidRDefault="00CE4FC0" w:rsidP="00CE4FC0">
            <w:pPr>
              <w:jc w:val="right"/>
              <w:rPr>
                <w:rFonts w:ascii="Calibri" w:eastAsia="Times New Roman" w:hAnsi="Calibri" w:cs="Times New Roman"/>
                <w:sz w:val="20"/>
                <w:szCs w:val="20"/>
              </w:rPr>
            </w:pPr>
          </w:p>
        </w:tc>
        <w:tc>
          <w:tcPr>
            <w:tcW w:w="873"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1 112 397</w:t>
            </w:r>
          </w:p>
        </w:tc>
        <w:tc>
          <w:tcPr>
            <w:tcW w:w="874"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22,66</w:t>
            </w:r>
          </w:p>
        </w:tc>
      </w:tr>
    </w:tbl>
    <w:p w:rsidR="00CE4FC0" w:rsidRPr="00CE4FC0" w:rsidRDefault="00CE4FC0" w:rsidP="00CE4FC0">
      <w:pPr>
        <w:spacing w:after="200" w:line="276" w:lineRule="auto"/>
        <w:rPr>
          <w:rFonts w:ascii="Calibri" w:eastAsia="Times New Roman" w:hAnsi="Calibri" w:cs="Times New Roman"/>
          <w:sz w:val="20"/>
          <w:szCs w:val="20"/>
        </w:rPr>
      </w:pPr>
    </w:p>
    <w:p w:rsidR="00CE4FC0" w:rsidRPr="00CE4FC0" w:rsidRDefault="00CE4FC0" w:rsidP="00CE4FC0">
      <w:pPr>
        <w:autoSpaceDE w:val="0"/>
        <w:autoSpaceDN w:val="0"/>
        <w:adjustRightInd w:val="0"/>
        <w:rPr>
          <w:rFonts w:ascii="Microsoft Sans Serif" w:eastAsia="Times New Roman" w:hAnsi="Microsoft Sans Serif" w:cs="Microsoft Sans Serif"/>
          <w:sz w:val="17"/>
          <w:szCs w:val="17"/>
          <w:lang w:eastAsia="sk-SK"/>
        </w:rPr>
      </w:pPr>
      <w:r w:rsidRPr="00CE4FC0">
        <w:rPr>
          <w:rFonts w:ascii="Microsoft Sans Serif" w:eastAsia="Times New Roman" w:hAnsi="Microsoft Sans Serif" w:cs="Microsoft Sans Serif"/>
          <w:sz w:val="17"/>
          <w:szCs w:val="17"/>
          <w:lang w:eastAsia="sk-SK"/>
        </w:rPr>
        <w:t>V riadku "Daňovo neuznané náklady"  sú náklady na reprezentačné,  rezerva na prevádzkové náklady el.energia, spotr.vody-prenajaté priestory/</w:t>
      </w:r>
    </w:p>
    <w:p w:rsidR="00CE4FC0" w:rsidRPr="00CE4FC0" w:rsidRDefault="00CE4FC0" w:rsidP="00CE4FC0">
      <w:pPr>
        <w:autoSpaceDE w:val="0"/>
        <w:autoSpaceDN w:val="0"/>
        <w:adjustRightInd w:val="0"/>
        <w:rPr>
          <w:rFonts w:ascii="Microsoft Sans Serif" w:eastAsia="Times New Roman" w:hAnsi="Microsoft Sans Serif" w:cs="Microsoft Sans Serif"/>
          <w:sz w:val="17"/>
          <w:szCs w:val="17"/>
          <w:lang w:eastAsia="sk-SK"/>
        </w:rPr>
      </w:pPr>
    </w:p>
    <w:p w:rsidR="00CE4FC0" w:rsidRPr="00CE4FC0" w:rsidRDefault="00CE4FC0" w:rsidP="00CE4FC0">
      <w:pPr>
        <w:spacing w:after="200" w:line="276" w:lineRule="auto"/>
        <w:rPr>
          <w:rFonts w:ascii="Calibri" w:eastAsia="Times New Roman" w:hAnsi="Calibri" w:cs="Times New Roman"/>
          <w:sz w:val="20"/>
          <w:szCs w:val="20"/>
        </w:rPr>
      </w:pPr>
    </w:p>
    <w:tbl>
      <w:tblPr>
        <w:tblW w:w="5000" w:type="pct"/>
        <w:tblBorders>
          <w:top w:val="single" w:sz="4" w:space="0" w:color="auto"/>
          <w:left w:val="single" w:sz="4" w:space="0" w:color="auto"/>
          <w:bottom w:val="single" w:sz="4" w:space="0" w:color="auto"/>
          <w:right w:val="single" w:sz="4" w:space="0" w:color="auto"/>
        </w:tblBorders>
        <w:tblLook w:val="04A0"/>
      </w:tblPr>
      <w:tblGrid>
        <w:gridCol w:w="9854"/>
      </w:tblGrid>
      <w:tr w:rsidR="00CE4FC0" w:rsidRPr="00CE4FC0" w:rsidTr="00D60C0F">
        <w:tc>
          <w:tcPr>
            <w:tcW w:w="5000" w:type="pct"/>
            <w:tcBorders>
              <w:top w:val="single" w:sz="4" w:space="0" w:color="auto"/>
              <w:bottom w:val="single" w:sz="4" w:space="0" w:color="auto"/>
            </w:tcBorders>
            <w:shd w:val="clear" w:color="auto" w:fill="C0C0C0"/>
          </w:tcPr>
          <w:p w:rsidR="00CE4FC0" w:rsidRPr="00CE4FC0" w:rsidRDefault="00CE4FC0" w:rsidP="00CE4FC0">
            <w:pPr>
              <w:jc w:val="center"/>
              <w:rPr>
                <w:rFonts w:ascii="Calibri" w:eastAsia="Times New Roman" w:hAnsi="Calibri" w:cs="Times New Roman"/>
                <w:b/>
                <w:sz w:val="32"/>
                <w:szCs w:val="32"/>
              </w:rPr>
            </w:pPr>
            <w:r w:rsidRPr="00CE4FC0">
              <w:rPr>
                <w:rFonts w:ascii="Calibri" w:eastAsia="Times New Roman" w:hAnsi="Calibri" w:cs="Times New Roman"/>
                <w:b/>
                <w:sz w:val="32"/>
                <w:szCs w:val="32"/>
              </w:rPr>
              <w:t>Článok IV - Informácie, ktoré vysvetľujú a dopĺňajú položky výkazu ziskov a strát</w:t>
            </w:r>
          </w:p>
        </w:tc>
      </w:tr>
    </w:tbl>
    <w:p w:rsidR="00CE4FC0" w:rsidRPr="00CE4FC0" w:rsidRDefault="00CE4FC0" w:rsidP="00CE4FC0">
      <w:pPr>
        <w:spacing w:after="200" w:line="276" w:lineRule="auto"/>
        <w:rPr>
          <w:rFonts w:ascii="Calibri" w:eastAsia="Times New Roman" w:hAnsi="Calibri" w:cs="Times New Roman"/>
          <w:sz w:val="20"/>
          <w:szCs w:val="20"/>
        </w:rPr>
      </w:pPr>
    </w:p>
    <w:p w:rsidR="00CE4FC0" w:rsidRPr="00CE4FC0" w:rsidRDefault="00CE4FC0" w:rsidP="00CE4FC0">
      <w:pPr>
        <w:spacing w:after="200" w:line="276" w:lineRule="auto"/>
        <w:rPr>
          <w:rFonts w:ascii="Calibri" w:eastAsia="Times New Roman" w:hAnsi="Calibri" w:cs="Times New Roman"/>
          <w:sz w:val="20"/>
          <w:szCs w:val="20"/>
        </w:rPr>
      </w:pPr>
    </w:p>
    <w:tbl>
      <w:tblPr>
        <w:tblW w:w="5000" w:type="pct"/>
        <w:tblBorders>
          <w:top w:val="single" w:sz="4" w:space="0" w:color="auto"/>
          <w:left w:val="single" w:sz="4" w:space="0" w:color="auto"/>
          <w:bottom w:val="single" w:sz="4" w:space="0" w:color="auto"/>
          <w:right w:val="single" w:sz="4" w:space="0" w:color="auto"/>
        </w:tblBorders>
        <w:tblLook w:val="04A0"/>
      </w:tblPr>
      <w:tblGrid>
        <w:gridCol w:w="9854"/>
      </w:tblGrid>
      <w:tr w:rsidR="00CE4FC0" w:rsidRPr="00CE4FC0" w:rsidTr="00D60C0F">
        <w:tc>
          <w:tcPr>
            <w:tcW w:w="5000" w:type="pct"/>
            <w:tcBorders>
              <w:top w:val="single" w:sz="4" w:space="0" w:color="auto"/>
              <w:bottom w:val="single" w:sz="4" w:space="0" w:color="auto"/>
            </w:tcBorders>
            <w:shd w:val="clear" w:color="auto" w:fill="C0C0C0"/>
          </w:tcPr>
          <w:p w:rsidR="00CE4FC0" w:rsidRPr="00CE4FC0" w:rsidRDefault="00CE4FC0" w:rsidP="00CE4FC0">
            <w:pPr>
              <w:jc w:val="center"/>
              <w:rPr>
                <w:rFonts w:ascii="Calibri" w:eastAsia="Times New Roman" w:hAnsi="Calibri" w:cs="Times New Roman"/>
                <w:b/>
                <w:sz w:val="28"/>
                <w:szCs w:val="28"/>
              </w:rPr>
            </w:pPr>
            <w:r w:rsidRPr="00CE4FC0">
              <w:rPr>
                <w:rFonts w:ascii="Calibri" w:eastAsia="Times New Roman" w:hAnsi="Calibri" w:cs="Times New Roman"/>
                <w:b/>
                <w:sz w:val="28"/>
                <w:szCs w:val="28"/>
              </w:rPr>
              <w:t>IV. 1) Výnosy a náklady z bežnej činnosti</w:t>
            </w:r>
          </w:p>
        </w:tc>
      </w:tr>
    </w:tbl>
    <w:p w:rsidR="00CE4FC0" w:rsidRPr="00CE4FC0" w:rsidRDefault="00CE4FC0" w:rsidP="00CE4FC0">
      <w:pPr>
        <w:spacing w:after="200" w:line="276" w:lineRule="auto"/>
        <w:rPr>
          <w:rFonts w:ascii="Calibri" w:eastAsia="Times New Roman" w:hAnsi="Calibri" w:cs="Times New Roman"/>
          <w:sz w:val="20"/>
          <w:szCs w:val="20"/>
        </w:rPr>
      </w:pPr>
    </w:p>
    <w:p w:rsidR="00CE4FC0" w:rsidRPr="00CE4FC0" w:rsidRDefault="00CE4FC0" w:rsidP="00CE4FC0">
      <w:pPr>
        <w:spacing w:after="200" w:line="276" w:lineRule="auto"/>
        <w:rPr>
          <w:rFonts w:ascii="Calibri" w:eastAsia="Times New Roman" w:hAnsi="Calibri" w:cs="Times New Roman"/>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84"/>
        <w:gridCol w:w="3283"/>
        <w:gridCol w:w="3287"/>
      </w:tblGrid>
      <w:tr w:rsidR="00CE4FC0" w:rsidRPr="00CE4FC0" w:rsidTr="00D60C0F">
        <w:tc>
          <w:tcPr>
            <w:tcW w:w="5000" w:type="pct"/>
            <w:gridSpan w:val="3"/>
            <w:shd w:val="clear" w:color="auto" w:fill="C0C0C0"/>
          </w:tcPr>
          <w:p w:rsidR="00CE4FC0" w:rsidRPr="00CE4FC0" w:rsidRDefault="00CE4FC0" w:rsidP="00CE4FC0">
            <w:pPr>
              <w:jc w:val="center"/>
              <w:rPr>
                <w:rFonts w:ascii="Calibri" w:eastAsia="Times New Roman" w:hAnsi="Calibri" w:cs="Times New Roman"/>
                <w:b/>
                <w:sz w:val="20"/>
                <w:szCs w:val="20"/>
              </w:rPr>
            </w:pPr>
            <w:r w:rsidRPr="00CE4FC0">
              <w:rPr>
                <w:rFonts w:ascii="Calibri" w:eastAsia="Times New Roman" w:hAnsi="Calibri" w:cs="Times New Roman"/>
                <w:b/>
                <w:sz w:val="20"/>
                <w:szCs w:val="20"/>
              </w:rPr>
              <w:t>IV. 1 a) Výnosy za vlastné výkony a tovar podľa jednotlivých typov výrobkov a služieb</w:t>
            </w:r>
          </w:p>
        </w:tc>
      </w:tr>
      <w:tr w:rsidR="00CE4FC0" w:rsidRPr="00CE4FC0" w:rsidTr="00D60C0F">
        <w:tc>
          <w:tcPr>
            <w:tcW w:w="1666"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Typ výrobku, tovaru alebo služby</w:t>
            </w:r>
          </w:p>
        </w:tc>
        <w:tc>
          <w:tcPr>
            <w:tcW w:w="1666"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Suma výnosov Bežný rok</w:t>
            </w:r>
          </w:p>
        </w:tc>
        <w:tc>
          <w:tcPr>
            <w:tcW w:w="1668"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Suma výnosov Minulý rok</w:t>
            </w: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Tržby z predaja tovaru</w:t>
            </w:r>
          </w:p>
        </w:tc>
        <w:tc>
          <w:tcPr>
            <w:tcW w:w="1666"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c>
          <w:tcPr>
            <w:tcW w:w="1668"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Tržby z predaja služieb</w:t>
            </w:r>
          </w:p>
        </w:tc>
        <w:tc>
          <w:tcPr>
            <w:tcW w:w="1666"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3 480 038</w:t>
            </w:r>
          </w:p>
        </w:tc>
        <w:tc>
          <w:tcPr>
            <w:tcW w:w="1668"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2 967 482</w:t>
            </w:r>
          </w:p>
        </w:tc>
      </w:tr>
    </w:tbl>
    <w:p w:rsidR="00CE4FC0" w:rsidRPr="00CE4FC0" w:rsidRDefault="00CE4FC0" w:rsidP="00CE4FC0">
      <w:pPr>
        <w:spacing w:after="200" w:line="276" w:lineRule="auto"/>
        <w:rPr>
          <w:rFonts w:ascii="Calibri" w:eastAsia="Times New Roman" w:hAnsi="Calibri" w:cs="Times New Roman"/>
          <w:sz w:val="20"/>
          <w:szCs w:val="20"/>
        </w:rPr>
      </w:pPr>
    </w:p>
    <w:p w:rsidR="00CE4FC0" w:rsidRPr="00CE4FC0" w:rsidRDefault="00CE4FC0" w:rsidP="00CE4FC0">
      <w:pPr>
        <w:spacing w:after="200" w:line="276" w:lineRule="auto"/>
        <w:rPr>
          <w:rFonts w:ascii="Calibri" w:eastAsia="Times New Roman" w:hAnsi="Calibri" w:cs="Times New Roman"/>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84"/>
        <w:gridCol w:w="3283"/>
        <w:gridCol w:w="3287"/>
      </w:tblGrid>
      <w:tr w:rsidR="00CE4FC0" w:rsidRPr="00CE4FC0" w:rsidTr="00D60C0F">
        <w:tc>
          <w:tcPr>
            <w:tcW w:w="5000" w:type="pct"/>
            <w:gridSpan w:val="3"/>
            <w:shd w:val="clear" w:color="auto" w:fill="C0C0C0"/>
          </w:tcPr>
          <w:p w:rsidR="00CE4FC0" w:rsidRPr="00CE4FC0" w:rsidRDefault="00CE4FC0" w:rsidP="00CE4FC0">
            <w:pPr>
              <w:jc w:val="center"/>
              <w:rPr>
                <w:rFonts w:ascii="Calibri" w:eastAsia="Times New Roman" w:hAnsi="Calibri" w:cs="Times New Roman"/>
                <w:b/>
                <w:sz w:val="20"/>
                <w:szCs w:val="20"/>
              </w:rPr>
            </w:pPr>
            <w:r w:rsidRPr="00CE4FC0">
              <w:rPr>
                <w:rFonts w:ascii="Calibri" w:eastAsia="Times New Roman" w:hAnsi="Calibri" w:cs="Times New Roman"/>
                <w:b/>
                <w:sz w:val="20"/>
                <w:szCs w:val="20"/>
              </w:rPr>
              <w:t>IV. 1 d) Opis a suma ostatných významných položiek výnosov z hospodárskej činnosti</w:t>
            </w:r>
          </w:p>
        </w:tc>
      </w:tr>
      <w:tr w:rsidR="00CE4FC0" w:rsidRPr="00CE4FC0" w:rsidTr="00D60C0F">
        <w:tc>
          <w:tcPr>
            <w:tcW w:w="1666"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Opis účtovného prípadu</w:t>
            </w:r>
          </w:p>
        </w:tc>
        <w:tc>
          <w:tcPr>
            <w:tcW w:w="1666"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Suma výnosov z hospodárskej činnosti Bežný rok</w:t>
            </w:r>
          </w:p>
        </w:tc>
        <w:tc>
          <w:tcPr>
            <w:tcW w:w="1668"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Suma výnosov z hospodárskej činnosti Minulý rok</w:t>
            </w: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Tržby z predaja dlhodob.hmot.majet.</w:t>
            </w:r>
          </w:p>
        </w:tc>
        <w:tc>
          <w:tcPr>
            <w:tcW w:w="1666"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327 598</w:t>
            </w:r>
          </w:p>
        </w:tc>
        <w:tc>
          <w:tcPr>
            <w:tcW w:w="1668"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102 000</w:t>
            </w: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Ostatné výnosy z hosp.činn./poistné plnenie, refundácia DPH/</w:t>
            </w:r>
          </w:p>
        </w:tc>
        <w:tc>
          <w:tcPr>
            <w:tcW w:w="1666"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9 735</w:t>
            </w:r>
          </w:p>
        </w:tc>
        <w:tc>
          <w:tcPr>
            <w:tcW w:w="1668"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6 118</w:t>
            </w:r>
          </w:p>
        </w:tc>
      </w:tr>
    </w:tbl>
    <w:p w:rsidR="00CE4FC0" w:rsidRPr="00CE4FC0" w:rsidRDefault="00CE4FC0" w:rsidP="00CE4FC0">
      <w:pPr>
        <w:spacing w:after="200" w:line="276" w:lineRule="auto"/>
        <w:rPr>
          <w:rFonts w:ascii="Calibri" w:eastAsia="Times New Roman" w:hAnsi="Calibri" w:cs="Times New Roman"/>
          <w:sz w:val="20"/>
          <w:szCs w:val="20"/>
        </w:rPr>
      </w:pPr>
    </w:p>
    <w:p w:rsidR="00CE4FC0" w:rsidRPr="00CE4FC0" w:rsidRDefault="00CE4FC0" w:rsidP="00CE4FC0">
      <w:pPr>
        <w:spacing w:after="200" w:line="276" w:lineRule="auto"/>
        <w:rPr>
          <w:rFonts w:ascii="Calibri" w:eastAsia="Times New Roman" w:hAnsi="Calibri" w:cs="Times New Roman"/>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84"/>
        <w:gridCol w:w="3283"/>
        <w:gridCol w:w="3287"/>
      </w:tblGrid>
      <w:tr w:rsidR="00CE4FC0" w:rsidRPr="00CE4FC0" w:rsidTr="00D60C0F">
        <w:tc>
          <w:tcPr>
            <w:tcW w:w="5000" w:type="pct"/>
            <w:gridSpan w:val="3"/>
            <w:shd w:val="clear" w:color="auto" w:fill="C0C0C0"/>
          </w:tcPr>
          <w:p w:rsidR="00CE4FC0" w:rsidRPr="00CE4FC0" w:rsidRDefault="00CE4FC0" w:rsidP="00CE4FC0">
            <w:pPr>
              <w:jc w:val="center"/>
              <w:rPr>
                <w:rFonts w:ascii="Calibri" w:eastAsia="Times New Roman" w:hAnsi="Calibri" w:cs="Times New Roman"/>
                <w:b/>
                <w:sz w:val="20"/>
                <w:szCs w:val="20"/>
              </w:rPr>
            </w:pPr>
            <w:r w:rsidRPr="00CE4FC0">
              <w:rPr>
                <w:rFonts w:ascii="Calibri" w:eastAsia="Times New Roman" w:hAnsi="Calibri" w:cs="Times New Roman"/>
                <w:b/>
                <w:sz w:val="20"/>
                <w:szCs w:val="20"/>
              </w:rPr>
              <w:t>IV. 1 e) Osobné náklady</w:t>
            </w:r>
          </w:p>
        </w:tc>
      </w:tr>
      <w:tr w:rsidR="00CE4FC0" w:rsidRPr="00CE4FC0" w:rsidTr="00D60C0F">
        <w:tc>
          <w:tcPr>
            <w:tcW w:w="1666"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Opis účtovného prípadu</w:t>
            </w:r>
          </w:p>
        </w:tc>
        <w:tc>
          <w:tcPr>
            <w:tcW w:w="1666"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Suma osobných nákladov Bežný rok</w:t>
            </w:r>
          </w:p>
        </w:tc>
        <w:tc>
          <w:tcPr>
            <w:tcW w:w="1668"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Suma osobných nákladov Minulý rok</w:t>
            </w: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Mzdové náklady</w:t>
            </w:r>
          </w:p>
        </w:tc>
        <w:tc>
          <w:tcPr>
            <w:tcW w:w="1666"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165 269</w:t>
            </w:r>
          </w:p>
        </w:tc>
        <w:tc>
          <w:tcPr>
            <w:tcW w:w="1668"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179 779</w:t>
            </w: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Ostatné osobné náklady na závislú činnosť</w:t>
            </w:r>
          </w:p>
        </w:tc>
        <w:tc>
          <w:tcPr>
            <w:tcW w:w="1666"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c>
          <w:tcPr>
            <w:tcW w:w="1668"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159</w:t>
            </w: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Sociálna poisťovňa</w:t>
            </w:r>
          </w:p>
        </w:tc>
        <w:tc>
          <w:tcPr>
            <w:tcW w:w="1666"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29 997</w:t>
            </w:r>
          </w:p>
        </w:tc>
        <w:tc>
          <w:tcPr>
            <w:tcW w:w="1668"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35 304</w:t>
            </w: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Zdravotná poisťovňa</w:t>
            </w:r>
          </w:p>
        </w:tc>
        <w:tc>
          <w:tcPr>
            <w:tcW w:w="1666"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19 998</w:t>
            </w:r>
          </w:p>
        </w:tc>
        <w:tc>
          <w:tcPr>
            <w:tcW w:w="1668"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16 142</w:t>
            </w: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Iné osobné a sociálne náklady</w:t>
            </w:r>
          </w:p>
        </w:tc>
        <w:tc>
          <w:tcPr>
            <w:tcW w:w="1666"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4 614</w:t>
            </w:r>
          </w:p>
        </w:tc>
        <w:tc>
          <w:tcPr>
            <w:tcW w:w="1668"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4 611</w:t>
            </w: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SPOLU</w:t>
            </w:r>
          </w:p>
        </w:tc>
        <w:tc>
          <w:tcPr>
            <w:tcW w:w="1666"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219 878</w:t>
            </w:r>
          </w:p>
        </w:tc>
        <w:tc>
          <w:tcPr>
            <w:tcW w:w="1668"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235 995</w:t>
            </w:r>
          </w:p>
        </w:tc>
      </w:tr>
    </w:tbl>
    <w:p w:rsidR="00CE4FC0" w:rsidRPr="00CE4FC0" w:rsidRDefault="00CE4FC0" w:rsidP="00CE4FC0">
      <w:pPr>
        <w:spacing w:after="200" w:line="276" w:lineRule="auto"/>
        <w:rPr>
          <w:rFonts w:ascii="Calibri" w:eastAsia="Times New Roman" w:hAnsi="Calibri" w:cs="Times New Roman"/>
          <w:sz w:val="20"/>
          <w:szCs w:val="20"/>
        </w:rPr>
      </w:pPr>
    </w:p>
    <w:p w:rsidR="00CE4FC0" w:rsidRPr="00CE4FC0" w:rsidRDefault="00CE4FC0" w:rsidP="00CE4FC0">
      <w:pPr>
        <w:spacing w:after="200" w:line="276" w:lineRule="auto"/>
        <w:rPr>
          <w:rFonts w:ascii="Calibri" w:eastAsia="Times New Roman" w:hAnsi="Calibri" w:cs="Times New Roman"/>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84"/>
        <w:gridCol w:w="3283"/>
        <w:gridCol w:w="3287"/>
      </w:tblGrid>
      <w:tr w:rsidR="00CE4FC0" w:rsidRPr="00CE4FC0" w:rsidTr="00D60C0F">
        <w:tc>
          <w:tcPr>
            <w:tcW w:w="5000" w:type="pct"/>
            <w:gridSpan w:val="3"/>
            <w:shd w:val="clear" w:color="auto" w:fill="C0C0C0"/>
          </w:tcPr>
          <w:p w:rsidR="00CE4FC0" w:rsidRPr="00CE4FC0" w:rsidRDefault="00CE4FC0" w:rsidP="00CE4FC0">
            <w:pPr>
              <w:jc w:val="center"/>
              <w:rPr>
                <w:rFonts w:ascii="Calibri" w:eastAsia="Times New Roman" w:hAnsi="Calibri" w:cs="Times New Roman"/>
                <w:b/>
                <w:sz w:val="20"/>
                <w:szCs w:val="20"/>
              </w:rPr>
            </w:pPr>
            <w:r w:rsidRPr="00CE4FC0">
              <w:rPr>
                <w:rFonts w:ascii="Calibri" w:eastAsia="Times New Roman" w:hAnsi="Calibri" w:cs="Times New Roman"/>
                <w:b/>
                <w:sz w:val="20"/>
                <w:szCs w:val="20"/>
              </w:rPr>
              <w:t>IV. 1 f) Opis a suma významných položiek finančných výnosov a celkovej sume kurzových ziskov</w:t>
            </w:r>
          </w:p>
        </w:tc>
      </w:tr>
      <w:tr w:rsidR="00CE4FC0" w:rsidRPr="00CE4FC0" w:rsidTr="00D60C0F">
        <w:tc>
          <w:tcPr>
            <w:tcW w:w="1666"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Opis účtovného prípadu</w:t>
            </w:r>
          </w:p>
        </w:tc>
        <w:tc>
          <w:tcPr>
            <w:tcW w:w="1666"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Suma finančných výnosov Bežný rok</w:t>
            </w:r>
          </w:p>
        </w:tc>
        <w:tc>
          <w:tcPr>
            <w:tcW w:w="1668"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Suma finančných výnosov Minulý rok</w:t>
            </w: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Výnosy z predaja CP a podielov (661)</w:t>
            </w:r>
          </w:p>
        </w:tc>
        <w:tc>
          <w:tcPr>
            <w:tcW w:w="1666"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c>
          <w:tcPr>
            <w:tcW w:w="1668"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9 762 850</w:t>
            </w: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Výnosové úroky (662)</w:t>
            </w:r>
          </w:p>
        </w:tc>
        <w:tc>
          <w:tcPr>
            <w:tcW w:w="1666"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3 539</w:t>
            </w:r>
          </w:p>
        </w:tc>
        <w:tc>
          <w:tcPr>
            <w:tcW w:w="1668"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4 620</w:t>
            </w: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Kurzové zisky počas roku (663.A)</w:t>
            </w:r>
          </w:p>
        </w:tc>
        <w:tc>
          <w:tcPr>
            <w:tcW w:w="1666"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c>
          <w:tcPr>
            <w:tcW w:w="1668"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Kurzové zisky k závierkovému dňu (663.A)</w:t>
            </w:r>
          </w:p>
        </w:tc>
        <w:tc>
          <w:tcPr>
            <w:tcW w:w="1666"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c>
          <w:tcPr>
            <w:tcW w:w="1668"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13</w:t>
            </w: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Ostatné finančné výnosy (66x)</w:t>
            </w:r>
          </w:p>
        </w:tc>
        <w:tc>
          <w:tcPr>
            <w:tcW w:w="1666"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c>
          <w:tcPr>
            <w:tcW w:w="1668"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3 072 060</w:t>
            </w: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SPOLU</w:t>
            </w:r>
          </w:p>
        </w:tc>
        <w:tc>
          <w:tcPr>
            <w:tcW w:w="1666"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3 539</w:t>
            </w:r>
          </w:p>
        </w:tc>
        <w:tc>
          <w:tcPr>
            <w:tcW w:w="1668"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12 839 543</w:t>
            </w:r>
          </w:p>
        </w:tc>
      </w:tr>
    </w:tbl>
    <w:p w:rsidR="00CE4FC0" w:rsidRPr="00CE4FC0" w:rsidRDefault="00CE4FC0" w:rsidP="00CE4FC0">
      <w:pPr>
        <w:spacing w:after="200" w:line="276" w:lineRule="auto"/>
        <w:rPr>
          <w:rFonts w:ascii="Calibri" w:eastAsia="Times New Roman" w:hAnsi="Calibri" w:cs="Times New Roman"/>
          <w:sz w:val="20"/>
          <w:szCs w:val="20"/>
        </w:rPr>
      </w:pPr>
    </w:p>
    <w:p w:rsidR="00CE4FC0" w:rsidRPr="00CE4FC0" w:rsidRDefault="00CE4FC0" w:rsidP="00CE4FC0">
      <w:pPr>
        <w:spacing w:after="200" w:line="276" w:lineRule="auto"/>
        <w:rPr>
          <w:rFonts w:ascii="Calibri" w:eastAsia="Times New Roman" w:hAnsi="Calibri" w:cs="Times New Roman"/>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84"/>
        <w:gridCol w:w="3283"/>
        <w:gridCol w:w="3287"/>
      </w:tblGrid>
      <w:tr w:rsidR="00CE4FC0" w:rsidRPr="00CE4FC0" w:rsidTr="00D60C0F">
        <w:tc>
          <w:tcPr>
            <w:tcW w:w="5000" w:type="pct"/>
            <w:gridSpan w:val="3"/>
            <w:shd w:val="clear" w:color="auto" w:fill="C0C0C0"/>
          </w:tcPr>
          <w:p w:rsidR="00CE4FC0" w:rsidRPr="00CE4FC0" w:rsidRDefault="00CE4FC0" w:rsidP="00CE4FC0">
            <w:pPr>
              <w:jc w:val="center"/>
              <w:rPr>
                <w:rFonts w:ascii="Calibri" w:eastAsia="Times New Roman" w:hAnsi="Calibri" w:cs="Times New Roman"/>
                <w:b/>
                <w:sz w:val="20"/>
                <w:szCs w:val="20"/>
              </w:rPr>
            </w:pPr>
            <w:r w:rsidRPr="00CE4FC0">
              <w:rPr>
                <w:rFonts w:ascii="Calibri" w:eastAsia="Times New Roman" w:hAnsi="Calibri" w:cs="Times New Roman"/>
                <w:b/>
                <w:sz w:val="20"/>
                <w:szCs w:val="20"/>
              </w:rPr>
              <w:t>IV. 1 g) Náklady na poskytnuté služby</w:t>
            </w:r>
          </w:p>
        </w:tc>
      </w:tr>
      <w:tr w:rsidR="00CE4FC0" w:rsidRPr="00CE4FC0" w:rsidTr="00D60C0F">
        <w:tc>
          <w:tcPr>
            <w:tcW w:w="1666"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Opis účtovného prípadu</w:t>
            </w:r>
          </w:p>
        </w:tc>
        <w:tc>
          <w:tcPr>
            <w:tcW w:w="1666"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Náklady na nákup služieb Bežný rok</w:t>
            </w:r>
          </w:p>
        </w:tc>
        <w:tc>
          <w:tcPr>
            <w:tcW w:w="1668"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Náklady na nákup služieb Minulý rok</w:t>
            </w: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Spotreba materiálu, energie a ostat.nesklad.dodávok</w:t>
            </w:r>
          </w:p>
        </w:tc>
        <w:tc>
          <w:tcPr>
            <w:tcW w:w="1666"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46 903</w:t>
            </w:r>
          </w:p>
        </w:tc>
        <w:tc>
          <w:tcPr>
            <w:tcW w:w="1668"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90 404</w:t>
            </w: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Oprava a údržba majetku</w:t>
            </w:r>
          </w:p>
        </w:tc>
        <w:tc>
          <w:tcPr>
            <w:tcW w:w="1666"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29 395</w:t>
            </w:r>
          </w:p>
        </w:tc>
        <w:tc>
          <w:tcPr>
            <w:tcW w:w="1668"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24 341</w:t>
            </w: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Cestovné tuzem. a zahran.</w:t>
            </w:r>
          </w:p>
        </w:tc>
        <w:tc>
          <w:tcPr>
            <w:tcW w:w="1666"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4 017</w:t>
            </w:r>
          </w:p>
        </w:tc>
        <w:tc>
          <w:tcPr>
            <w:tcW w:w="1668"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3 164</w:t>
            </w: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Poradenské a právne služby v oblasti podnikania</w:t>
            </w:r>
          </w:p>
        </w:tc>
        <w:tc>
          <w:tcPr>
            <w:tcW w:w="1666"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155 755</w:t>
            </w:r>
          </w:p>
        </w:tc>
        <w:tc>
          <w:tcPr>
            <w:tcW w:w="1668"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101 638</w:t>
            </w: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režijné náklady /telefónne služby,poštovné, parkovné/</w:t>
            </w:r>
          </w:p>
        </w:tc>
        <w:tc>
          <w:tcPr>
            <w:tcW w:w="1666"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88 940</w:t>
            </w:r>
          </w:p>
        </w:tc>
        <w:tc>
          <w:tcPr>
            <w:tcW w:w="1668"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48 674</w:t>
            </w: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lastRenderedPageBreak/>
              <w:t>reprezentačné</w:t>
            </w:r>
          </w:p>
        </w:tc>
        <w:tc>
          <w:tcPr>
            <w:tcW w:w="1666"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25 384</w:t>
            </w:r>
          </w:p>
        </w:tc>
        <w:tc>
          <w:tcPr>
            <w:tcW w:w="1668"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136 595</w:t>
            </w: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nájomné služby, prev.nákl.spoj.s nájmom</w:t>
            </w:r>
          </w:p>
        </w:tc>
        <w:tc>
          <w:tcPr>
            <w:tcW w:w="1666"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281 647</w:t>
            </w:r>
          </w:p>
        </w:tc>
        <w:tc>
          <w:tcPr>
            <w:tcW w:w="1668"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219 295</w:t>
            </w: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SPOLU</w:t>
            </w:r>
          </w:p>
        </w:tc>
        <w:tc>
          <w:tcPr>
            <w:tcW w:w="1666"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632 041</w:t>
            </w:r>
          </w:p>
        </w:tc>
        <w:tc>
          <w:tcPr>
            <w:tcW w:w="1668"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624 111</w:t>
            </w:r>
          </w:p>
        </w:tc>
      </w:tr>
    </w:tbl>
    <w:p w:rsidR="00CE4FC0" w:rsidRPr="00CE4FC0" w:rsidRDefault="00CE4FC0" w:rsidP="00CE4FC0">
      <w:pPr>
        <w:spacing w:after="200" w:line="276" w:lineRule="auto"/>
        <w:rPr>
          <w:rFonts w:ascii="Calibri" w:eastAsia="Times New Roman" w:hAnsi="Calibri" w:cs="Times New Roman"/>
          <w:sz w:val="20"/>
          <w:szCs w:val="20"/>
        </w:rPr>
      </w:pPr>
    </w:p>
    <w:p w:rsidR="00CE4FC0" w:rsidRPr="00CE4FC0" w:rsidRDefault="00CE4FC0" w:rsidP="00CE4FC0">
      <w:pPr>
        <w:spacing w:after="200" w:line="276" w:lineRule="auto"/>
        <w:rPr>
          <w:rFonts w:ascii="Calibri" w:eastAsia="Times New Roman" w:hAnsi="Calibri" w:cs="Times New Roman"/>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84"/>
        <w:gridCol w:w="3283"/>
        <w:gridCol w:w="3287"/>
      </w:tblGrid>
      <w:tr w:rsidR="00CE4FC0" w:rsidRPr="00CE4FC0" w:rsidTr="00D60C0F">
        <w:tc>
          <w:tcPr>
            <w:tcW w:w="5000" w:type="pct"/>
            <w:gridSpan w:val="3"/>
            <w:shd w:val="clear" w:color="auto" w:fill="C0C0C0"/>
          </w:tcPr>
          <w:p w:rsidR="00CE4FC0" w:rsidRPr="00CE4FC0" w:rsidRDefault="00CE4FC0" w:rsidP="00CE4FC0">
            <w:pPr>
              <w:jc w:val="center"/>
              <w:rPr>
                <w:rFonts w:ascii="Calibri" w:eastAsia="Times New Roman" w:hAnsi="Calibri" w:cs="Times New Roman"/>
                <w:b/>
                <w:sz w:val="20"/>
                <w:szCs w:val="20"/>
              </w:rPr>
            </w:pPr>
            <w:r w:rsidRPr="00CE4FC0">
              <w:rPr>
                <w:rFonts w:ascii="Calibri" w:eastAsia="Times New Roman" w:hAnsi="Calibri" w:cs="Times New Roman"/>
                <w:b/>
                <w:sz w:val="20"/>
                <w:szCs w:val="20"/>
              </w:rPr>
              <w:t>IV. 1 h) Ostatné významné položky nákladov z hospodárskej činnosti</w:t>
            </w:r>
          </w:p>
        </w:tc>
      </w:tr>
      <w:tr w:rsidR="00CE4FC0" w:rsidRPr="00CE4FC0" w:rsidTr="00D60C0F">
        <w:tc>
          <w:tcPr>
            <w:tcW w:w="1666"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Opis účtovného prípadu</w:t>
            </w:r>
          </w:p>
        </w:tc>
        <w:tc>
          <w:tcPr>
            <w:tcW w:w="1666"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Ostatné náklady z hospodárskej činnosti Bežný rok</w:t>
            </w:r>
          </w:p>
        </w:tc>
        <w:tc>
          <w:tcPr>
            <w:tcW w:w="1668"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Ostatné náklady z hospodárskej činnosti Minulý rok</w:t>
            </w: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Odpisy dlhodob.hmot.majetku</w:t>
            </w:r>
          </w:p>
        </w:tc>
        <w:tc>
          <w:tcPr>
            <w:tcW w:w="1666"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207 179</w:t>
            </w:r>
          </w:p>
        </w:tc>
        <w:tc>
          <w:tcPr>
            <w:tcW w:w="1668"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241 002</w:t>
            </w: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Zostatková cena predaného majetku</w:t>
            </w:r>
          </w:p>
        </w:tc>
        <w:tc>
          <w:tcPr>
            <w:tcW w:w="1666"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186 031</w:t>
            </w:r>
          </w:p>
        </w:tc>
        <w:tc>
          <w:tcPr>
            <w:tcW w:w="1668"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28 030</w:t>
            </w: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Ostatné náklady na hosp. činnosť</w:t>
            </w:r>
          </w:p>
        </w:tc>
        <w:tc>
          <w:tcPr>
            <w:tcW w:w="1666"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70 617</w:t>
            </w:r>
          </w:p>
        </w:tc>
        <w:tc>
          <w:tcPr>
            <w:tcW w:w="1668"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102 015</w:t>
            </w:r>
          </w:p>
        </w:tc>
      </w:tr>
    </w:tbl>
    <w:p w:rsidR="00CE4FC0" w:rsidRPr="00CE4FC0" w:rsidRDefault="00CE4FC0" w:rsidP="00CE4FC0">
      <w:pPr>
        <w:spacing w:after="200" w:line="276" w:lineRule="auto"/>
        <w:rPr>
          <w:rFonts w:ascii="Calibri" w:eastAsia="Times New Roman" w:hAnsi="Calibri" w:cs="Times New Roman"/>
          <w:sz w:val="20"/>
          <w:szCs w:val="20"/>
        </w:rPr>
      </w:pPr>
    </w:p>
    <w:p w:rsidR="00CE4FC0" w:rsidRPr="00CE4FC0" w:rsidRDefault="00CE4FC0" w:rsidP="00CE4FC0">
      <w:pPr>
        <w:spacing w:after="200" w:line="276" w:lineRule="auto"/>
        <w:rPr>
          <w:rFonts w:ascii="Calibri" w:eastAsia="Times New Roman" w:hAnsi="Calibri" w:cs="Times New Roman"/>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84"/>
        <w:gridCol w:w="3283"/>
        <w:gridCol w:w="3287"/>
      </w:tblGrid>
      <w:tr w:rsidR="00CE4FC0" w:rsidRPr="00CE4FC0" w:rsidTr="00D60C0F">
        <w:tc>
          <w:tcPr>
            <w:tcW w:w="5000" w:type="pct"/>
            <w:gridSpan w:val="3"/>
            <w:shd w:val="clear" w:color="auto" w:fill="C0C0C0"/>
          </w:tcPr>
          <w:p w:rsidR="00CE4FC0" w:rsidRPr="00CE4FC0" w:rsidRDefault="00CE4FC0" w:rsidP="00CE4FC0">
            <w:pPr>
              <w:jc w:val="center"/>
              <w:rPr>
                <w:rFonts w:ascii="Calibri" w:eastAsia="Times New Roman" w:hAnsi="Calibri" w:cs="Times New Roman"/>
                <w:b/>
                <w:sz w:val="20"/>
                <w:szCs w:val="20"/>
              </w:rPr>
            </w:pPr>
            <w:r w:rsidRPr="00CE4FC0">
              <w:rPr>
                <w:rFonts w:ascii="Calibri" w:eastAsia="Times New Roman" w:hAnsi="Calibri" w:cs="Times New Roman"/>
                <w:b/>
                <w:sz w:val="20"/>
                <w:szCs w:val="20"/>
              </w:rPr>
              <w:t>IV. 1 i) Opis a suma významných položiek finančných nákladov a celkovej sume kurzových strát</w:t>
            </w:r>
          </w:p>
        </w:tc>
      </w:tr>
      <w:tr w:rsidR="00CE4FC0" w:rsidRPr="00CE4FC0" w:rsidTr="00D60C0F">
        <w:tc>
          <w:tcPr>
            <w:tcW w:w="1666"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Opis účtovného prípadu</w:t>
            </w:r>
          </w:p>
        </w:tc>
        <w:tc>
          <w:tcPr>
            <w:tcW w:w="1666"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Suma finančných nákladov Bežný rok</w:t>
            </w:r>
          </w:p>
        </w:tc>
        <w:tc>
          <w:tcPr>
            <w:tcW w:w="1668"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Suma finančných nákladov Minulý rok</w:t>
            </w: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Náklady z predaja CP a podielov (561)</w:t>
            </w:r>
          </w:p>
        </w:tc>
        <w:tc>
          <w:tcPr>
            <w:tcW w:w="1666"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c>
          <w:tcPr>
            <w:tcW w:w="1668"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9 767 850</w:t>
            </w: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Nákladové úroky (562)</w:t>
            </w:r>
          </w:p>
        </w:tc>
        <w:tc>
          <w:tcPr>
            <w:tcW w:w="1666"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c>
          <w:tcPr>
            <w:tcW w:w="1668"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120</w:t>
            </w: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Kurzové straty počas roku (563.A)</w:t>
            </w:r>
          </w:p>
        </w:tc>
        <w:tc>
          <w:tcPr>
            <w:tcW w:w="1666"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c>
          <w:tcPr>
            <w:tcW w:w="1668"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Kurzové straty k závierkovému dňu (563.A)</w:t>
            </w:r>
          </w:p>
        </w:tc>
        <w:tc>
          <w:tcPr>
            <w:tcW w:w="1666"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52</w:t>
            </w:r>
          </w:p>
        </w:tc>
        <w:tc>
          <w:tcPr>
            <w:tcW w:w="1668"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33</w:t>
            </w: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Ostatné finančné náklady (56x)</w:t>
            </w:r>
          </w:p>
        </w:tc>
        <w:tc>
          <w:tcPr>
            <w:tcW w:w="1666"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999</w:t>
            </w:r>
          </w:p>
        </w:tc>
        <w:tc>
          <w:tcPr>
            <w:tcW w:w="1668"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929</w:t>
            </w: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SPOLU</w:t>
            </w:r>
          </w:p>
        </w:tc>
        <w:tc>
          <w:tcPr>
            <w:tcW w:w="1666"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1 051</w:t>
            </w:r>
          </w:p>
        </w:tc>
        <w:tc>
          <w:tcPr>
            <w:tcW w:w="1668"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9 768 932</w:t>
            </w:r>
          </w:p>
        </w:tc>
      </w:tr>
    </w:tbl>
    <w:p w:rsidR="00CE4FC0" w:rsidRPr="00CE4FC0" w:rsidRDefault="00CE4FC0" w:rsidP="00CE4FC0">
      <w:pPr>
        <w:spacing w:after="200" w:line="276" w:lineRule="auto"/>
        <w:rPr>
          <w:rFonts w:ascii="Calibri" w:eastAsia="Times New Roman" w:hAnsi="Calibri" w:cs="Times New Roman"/>
          <w:sz w:val="20"/>
          <w:szCs w:val="20"/>
        </w:rPr>
      </w:pPr>
    </w:p>
    <w:p w:rsidR="00CE4FC0" w:rsidRPr="00CE4FC0" w:rsidRDefault="00CE4FC0" w:rsidP="00CE4FC0">
      <w:pPr>
        <w:spacing w:after="200" w:line="276" w:lineRule="auto"/>
        <w:rPr>
          <w:rFonts w:ascii="Calibri" w:eastAsia="Times New Roman" w:hAnsi="Calibri" w:cs="Times New Roman"/>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84"/>
        <w:gridCol w:w="3283"/>
        <w:gridCol w:w="3287"/>
      </w:tblGrid>
      <w:tr w:rsidR="00CE4FC0" w:rsidRPr="00CE4FC0" w:rsidTr="00D60C0F">
        <w:tc>
          <w:tcPr>
            <w:tcW w:w="5000" w:type="pct"/>
            <w:gridSpan w:val="3"/>
            <w:shd w:val="clear" w:color="auto" w:fill="C0C0C0"/>
          </w:tcPr>
          <w:p w:rsidR="00CE4FC0" w:rsidRPr="00CE4FC0" w:rsidRDefault="00CE4FC0" w:rsidP="00CE4FC0">
            <w:pPr>
              <w:jc w:val="center"/>
              <w:rPr>
                <w:rFonts w:ascii="Calibri" w:eastAsia="Times New Roman" w:hAnsi="Calibri" w:cs="Times New Roman"/>
                <w:b/>
                <w:sz w:val="20"/>
                <w:szCs w:val="20"/>
              </w:rPr>
            </w:pPr>
            <w:r w:rsidRPr="00CE4FC0">
              <w:rPr>
                <w:rFonts w:ascii="Calibri" w:eastAsia="Times New Roman" w:hAnsi="Calibri" w:cs="Times New Roman"/>
                <w:b/>
                <w:sz w:val="20"/>
                <w:szCs w:val="20"/>
              </w:rPr>
              <w:t>IV. 3) Náklady na overenie účtovnej závierky audítorom</w:t>
            </w:r>
          </w:p>
        </w:tc>
      </w:tr>
      <w:tr w:rsidR="00CE4FC0" w:rsidRPr="00CE4FC0" w:rsidTr="00D60C0F">
        <w:tc>
          <w:tcPr>
            <w:tcW w:w="1666"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Názov položky</w:t>
            </w:r>
          </w:p>
        </w:tc>
        <w:tc>
          <w:tcPr>
            <w:tcW w:w="1666"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Bežné účtovné obdobie</w:t>
            </w:r>
          </w:p>
        </w:tc>
        <w:tc>
          <w:tcPr>
            <w:tcW w:w="1668"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Bezprostredne predchádzajúce účtovné obdobie</w:t>
            </w:r>
          </w:p>
        </w:tc>
      </w:tr>
      <w:tr w:rsidR="00CE4FC0" w:rsidRPr="00CE4FC0" w:rsidTr="00D60C0F">
        <w:tc>
          <w:tcPr>
            <w:tcW w:w="1666" w:type="pct"/>
          </w:tcPr>
          <w:p w:rsidR="00CE4FC0" w:rsidRPr="00CE4FC0" w:rsidRDefault="00CE4FC0" w:rsidP="00CE4FC0">
            <w:pPr>
              <w:rPr>
                <w:rFonts w:ascii="Calibri" w:eastAsia="Times New Roman" w:hAnsi="Calibri" w:cs="Times New Roman"/>
                <w:b/>
                <w:sz w:val="20"/>
                <w:szCs w:val="20"/>
              </w:rPr>
            </w:pPr>
            <w:r w:rsidRPr="00CE4FC0">
              <w:rPr>
                <w:rFonts w:ascii="Calibri" w:eastAsia="Times New Roman" w:hAnsi="Calibri" w:cs="Times New Roman"/>
                <w:b/>
                <w:sz w:val="20"/>
                <w:szCs w:val="20"/>
              </w:rPr>
              <w:t>Náklady voči audítorovi, audítorskej spoločnosti, z toho:</w:t>
            </w:r>
          </w:p>
        </w:tc>
        <w:tc>
          <w:tcPr>
            <w:tcW w:w="1666"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7 000</w:t>
            </w:r>
          </w:p>
        </w:tc>
        <w:tc>
          <w:tcPr>
            <w:tcW w:w="1668" w:type="pct"/>
          </w:tcPr>
          <w:p w:rsidR="00CE4FC0" w:rsidRPr="00CE4FC0" w:rsidRDefault="00CE4FC0" w:rsidP="00CE4FC0">
            <w:pPr>
              <w:jc w:val="right"/>
              <w:rPr>
                <w:rFonts w:ascii="Calibri" w:eastAsia="Times New Roman" w:hAnsi="Calibri" w:cs="Times New Roman"/>
                <w:b/>
                <w:sz w:val="20"/>
                <w:szCs w:val="20"/>
              </w:rPr>
            </w:pPr>
            <w:r w:rsidRPr="00CE4FC0">
              <w:rPr>
                <w:rFonts w:ascii="Calibri" w:eastAsia="Times New Roman" w:hAnsi="Calibri" w:cs="Times New Roman"/>
                <w:b/>
                <w:sz w:val="20"/>
                <w:szCs w:val="20"/>
              </w:rPr>
              <w:t>7 000</w:t>
            </w: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náklady za overenie individuálnej účtovnej závierky</w:t>
            </w:r>
          </w:p>
        </w:tc>
        <w:tc>
          <w:tcPr>
            <w:tcW w:w="1666"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7 000</w:t>
            </w:r>
          </w:p>
        </w:tc>
        <w:tc>
          <w:tcPr>
            <w:tcW w:w="1668"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7 000</w:t>
            </w: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iné uisťovacie audítorské služby</w:t>
            </w:r>
          </w:p>
        </w:tc>
        <w:tc>
          <w:tcPr>
            <w:tcW w:w="1666" w:type="pct"/>
          </w:tcPr>
          <w:p w:rsidR="00CE4FC0" w:rsidRPr="00CE4FC0" w:rsidRDefault="00CE4FC0" w:rsidP="00CE4FC0">
            <w:pPr>
              <w:jc w:val="right"/>
              <w:rPr>
                <w:rFonts w:ascii="Calibri" w:eastAsia="Times New Roman" w:hAnsi="Calibri" w:cs="Times New Roman"/>
                <w:sz w:val="20"/>
                <w:szCs w:val="20"/>
              </w:rPr>
            </w:pPr>
          </w:p>
        </w:tc>
        <w:tc>
          <w:tcPr>
            <w:tcW w:w="1668"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súvisiace audítorské služby</w:t>
            </w:r>
          </w:p>
        </w:tc>
        <w:tc>
          <w:tcPr>
            <w:tcW w:w="1666" w:type="pct"/>
          </w:tcPr>
          <w:p w:rsidR="00CE4FC0" w:rsidRPr="00CE4FC0" w:rsidRDefault="00CE4FC0" w:rsidP="00CE4FC0">
            <w:pPr>
              <w:jc w:val="right"/>
              <w:rPr>
                <w:rFonts w:ascii="Calibri" w:eastAsia="Times New Roman" w:hAnsi="Calibri" w:cs="Times New Roman"/>
                <w:sz w:val="20"/>
                <w:szCs w:val="20"/>
              </w:rPr>
            </w:pPr>
          </w:p>
        </w:tc>
        <w:tc>
          <w:tcPr>
            <w:tcW w:w="1668"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daňové poradenstvo</w:t>
            </w:r>
          </w:p>
        </w:tc>
        <w:tc>
          <w:tcPr>
            <w:tcW w:w="1666" w:type="pct"/>
          </w:tcPr>
          <w:p w:rsidR="00CE4FC0" w:rsidRPr="00CE4FC0" w:rsidRDefault="00CE4FC0" w:rsidP="00CE4FC0">
            <w:pPr>
              <w:jc w:val="right"/>
              <w:rPr>
                <w:rFonts w:ascii="Calibri" w:eastAsia="Times New Roman" w:hAnsi="Calibri" w:cs="Times New Roman"/>
                <w:sz w:val="20"/>
                <w:szCs w:val="20"/>
              </w:rPr>
            </w:pPr>
          </w:p>
        </w:tc>
        <w:tc>
          <w:tcPr>
            <w:tcW w:w="1668"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ostatné neaudítorské služby</w:t>
            </w:r>
          </w:p>
        </w:tc>
        <w:tc>
          <w:tcPr>
            <w:tcW w:w="1666" w:type="pct"/>
          </w:tcPr>
          <w:p w:rsidR="00CE4FC0" w:rsidRPr="00CE4FC0" w:rsidRDefault="00CE4FC0" w:rsidP="00CE4FC0">
            <w:pPr>
              <w:jc w:val="right"/>
              <w:rPr>
                <w:rFonts w:ascii="Calibri" w:eastAsia="Times New Roman" w:hAnsi="Calibri" w:cs="Times New Roman"/>
                <w:sz w:val="20"/>
                <w:szCs w:val="20"/>
              </w:rPr>
            </w:pPr>
          </w:p>
        </w:tc>
        <w:tc>
          <w:tcPr>
            <w:tcW w:w="1668" w:type="pct"/>
          </w:tcPr>
          <w:p w:rsidR="00CE4FC0" w:rsidRPr="00CE4FC0" w:rsidRDefault="00CE4FC0" w:rsidP="00CE4FC0">
            <w:pPr>
              <w:jc w:val="right"/>
              <w:rPr>
                <w:rFonts w:ascii="Calibri" w:eastAsia="Times New Roman" w:hAnsi="Calibri" w:cs="Times New Roman"/>
                <w:sz w:val="20"/>
                <w:szCs w:val="20"/>
              </w:rPr>
            </w:pPr>
          </w:p>
        </w:tc>
      </w:tr>
    </w:tbl>
    <w:p w:rsidR="00CE4FC0" w:rsidRPr="00CE4FC0" w:rsidRDefault="00CE4FC0" w:rsidP="00CE4FC0">
      <w:pPr>
        <w:spacing w:after="200" w:line="276" w:lineRule="auto"/>
        <w:rPr>
          <w:rFonts w:ascii="Calibri" w:eastAsia="Times New Roman" w:hAnsi="Calibri" w:cs="Times New Roman"/>
          <w:sz w:val="20"/>
          <w:szCs w:val="20"/>
        </w:rPr>
      </w:pPr>
    </w:p>
    <w:p w:rsidR="00CE4FC0" w:rsidRPr="00CE4FC0" w:rsidRDefault="00CE4FC0" w:rsidP="00CE4FC0">
      <w:pPr>
        <w:spacing w:after="200" w:line="276" w:lineRule="auto"/>
        <w:rPr>
          <w:rFonts w:ascii="Calibri" w:eastAsia="Times New Roman" w:hAnsi="Calibri" w:cs="Times New Roman"/>
          <w:sz w:val="20"/>
          <w:szCs w:val="20"/>
        </w:rPr>
      </w:pPr>
    </w:p>
    <w:p w:rsidR="00CE4FC0" w:rsidRPr="00CE4FC0" w:rsidRDefault="00CE4FC0" w:rsidP="00CE4FC0">
      <w:pPr>
        <w:spacing w:after="200" w:line="276" w:lineRule="auto"/>
        <w:rPr>
          <w:rFonts w:ascii="Calibri" w:eastAsia="Times New Roman" w:hAnsi="Calibri" w:cs="Times New Roman"/>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84"/>
        <w:gridCol w:w="3283"/>
        <w:gridCol w:w="3287"/>
      </w:tblGrid>
      <w:tr w:rsidR="00CE4FC0" w:rsidRPr="00CE4FC0" w:rsidTr="00D60C0F">
        <w:tc>
          <w:tcPr>
            <w:tcW w:w="5000" w:type="pct"/>
            <w:gridSpan w:val="3"/>
            <w:shd w:val="clear" w:color="auto" w:fill="C0C0C0"/>
          </w:tcPr>
          <w:p w:rsidR="00CE4FC0" w:rsidRPr="00CE4FC0" w:rsidRDefault="00CE4FC0" w:rsidP="00CE4FC0">
            <w:pPr>
              <w:jc w:val="center"/>
              <w:rPr>
                <w:rFonts w:ascii="Calibri" w:eastAsia="Times New Roman" w:hAnsi="Calibri" w:cs="Times New Roman"/>
                <w:b/>
                <w:sz w:val="20"/>
                <w:szCs w:val="20"/>
              </w:rPr>
            </w:pPr>
            <w:r w:rsidRPr="00CE4FC0">
              <w:rPr>
                <w:rFonts w:ascii="Calibri" w:eastAsia="Times New Roman" w:hAnsi="Calibri" w:cs="Times New Roman"/>
                <w:b/>
                <w:sz w:val="20"/>
                <w:szCs w:val="20"/>
              </w:rPr>
              <w:t>IV. 4 a) Čistý obrat - podľa typov produkcie a hlavných geografických oblastí odbytu</w:t>
            </w:r>
          </w:p>
        </w:tc>
      </w:tr>
      <w:tr w:rsidR="00CE4FC0" w:rsidRPr="00CE4FC0" w:rsidTr="00D60C0F">
        <w:tc>
          <w:tcPr>
            <w:tcW w:w="1666"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Typ výrobku/služby/činnosti</w:t>
            </w:r>
          </w:p>
        </w:tc>
        <w:tc>
          <w:tcPr>
            <w:tcW w:w="1666"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Čistý obrat v bežnom roku</w:t>
            </w:r>
          </w:p>
        </w:tc>
        <w:tc>
          <w:tcPr>
            <w:tcW w:w="1668"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Čistý obrat v minulom roku</w:t>
            </w: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 xml:space="preserve">sprostredkovateľské služby </w:t>
            </w:r>
          </w:p>
        </w:tc>
        <w:tc>
          <w:tcPr>
            <w:tcW w:w="1666"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3 000 000</w:t>
            </w:r>
          </w:p>
        </w:tc>
        <w:tc>
          <w:tcPr>
            <w:tcW w:w="1668"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2 380 141</w:t>
            </w: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poradenské služby</w:t>
            </w:r>
          </w:p>
        </w:tc>
        <w:tc>
          <w:tcPr>
            <w:tcW w:w="1666"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455 000</w:t>
            </w:r>
          </w:p>
        </w:tc>
        <w:tc>
          <w:tcPr>
            <w:tcW w:w="1668"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489 220</w:t>
            </w: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služby spojené s nájmom</w:t>
            </w:r>
          </w:p>
        </w:tc>
        <w:tc>
          <w:tcPr>
            <w:tcW w:w="1666"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25 038</w:t>
            </w:r>
          </w:p>
        </w:tc>
        <w:tc>
          <w:tcPr>
            <w:tcW w:w="1668"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98 121</w:t>
            </w: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predaj tovaru</w:t>
            </w:r>
          </w:p>
        </w:tc>
        <w:tc>
          <w:tcPr>
            <w:tcW w:w="1666"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c>
          <w:tcPr>
            <w:tcW w:w="1668"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r>
    </w:tbl>
    <w:p w:rsidR="00CE4FC0" w:rsidRPr="00CE4FC0" w:rsidRDefault="00CE4FC0" w:rsidP="00CE4FC0">
      <w:pPr>
        <w:spacing w:after="200" w:line="276" w:lineRule="auto"/>
        <w:rPr>
          <w:rFonts w:ascii="Calibri" w:eastAsia="Times New Roman" w:hAnsi="Calibri" w:cs="Times New Roman"/>
          <w:sz w:val="20"/>
          <w:szCs w:val="20"/>
        </w:rPr>
      </w:pPr>
    </w:p>
    <w:p w:rsidR="00CE4FC0" w:rsidRPr="00CE4FC0" w:rsidRDefault="00CE4FC0" w:rsidP="00CE4FC0">
      <w:pPr>
        <w:spacing w:after="200" w:line="276" w:lineRule="auto"/>
        <w:rPr>
          <w:rFonts w:ascii="Calibri" w:eastAsia="Times New Roman" w:hAnsi="Calibri" w:cs="Times New Roman"/>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84"/>
        <w:gridCol w:w="3283"/>
        <w:gridCol w:w="3287"/>
      </w:tblGrid>
      <w:tr w:rsidR="00CE4FC0" w:rsidRPr="00CE4FC0" w:rsidTr="00D60C0F">
        <w:tc>
          <w:tcPr>
            <w:tcW w:w="5000" w:type="pct"/>
            <w:gridSpan w:val="3"/>
            <w:shd w:val="clear" w:color="auto" w:fill="C0C0C0"/>
          </w:tcPr>
          <w:p w:rsidR="00CE4FC0" w:rsidRPr="00CE4FC0" w:rsidRDefault="00CE4FC0" w:rsidP="00CE4FC0">
            <w:pPr>
              <w:jc w:val="center"/>
              <w:rPr>
                <w:rFonts w:ascii="Calibri" w:eastAsia="Times New Roman" w:hAnsi="Calibri" w:cs="Times New Roman"/>
                <w:b/>
                <w:sz w:val="20"/>
                <w:szCs w:val="20"/>
              </w:rPr>
            </w:pPr>
            <w:r w:rsidRPr="00CE4FC0">
              <w:rPr>
                <w:rFonts w:ascii="Calibri" w:eastAsia="Times New Roman" w:hAnsi="Calibri" w:cs="Times New Roman"/>
                <w:b/>
                <w:sz w:val="20"/>
                <w:szCs w:val="20"/>
              </w:rPr>
              <w:lastRenderedPageBreak/>
              <w:t>IV. 4 b) Čistý obrat - podľa typov produkcie a hlavných geografických oblastí odbytu</w:t>
            </w:r>
          </w:p>
        </w:tc>
      </w:tr>
      <w:tr w:rsidR="00CE4FC0" w:rsidRPr="00CE4FC0" w:rsidTr="00D60C0F">
        <w:tc>
          <w:tcPr>
            <w:tcW w:w="1666"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Geografické oblasti odbytu</w:t>
            </w:r>
          </w:p>
        </w:tc>
        <w:tc>
          <w:tcPr>
            <w:tcW w:w="1666"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Bežné účtovné obdobie</w:t>
            </w:r>
          </w:p>
        </w:tc>
        <w:tc>
          <w:tcPr>
            <w:tcW w:w="1668"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Bezprostredne predchádzajúce účtovné obdobie</w:t>
            </w: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Tuzemsko (typ - výrobky, tovar, služby)</w:t>
            </w:r>
          </w:p>
        </w:tc>
        <w:tc>
          <w:tcPr>
            <w:tcW w:w="1666"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25 038</w:t>
            </w:r>
          </w:p>
        </w:tc>
        <w:tc>
          <w:tcPr>
            <w:tcW w:w="1668"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587 341</w:t>
            </w: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Európska únia (typ - výrobky, tovar, služby)</w:t>
            </w:r>
          </w:p>
        </w:tc>
        <w:tc>
          <w:tcPr>
            <w:tcW w:w="1666"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3 455 000</w:t>
            </w:r>
          </w:p>
        </w:tc>
        <w:tc>
          <w:tcPr>
            <w:tcW w:w="1668"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2 380 141</w:t>
            </w:r>
          </w:p>
        </w:tc>
      </w:tr>
      <w:tr w:rsidR="00CE4FC0" w:rsidRPr="00CE4FC0" w:rsidTr="00D60C0F">
        <w:tc>
          <w:tcPr>
            <w:tcW w:w="166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Tretie štáty (typ - výrobky, tovar, služby)</w:t>
            </w:r>
          </w:p>
        </w:tc>
        <w:tc>
          <w:tcPr>
            <w:tcW w:w="1666"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c>
          <w:tcPr>
            <w:tcW w:w="1668"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0</w:t>
            </w:r>
          </w:p>
        </w:tc>
      </w:tr>
    </w:tbl>
    <w:p w:rsidR="00CE4FC0" w:rsidRPr="00CE4FC0" w:rsidRDefault="00CE4FC0" w:rsidP="00CE4FC0">
      <w:pPr>
        <w:spacing w:after="200" w:line="276" w:lineRule="auto"/>
        <w:rPr>
          <w:rFonts w:ascii="Calibri" w:eastAsia="Times New Roman" w:hAnsi="Calibri" w:cs="Times New Roman"/>
          <w:sz w:val="20"/>
          <w:szCs w:val="20"/>
        </w:rPr>
      </w:pPr>
    </w:p>
    <w:p w:rsidR="00CE4FC0" w:rsidRPr="00CE4FC0" w:rsidRDefault="00CE4FC0" w:rsidP="00CE4FC0">
      <w:pPr>
        <w:spacing w:after="200" w:line="276" w:lineRule="auto"/>
        <w:rPr>
          <w:rFonts w:ascii="Calibri" w:eastAsia="Times New Roman" w:hAnsi="Calibri" w:cs="Times New Roman"/>
          <w:sz w:val="20"/>
          <w:szCs w:val="20"/>
        </w:rPr>
      </w:pPr>
    </w:p>
    <w:tbl>
      <w:tblPr>
        <w:tblW w:w="5000" w:type="pct"/>
        <w:tblBorders>
          <w:top w:val="single" w:sz="4" w:space="0" w:color="auto"/>
          <w:left w:val="single" w:sz="4" w:space="0" w:color="auto"/>
          <w:bottom w:val="single" w:sz="4" w:space="0" w:color="auto"/>
          <w:right w:val="single" w:sz="4" w:space="0" w:color="auto"/>
        </w:tblBorders>
        <w:tblLook w:val="04A0"/>
      </w:tblPr>
      <w:tblGrid>
        <w:gridCol w:w="9854"/>
      </w:tblGrid>
      <w:tr w:rsidR="00CE4FC0" w:rsidRPr="00CE4FC0" w:rsidTr="00D60C0F">
        <w:tc>
          <w:tcPr>
            <w:tcW w:w="5000" w:type="pct"/>
            <w:tcBorders>
              <w:top w:val="single" w:sz="4" w:space="0" w:color="auto"/>
              <w:bottom w:val="single" w:sz="4" w:space="0" w:color="auto"/>
            </w:tcBorders>
            <w:shd w:val="clear" w:color="auto" w:fill="C0C0C0"/>
          </w:tcPr>
          <w:p w:rsidR="00CE4FC0" w:rsidRPr="00CE4FC0" w:rsidRDefault="00CE4FC0" w:rsidP="00CE4FC0">
            <w:pPr>
              <w:jc w:val="center"/>
              <w:rPr>
                <w:rFonts w:ascii="Calibri" w:eastAsia="Times New Roman" w:hAnsi="Calibri" w:cs="Times New Roman"/>
                <w:b/>
                <w:sz w:val="32"/>
                <w:szCs w:val="32"/>
              </w:rPr>
            </w:pPr>
            <w:r w:rsidRPr="00CE4FC0">
              <w:rPr>
                <w:rFonts w:ascii="Calibri" w:eastAsia="Times New Roman" w:hAnsi="Calibri" w:cs="Times New Roman"/>
                <w:b/>
                <w:sz w:val="32"/>
                <w:szCs w:val="32"/>
              </w:rPr>
              <w:t>Článok IX - Prehľad o pohybe vlastného imania</w:t>
            </w:r>
          </w:p>
        </w:tc>
      </w:tr>
    </w:tbl>
    <w:p w:rsidR="00CE4FC0" w:rsidRPr="00CE4FC0" w:rsidRDefault="00CE4FC0" w:rsidP="00CE4FC0">
      <w:pPr>
        <w:spacing w:after="200" w:line="276" w:lineRule="auto"/>
        <w:rPr>
          <w:rFonts w:ascii="Calibri" w:eastAsia="Times New Roman" w:hAnsi="Calibri" w:cs="Times New Roman"/>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41"/>
        <w:gridCol w:w="1641"/>
        <w:gridCol w:w="1644"/>
        <w:gridCol w:w="1644"/>
        <w:gridCol w:w="1644"/>
        <w:gridCol w:w="1640"/>
      </w:tblGrid>
      <w:tr w:rsidR="00CE4FC0" w:rsidRPr="00CE4FC0" w:rsidTr="00D60C0F">
        <w:tc>
          <w:tcPr>
            <w:tcW w:w="5000" w:type="pct"/>
            <w:gridSpan w:val="6"/>
            <w:shd w:val="clear" w:color="auto" w:fill="C0C0C0"/>
          </w:tcPr>
          <w:p w:rsidR="00CE4FC0" w:rsidRPr="00CE4FC0" w:rsidRDefault="00CE4FC0" w:rsidP="00CE4FC0">
            <w:pPr>
              <w:jc w:val="center"/>
              <w:rPr>
                <w:rFonts w:ascii="Calibri" w:eastAsia="Times New Roman" w:hAnsi="Calibri" w:cs="Times New Roman"/>
                <w:b/>
                <w:sz w:val="20"/>
                <w:szCs w:val="20"/>
              </w:rPr>
            </w:pPr>
            <w:r w:rsidRPr="00CE4FC0">
              <w:rPr>
                <w:rFonts w:ascii="Calibri" w:eastAsia="Times New Roman" w:hAnsi="Calibri" w:cs="Times New Roman"/>
                <w:b/>
                <w:sz w:val="20"/>
                <w:szCs w:val="20"/>
              </w:rPr>
              <w:t>IX. 1-3 a) Prehľad zmien vlastného imania - Bežné účtovné obdobie -riadna/mimoriadna závierka</w:t>
            </w:r>
          </w:p>
        </w:tc>
      </w:tr>
      <w:tr w:rsidR="00CE4FC0" w:rsidRPr="00CE4FC0" w:rsidTr="00D60C0F">
        <w:tc>
          <w:tcPr>
            <w:tcW w:w="833"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Položka vlastného imania</w:t>
            </w:r>
          </w:p>
        </w:tc>
        <w:tc>
          <w:tcPr>
            <w:tcW w:w="833"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Stav na začiatku účtovného obdobia</w:t>
            </w:r>
          </w:p>
        </w:tc>
        <w:tc>
          <w:tcPr>
            <w:tcW w:w="834"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Prírastky</w:t>
            </w:r>
          </w:p>
        </w:tc>
        <w:tc>
          <w:tcPr>
            <w:tcW w:w="834"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Úbytky</w:t>
            </w:r>
          </w:p>
        </w:tc>
        <w:tc>
          <w:tcPr>
            <w:tcW w:w="834"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Presuny</w:t>
            </w:r>
          </w:p>
        </w:tc>
        <w:tc>
          <w:tcPr>
            <w:tcW w:w="832"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Stav na konci účtovného obdobia</w:t>
            </w: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Základné imanie</w:t>
            </w:r>
          </w:p>
        </w:tc>
        <w:tc>
          <w:tcPr>
            <w:tcW w:w="833"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33 200</w:t>
            </w: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2"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33 200</w:t>
            </w: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Vlastné akcie a vlastné obchodné podiely</w:t>
            </w:r>
          </w:p>
        </w:tc>
        <w:tc>
          <w:tcPr>
            <w:tcW w:w="833"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2"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Zmena základného imania</w:t>
            </w:r>
          </w:p>
        </w:tc>
        <w:tc>
          <w:tcPr>
            <w:tcW w:w="833"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2"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Pohľadávky za upísané vlastné imanie</w:t>
            </w:r>
          </w:p>
        </w:tc>
        <w:tc>
          <w:tcPr>
            <w:tcW w:w="833"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2"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Emisné ážio</w:t>
            </w:r>
          </w:p>
        </w:tc>
        <w:tc>
          <w:tcPr>
            <w:tcW w:w="833"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2"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Ostatné kapitálové fondy</w:t>
            </w:r>
          </w:p>
        </w:tc>
        <w:tc>
          <w:tcPr>
            <w:tcW w:w="833"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2"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Zákonný rezervný fond (nedeliteľný fond) z kapitálových vkladov</w:t>
            </w:r>
          </w:p>
        </w:tc>
        <w:tc>
          <w:tcPr>
            <w:tcW w:w="833"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9 960</w:t>
            </w: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2"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9 960</w:t>
            </w: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Oceňovacie rozdiely z precenenia majetku a záväzkov</w:t>
            </w:r>
          </w:p>
        </w:tc>
        <w:tc>
          <w:tcPr>
            <w:tcW w:w="833"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2"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Oceňovacie rozdiely z kapitálových účastín</w:t>
            </w:r>
          </w:p>
        </w:tc>
        <w:tc>
          <w:tcPr>
            <w:tcW w:w="833"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2"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Oceňovacie rozdiely z precenenia pri zlúčení, splynutí a rozdelení</w:t>
            </w:r>
          </w:p>
        </w:tc>
        <w:tc>
          <w:tcPr>
            <w:tcW w:w="833"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2"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Zákonný rezervný fond</w:t>
            </w:r>
          </w:p>
        </w:tc>
        <w:tc>
          <w:tcPr>
            <w:tcW w:w="833"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2"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Nedeliteľný fond</w:t>
            </w:r>
          </w:p>
        </w:tc>
        <w:tc>
          <w:tcPr>
            <w:tcW w:w="833"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2"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lastRenderedPageBreak/>
              <w:t>Štatutárne fondy a ostatné fondy</w:t>
            </w:r>
          </w:p>
        </w:tc>
        <w:tc>
          <w:tcPr>
            <w:tcW w:w="833"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2"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Nerozdelený zisk minulých rokov</w:t>
            </w:r>
          </w:p>
        </w:tc>
        <w:tc>
          <w:tcPr>
            <w:tcW w:w="833"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3 004</w:t>
            </w:r>
          </w:p>
        </w:tc>
        <w:tc>
          <w:tcPr>
            <w:tcW w:w="834"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558</w:t>
            </w: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2"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3 562</w:t>
            </w: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Neuhradená strata minulých rokov</w:t>
            </w:r>
          </w:p>
        </w:tc>
        <w:tc>
          <w:tcPr>
            <w:tcW w:w="833"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2"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Výsledok hospodárenia bežného účtovného obdobia</w:t>
            </w:r>
          </w:p>
        </w:tc>
        <w:tc>
          <w:tcPr>
            <w:tcW w:w="833"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3 796 558</w:t>
            </w:r>
          </w:p>
        </w:tc>
        <w:tc>
          <w:tcPr>
            <w:tcW w:w="834"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1 957 949</w:t>
            </w:r>
          </w:p>
        </w:tc>
        <w:tc>
          <w:tcPr>
            <w:tcW w:w="834"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3 796 000</w:t>
            </w:r>
          </w:p>
        </w:tc>
        <w:tc>
          <w:tcPr>
            <w:tcW w:w="834"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-558</w:t>
            </w:r>
          </w:p>
        </w:tc>
        <w:tc>
          <w:tcPr>
            <w:tcW w:w="832"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1 957 949</w:t>
            </w: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Ostatné položky vlastného imania</w:t>
            </w:r>
          </w:p>
        </w:tc>
        <w:tc>
          <w:tcPr>
            <w:tcW w:w="833"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2"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Účet 491 - Vlastné imanie fyzickej osoby - podnikateľa</w:t>
            </w:r>
          </w:p>
        </w:tc>
        <w:tc>
          <w:tcPr>
            <w:tcW w:w="833"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2" w:type="pct"/>
          </w:tcPr>
          <w:p w:rsidR="00CE4FC0" w:rsidRPr="00CE4FC0" w:rsidRDefault="00CE4FC0" w:rsidP="00CE4FC0">
            <w:pPr>
              <w:jc w:val="right"/>
              <w:rPr>
                <w:rFonts w:ascii="Calibri" w:eastAsia="Times New Roman" w:hAnsi="Calibri" w:cs="Times New Roman"/>
                <w:sz w:val="20"/>
                <w:szCs w:val="20"/>
              </w:rPr>
            </w:pPr>
          </w:p>
        </w:tc>
      </w:tr>
    </w:tbl>
    <w:p w:rsidR="00CE4FC0" w:rsidRPr="00CE4FC0" w:rsidRDefault="00CE4FC0" w:rsidP="00CE4FC0">
      <w:pPr>
        <w:spacing w:after="200" w:line="276" w:lineRule="auto"/>
        <w:rPr>
          <w:rFonts w:ascii="Calibri" w:eastAsia="Times New Roman" w:hAnsi="Calibri" w:cs="Times New Roman"/>
          <w:sz w:val="20"/>
          <w:szCs w:val="20"/>
        </w:rPr>
      </w:pPr>
    </w:p>
    <w:p w:rsidR="00CE4FC0" w:rsidRPr="00CE4FC0" w:rsidRDefault="00CE4FC0" w:rsidP="00CE4FC0">
      <w:pPr>
        <w:spacing w:after="200" w:line="276" w:lineRule="auto"/>
        <w:rPr>
          <w:rFonts w:ascii="Calibri" w:eastAsia="Times New Roman" w:hAnsi="Calibri" w:cs="Times New Roman"/>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41"/>
        <w:gridCol w:w="1641"/>
        <w:gridCol w:w="1644"/>
        <w:gridCol w:w="1644"/>
        <w:gridCol w:w="1644"/>
        <w:gridCol w:w="1640"/>
      </w:tblGrid>
      <w:tr w:rsidR="00CE4FC0" w:rsidRPr="00CE4FC0" w:rsidTr="00D60C0F">
        <w:tc>
          <w:tcPr>
            <w:tcW w:w="5000" w:type="pct"/>
            <w:gridSpan w:val="6"/>
            <w:shd w:val="clear" w:color="auto" w:fill="C0C0C0"/>
          </w:tcPr>
          <w:p w:rsidR="00CE4FC0" w:rsidRPr="00CE4FC0" w:rsidRDefault="00CE4FC0" w:rsidP="00CE4FC0">
            <w:pPr>
              <w:jc w:val="center"/>
              <w:rPr>
                <w:rFonts w:ascii="Calibri" w:eastAsia="Times New Roman" w:hAnsi="Calibri" w:cs="Times New Roman"/>
                <w:b/>
                <w:sz w:val="20"/>
                <w:szCs w:val="20"/>
              </w:rPr>
            </w:pPr>
            <w:r w:rsidRPr="00CE4FC0">
              <w:rPr>
                <w:rFonts w:ascii="Calibri" w:eastAsia="Times New Roman" w:hAnsi="Calibri" w:cs="Times New Roman"/>
                <w:b/>
                <w:sz w:val="20"/>
                <w:szCs w:val="20"/>
              </w:rPr>
              <w:t>IX. 1-3 b) Prehľad zmien vlastného imania - Bezprostredne predchádzajúce účtovné obdobie - riadna závierka</w:t>
            </w:r>
          </w:p>
        </w:tc>
      </w:tr>
      <w:tr w:rsidR="00CE4FC0" w:rsidRPr="00CE4FC0" w:rsidTr="00D60C0F">
        <w:tc>
          <w:tcPr>
            <w:tcW w:w="833"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Položka vlastného imania</w:t>
            </w:r>
          </w:p>
        </w:tc>
        <w:tc>
          <w:tcPr>
            <w:tcW w:w="833"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Stav na začiatku účtovného obdobia</w:t>
            </w:r>
          </w:p>
        </w:tc>
        <w:tc>
          <w:tcPr>
            <w:tcW w:w="834"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Prírastky</w:t>
            </w:r>
          </w:p>
        </w:tc>
        <w:tc>
          <w:tcPr>
            <w:tcW w:w="834"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Úbytky</w:t>
            </w:r>
          </w:p>
        </w:tc>
        <w:tc>
          <w:tcPr>
            <w:tcW w:w="834"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Presuny</w:t>
            </w:r>
          </w:p>
        </w:tc>
        <w:tc>
          <w:tcPr>
            <w:tcW w:w="832"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Stav na konci účtovného obdobia</w:t>
            </w: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Základné imanie</w:t>
            </w:r>
          </w:p>
        </w:tc>
        <w:tc>
          <w:tcPr>
            <w:tcW w:w="833"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33 200</w:t>
            </w: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2"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33 200</w:t>
            </w: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Vlastné akcie a vlastné obchodné podiely</w:t>
            </w:r>
          </w:p>
        </w:tc>
        <w:tc>
          <w:tcPr>
            <w:tcW w:w="833"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2"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Zmena základného imania</w:t>
            </w:r>
          </w:p>
        </w:tc>
        <w:tc>
          <w:tcPr>
            <w:tcW w:w="833"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2"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Pohľadávky za upísané vlastné imanie</w:t>
            </w:r>
          </w:p>
        </w:tc>
        <w:tc>
          <w:tcPr>
            <w:tcW w:w="833"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2"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Emisné ážio</w:t>
            </w:r>
          </w:p>
        </w:tc>
        <w:tc>
          <w:tcPr>
            <w:tcW w:w="833"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2"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Ostatné kapitálové fondy</w:t>
            </w:r>
          </w:p>
        </w:tc>
        <w:tc>
          <w:tcPr>
            <w:tcW w:w="833"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2"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Zákonný rezervný fond (nedeliteľný fond) z kapitálových vkladov</w:t>
            </w:r>
          </w:p>
        </w:tc>
        <w:tc>
          <w:tcPr>
            <w:tcW w:w="833"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9 960</w:t>
            </w: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2"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9 960</w:t>
            </w: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Oceňovacie rozdiely z precenenia majetku a záväzkov</w:t>
            </w:r>
          </w:p>
        </w:tc>
        <w:tc>
          <w:tcPr>
            <w:tcW w:w="833"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2"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Oceňovacie rozdiely z kapitálových účastín</w:t>
            </w:r>
          </w:p>
        </w:tc>
        <w:tc>
          <w:tcPr>
            <w:tcW w:w="833"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2"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 xml:space="preserve">Oceňovacie rozdiely z precenenia pri </w:t>
            </w:r>
            <w:r w:rsidRPr="00CE4FC0">
              <w:rPr>
                <w:rFonts w:ascii="Calibri" w:eastAsia="Times New Roman" w:hAnsi="Calibri" w:cs="Times New Roman"/>
                <w:sz w:val="20"/>
                <w:szCs w:val="20"/>
              </w:rPr>
              <w:lastRenderedPageBreak/>
              <w:t>zlúčení, splynutí a rozdelení</w:t>
            </w:r>
          </w:p>
        </w:tc>
        <w:tc>
          <w:tcPr>
            <w:tcW w:w="833"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2"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lastRenderedPageBreak/>
              <w:t>Zákonný rezervný fond</w:t>
            </w:r>
          </w:p>
        </w:tc>
        <w:tc>
          <w:tcPr>
            <w:tcW w:w="833"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2"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Nedeliteľný fond</w:t>
            </w:r>
          </w:p>
        </w:tc>
        <w:tc>
          <w:tcPr>
            <w:tcW w:w="833"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2"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Štatutárne fondy a ostatné fondy</w:t>
            </w:r>
          </w:p>
        </w:tc>
        <w:tc>
          <w:tcPr>
            <w:tcW w:w="833"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2"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Nerozdelený zisk minulých rokov</w:t>
            </w:r>
          </w:p>
        </w:tc>
        <w:tc>
          <w:tcPr>
            <w:tcW w:w="833"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7 866 739</w:t>
            </w:r>
          </w:p>
        </w:tc>
        <w:tc>
          <w:tcPr>
            <w:tcW w:w="834"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265</w:t>
            </w:r>
          </w:p>
        </w:tc>
        <w:tc>
          <w:tcPr>
            <w:tcW w:w="834"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7 864 000</w:t>
            </w: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2"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3 004</w:t>
            </w: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Neuhradená strata minulých rokov</w:t>
            </w:r>
          </w:p>
        </w:tc>
        <w:tc>
          <w:tcPr>
            <w:tcW w:w="833"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2"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Výsledok hospodárenia bežného účtovného obdobia</w:t>
            </w:r>
          </w:p>
        </w:tc>
        <w:tc>
          <w:tcPr>
            <w:tcW w:w="833"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3 328 265</w:t>
            </w:r>
          </w:p>
        </w:tc>
        <w:tc>
          <w:tcPr>
            <w:tcW w:w="834"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3 796 558</w:t>
            </w:r>
          </w:p>
        </w:tc>
        <w:tc>
          <w:tcPr>
            <w:tcW w:w="834"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3 328 000</w:t>
            </w:r>
          </w:p>
        </w:tc>
        <w:tc>
          <w:tcPr>
            <w:tcW w:w="834"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-265</w:t>
            </w:r>
          </w:p>
        </w:tc>
        <w:tc>
          <w:tcPr>
            <w:tcW w:w="832"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3 796 558</w:t>
            </w: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Ostatné položky vlastného imania</w:t>
            </w:r>
          </w:p>
        </w:tc>
        <w:tc>
          <w:tcPr>
            <w:tcW w:w="833"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2"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833"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Účet 491 - Vlastné imanie fyzickej osoby - podnikateľa</w:t>
            </w:r>
          </w:p>
        </w:tc>
        <w:tc>
          <w:tcPr>
            <w:tcW w:w="833"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4" w:type="pct"/>
          </w:tcPr>
          <w:p w:rsidR="00CE4FC0" w:rsidRPr="00CE4FC0" w:rsidRDefault="00CE4FC0" w:rsidP="00CE4FC0">
            <w:pPr>
              <w:jc w:val="right"/>
              <w:rPr>
                <w:rFonts w:ascii="Calibri" w:eastAsia="Times New Roman" w:hAnsi="Calibri" w:cs="Times New Roman"/>
                <w:sz w:val="20"/>
                <w:szCs w:val="20"/>
              </w:rPr>
            </w:pPr>
          </w:p>
        </w:tc>
        <w:tc>
          <w:tcPr>
            <w:tcW w:w="832" w:type="pct"/>
          </w:tcPr>
          <w:p w:rsidR="00CE4FC0" w:rsidRPr="00CE4FC0" w:rsidRDefault="00CE4FC0" w:rsidP="00CE4FC0">
            <w:pPr>
              <w:jc w:val="right"/>
              <w:rPr>
                <w:rFonts w:ascii="Calibri" w:eastAsia="Times New Roman" w:hAnsi="Calibri" w:cs="Times New Roman"/>
                <w:sz w:val="20"/>
                <w:szCs w:val="20"/>
              </w:rPr>
            </w:pPr>
          </w:p>
        </w:tc>
      </w:tr>
    </w:tbl>
    <w:p w:rsidR="00CE4FC0" w:rsidRPr="00CE4FC0" w:rsidRDefault="00CE4FC0" w:rsidP="00CE4FC0">
      <w:pPr>
        <w:spacing w:after="200" w:line="276" w:lineRule="auto"/>
        <w:rPr>
          <w:rFonts w:ascii="Calibri" w:eastAsia="Times New Roman" w:hAnsi="Calibri" w:cs="Times New Roman"/>
          <w:sz w:val="20"/>
          <w:szCs w:val="20"/>
        </w:rPr>
      </w:pPr>
    </w:p>
    <w:p w:rsidR="00CE4FC0" w:rsidRPr="00CE4FC0" w:rsidRDefault="00CE4FC0" w:rsidP="00CE4FC0">
      <w:pPr>
        <w:spacing w:after="200" w:line="276" w:lineRule="auto"/>
        <w:rPr>
          <w:rFonts w:ascii="Calibri" w:eastAsia="Times New Roman" w:hAnsi="Calibri" w:cs="Times New Roman"/>
          <w:sz w:val="20"/>
          <w:szCs w:val="20"/>
        </w:rPr>
      </w:pPr>
    </w:p>
    <w:p w:rsidR="00CE4FC0" w:rsidRPr="00CE4FC0" w:rsidRDefault="00CE4FC0" w:rsidP="00CE4FC0">
      <w:pPr>
        <w:spacing w:after="200" w:line="276" w:lineRule="auto"/>
        <w:rPr>
          <w:rFonts w:ascii="Calibri" w:eastAsia="Times New Roman" w:hAnsi="Calibri" w:cs="Times New Roman"/>
          <w:sz w:val="20"/>
          <w:szCs w:val="20"/>
        </w:rPr>
      </w:pPr>
    </w:p>
    <w:p w:rsidR="00CE4FC0" w:rsidRPr="00CE4FC0" w:rsidRDefault="00CE4FC0" w:rsidP="00CE4FC0">
      <w:pPr>
        <w:spacing w:after="200" w:line="276" w:lineRule="auto"/>
        <w:rPr>
          <w:rFonts w:ascii="Calibri" w:eastAsia="Times New Roman" w:hAnsi="Calibri" w:cs="Times New Roman"/>
          <w:sz w:val="20"/>
          <w:szCs w:val="20"/>
        </w:rPr>
      </w:pPr>
    </w:p>
    <w:p w:rsidR="00CE4FC0" w:rsidRPr="00CE4FC0" w:rsidRDefault="00CE4FC0" w:rsidP="00CE4FC0">
      <w:pPr>
        <w:spacing w:after="200" w:line="276" w:lineRule="auto"/>
        <w:rPr>
          <w:rFonts w:ascii="Calibri" w:eastAsia="Times New Roman" w:hAnsi="Calibri" w:cs="Times New Roman"/>
          <w:sz w:val="20"/>
          <w:szCs w:val="20"/>
        </w:rPr>
      </w:pPr>
    </w:p>
    <w:p w:rsidR="00CE4FC0" w:rsidRPr="00CE4FC0" w:rsidRDefault="00CE4FC0" w:rsidP="00CE4FC0">
      <w:pPr>
        <w:spacing w:after="200" w:line="276" w:lineRule="auto"/>
        <w:rPr>
          <w:rFonts w:ascii="Calibri" w:eastAsia="Times New Roman" w:hAnsi="Calibri" w:cs="Times New Roman"/>
          <w:sz w:val="20"/>
          <w:szCs w:val="20"/>
        </w:rPr>
      </w:pPr>
    </w:p>
    <w:p w:rsidR="00CE4FC0" w:rsidRPr="00CE4FC0" w:rsidRDefault="00CE4FC0" w:rsidP="00CE4FC0">
      <w:pPr>
        <w:spacing w:after="200" w:line="276" w:lineRule="auto"/>
        <w:rPr>
          <w:rFonts w:ascii="Calibri" w:eastAsia="Times New Roman" w:hAnsi="Calibri" w:cs="Times New Roman"/>
          <w:sz w:val="20"/>
          <w:szCs w:val="20"/>
        </w:rPr>
      </w:pPr>
    </w:p>
    <w:p w:rsidR="00CE4FC0" w:rsidRPr="00CE4FC0" w:rsidRDefault="00CE4FC0" w:rsidP="00CE4FC0">
      <w:pPr>
        <w:spacing w:after="200" w:line="276" w:lineRule="auto"/>
        <w:rPr>
          <w:rFonts w:ascii="Calibri" w:eastAsia="Times New Roman" w:hAnsi="Calibri" w:cs="Times New Roman"/>
          <w:sz w:val="20"/>
          <w:szCs w:val="20"/>
        </w:rPr>
      </w:pPr>
    </w:p>
    <w:p w:rsidR="00CE4FC0" w:rsidRPr="00CE4FC0" w:rsidRDefault="00CE4FC0" w:rsidP="00CE4FC0">
      <w:pPr>
        <w:spacing w:after="200" w:line="276" w:lineRule="auto"/>
        <w:rPr>
          <w:rFonts w:ascii="Calibri" w:eastAsia="Times New Roman" w:hAnsi="Calibri" w:cs="Times New Roman"/>
          <w:sz w:val="20"/>
          <w:szCs w:val="20"/>
        </w:rPr>
      </w:pPr>
    </w:p>
    <w:p w:rsidR="00CE4FC0" w:rsidRPr="00CE4FC0" w:rsidRDefault="00CE4FC0" w:rsidP="00CE4FC0">
      <w:pPr>
        <w:spacing w:after="200" w:line="276" w:lineRule="auto"/>
        <w:rPr>
          <w:rFonts w:ascii="Calibri" w:eastAsia="Times New Roman" w:hAnsi="Calibri" w:cs="Times New Roman"/>
          <w:sz w:val="20"/>
          <w:szCs w:val="20"/>
        </w:rPr>
      </w:pPr>
    </w:p>
    <w:p w:rsidR="00CE4FC0" w:rsidRPr="00CE4FC0" w:rsidRDefault="00CE4FC0" w:rsidP="00CE4FC0">
      <w:pPr>
        <w:spacing w:after="200" w:line="276" w:lineRule="auto"/>
        <w:rPr>
          <w:rFonts w:ascii="Calibri" w:eastAsia="Times New Roman" w:hAnsi="Calibri" w:cs="Times New Roman"/>
          <w:sz w:val="20"/>
          <w:szCs w:val="20"/>
        </w:rPr>
      </w:pPr>
      <w:bookmarkStart w:id="0" w:name="_GoBack"/>
      <w:bookmarkEnd w:id="0"/>
    </w:p>
    <w:p w:rsidR="00CE4FC0" w:rsidRPr="00CE4FC0" w:rsidRDefault="00CE4FC0" w:rsidP="00CE4FC0">
      <w:pPr>
        <w:spacing w:after="200" w:line="276" w:lineRule="auto"/>
        <w:rPr>
          <w:rFonts w:ascii="Calibri" w:eastAsia="Times New Roman" w:hAnsi="Calibri" w:cs="Times New Roman"/>
          <w:sz w:val="20"/>
          <w:szCs w:val="20"/>
        </w:rPr>
      </w:pPr>
    </w:p>
    <w:tbl>
      <w:tblPr>
        <w:tblW w:w="5000" w:type="pct"/>
        <w:tblBorders>
          <w:top w:val="single" w:sz="4" w:space="0" w:color="auto"/>
          <w:left w:val="single" w:sz="4" w:space="0" w:color="auto"/>
          <w:bottom w:val="single" w:sz="4" w:space="0" w:color="auto"/>
          <w:right w:val="single" w:sz="4" w:space="0" w:color="auto"/>
        </w:tblBorders>
        <w:tblLook w:val="04A0"/>
      </w:tblPr>
      <w:tblGrid>
        <w:gridCol w:w="9854"/>
      </w:tblGrid>
      <w:tr w:rsidR="00CE4FC0" w:rsidRPr="00CE4FC0" w:rsidTr="00D60C0F">
        <w:tc>
          <w:tcPr>
            <w:tcW w:w="5000" w:type="pct"/>
            <w:tcBorders>
              <w:top w:val="single" w:sz="4" w:space="0" w:color="auto"/>
              <w:bottom w:val="single" w:sz="4" w:space="0" w:color="auto"/>
            </w:tcBorders>
            <w:shd w:val="clear" w:color="auto" w:fill="C0C0C0"/>
          </w:tcPr>
          <w:p w:rsidR="00CE4FC0" w:rsidRPr="00CE4FC0" w:rsidRDefault="00CE4FC0" w:rsidP="00CE4FC0">
            <w:pPr>
              <w:jc w:val="center"/>
              <w:rPr>
                <w:rFonts w:ascii="Calibri" w:eastAsia="Times New Roman" w:hAnsi="Calibri" w:cs="Times New Roman"/>
                <w:b/>
                <w:sz w:val="32"/>
                <w:szCs w:val="32"/>
              </w:rPr>
            </w:pPr>
            <w:r w:rsidRPr="00CE4FC0">
              <w:rPr>
                <w:rFonts w:ascii="Calibri" w:eastAsia="Times New Roman" w:hAnsi="Calibri" w:cs="Times New Roman"/>
                <w:b/>
                <w:sz w:val="32"/>
                <w:szCs w:val="32"/>
              </w:rPr>
              <w:t>Článok X - Prehľad peňažných tokov</w:t>
            </w:r>
          </w:p>
        </w:tc>
      </w:tr>
    </w:tbl>
    <w:p w:rsidR="00CE4FC0" w:rsidRPr="00CE4FC0" w:rsidRDefault="00CE4FC0" w:rsidP="00CE4FC0">
      <w:pPr>
        <w:spacing w:after="200" w:line="276" w:lineRule="auto"/>
        <w:rPr>
          <w:rFonts w:ascii="Calibri" w:eastAsia="Times New Roman" w:hAnsi="Calibri" w:cs="Times New Roman"/>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34"/>
        <w:gridCol w:w="5749"/>
        <w:gridCol w:w="1117"/>
        <w:gridCol w:w="1754"/>
      </w:tblGrid>
      <w:tr w:rsidR="00CE4FC0" w:rsidRPr="00CE4FC0" w:rsidTr="00D60C0F">
        <w:tc>
          <w:tcPr>
            <w:tcW w:w="5000" w:type="pct"/>
            <w:gridSpan w:val="4"/>
            <w:shd w:val="clear" w:color="auto" w:fill="C0C0C0"/>
          </w:tcPr>
          <w:p w:rsidR="00CE4FC0" w:rsidRPr="00CE4FC0" w:rsidRDefault="00CE4FC0" w:rsidP="00CE4FC0">
            <w:pPr>
              <w:jc w:val="center"/>
              <w:rPr>
                <w:rFonts w:ascii="Calibri" w:eastAsia="Times New Roman" w:hAnsi="Calibri" w:cs="Times New Roman"/>
                <w:b/>
                <w:sz w:val="20"/>
                <w:szCs w:val="20"/>
              </w:rPr>
            </w:pPr>
            <w:r w:rsidRPr="00CE4FC0">
              <w:rPr>
                <w:rFonts w:ascii="Calibri" w:eastAsia="Times New Roman" w:hAnsi="Calibri" w:cs="Times New Roman"/>
                <w:b/>
                <w:sz w:val="20"/>
                <w:szCs w:val="20"/>
              </w:rPr>
              <w:t>Cash Flow</w:t>
            </w:r>
          </w:p>
        </w:tc>
      </w:tr>
      <w:tr w:rsidR="00CE4FC0" w:rsidRPr="00CE4FC0" w:rsidTr="00D60C0F">
        <w:tc>
          <w:tcPr>
            <w:tcW w:w="626"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Označenie položky</w:t>
            </w:r>
          </w:p>
        </w:tc>
        <w:tc>
          <w:tcPr>
            <w:tcW w:w="2917"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Obsah položky</w:t>
            </w:r>
          </w:p>
        </w:tc>
        <w:tc>
          <w:tcPr>
            <w:tcW w:w="567"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Bežné účtovné obdobie</w:t>
            </w:r>
          </w:p>
        </w:tc>
        <w:tc>
          <w:tcPr>
            <w:tcW w:w="891" w:type="pct"/>
            <w:shd w:val="clear" w:color="auto" w:fill="E0E0E0"/>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Bezprostredne predchádzajúce účtovné obdobie</w:t>
            </w:r>
          </w:p>
        </w:tc>
      </w:tr>
      <w:tr w:rsidR="00CE4FC0" w:rsidRPr="00CE4FC0" w:rsidTr="00D60C0F">
        <w:tc>
          <w:tcPr>
            <w:tcW w:w="62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Z/S</w:t>
            </w:r>
          </w:p>
        </w:tc>
        <w:tc>
          <w:tcPr>
            <w:tcW w:w="2917"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Výsledok hospodárenia pred zdanením (+/-)</w:t>
            </w:r>
          </w:p>
        </w:tc>
        <w:tc>
          <w:tcPr>
            <w:tcW w:w="567"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2 500 750</w:t>
            </w:r>
          </w:p>
        </w:tc>
        <w:tc>
          <w:tcPr>
            <w:tcW w:w="891"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4 908 993</w:t>
            </w:r>
          </w:p>
        </w:tc>
      </w:tr>
      <w:tr w:rsidR="00CE4FC0" w:rsidRPr="00CE4FC0" w:rsidTr="00D60C0F">
        <w:tc>
          <w:tcPr>
            <w:tcW w:w="62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A.1.</w:t>
            </w:r>
          </w:p>
        </w:tc>
        <w:tc>
          <w:tcPr>
            <w:tcW w:w="2917"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Nepeňažné operácie ovplyvňujúce výsledok hospodárenia z bežnej činnosti pred zdanením daňou z príjmov (súčet A. 1. 1.až A. 1. 9.) (+/-)</w:t>
            </w:r>
          </w:p>
        </w:tc>
        <w:tc>
          <w:tcPr>
            <w:tcW w:w="567"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64 499</w:t>
            </w:r>
          </w:p>
        </w:tc>
        <w:tc>
          <w:tcPr>
            <w:tcW w:w="891"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-9 506 301</w:t>
            </w:r>
          </w:p>
        </w:tc>
      </w:tr>
      <w:tr w:rsidR="00CE4FC0" w:rsidRPr="00CE4FC0" w:rsidTr="00D60C0F">
        <w:tc>
          <w:tcPr>
            <w:tcW w:w="62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lastRenderedPageBreak/>
              <w:t>A.1.1.</w:t>
            </w:r>
          </w:p>
        </w:tc>
        <w:tc>
          <w:tcPr>
            <w:tcW w:w="2917"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Odpisy dlhodobého majetku (+)</w:t>
            </w:r>
          </w:p>
        </w:tc>
        <w:tc>
          <w:tcPr>
            <w:tcW w:w="567"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207 179</w:t>
            </w:r>
          </w:p>
        </w:tc>
        <w:tc>
          <w:tcPr>
            <w:tcW w:w="891"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241 002</w:t>
            </w:r>
          </w:p>
        </w:tc>
      </w:tr>
      <w:tr w:rsidR="00CE4FC0" w:rsidRPr="00CE4FC0" w:rsidTr="00D60C0F">
        <w:tc>
          <w:tcPr>
            <w:tcW w:w="62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A.1.2.</w:t>
            </w:r>
          </w:p>
        </w:tc>
        <w:tc>
          <w:tcPr>
            <w:tcW w:w="2917"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Zostatková cena likvidovaného alebo darovaného dlhodobého majetku (+)</w:t>
            </w:r>
          </w:p>
        </w:tc>
        <w:tc>
          <w:tcPr>
            <w:tcW w:w="567" w:type="pct"/>
          </w:tcPr>
          <w:p w:rsidR="00CE4FC0" w:rsidRPr="00CE4FC0" w:rsidRDefault="00CE4FC0" w:rsidP="00CE4FC0">
            <w:pPr>
              <w:jc w:val="right"/>
              <w:rPr>
                <w:rFonts w:ascii="Calibri" w:eastAsia="Times New Roman" w:hAnsi="Calibri" w:cs="Times New Roman"/>
                <w:sz w:val="20"/>
                <w:szCs w:val="20"/>
              </w:rPr>
            </w:pPr>
          </w:p>
        </w:tc>
        <w:tc>
          <w:tcPr>
            <w:tcW w:w="891"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62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A.1.3.</w:t>
            </w:r>
          </w:p>
        </w:tc>
        <w:tc>
          <w:tcPr>
            <w:tcW w:w="2917"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Rezervy (+/-)</w:t>
            </w:r>
          </w:p>
        </w:tc>
        <w:tc>
          <w:tcPr>
            <w:tcW w:w="567" w:type="pct"/>
          </w:tcPr>
          <w:p w:rsidR="00CE4FC0" w:rsidRPr="00CE4FC0" w:rsidRDefault="00CE4FC0" w:rsidP="00CE4FC0">
            <w:pPr>
              <w:jc w:val="right"/>
              <w:rPr>
                <w:rFonts w:ascii="Calibri" w:eastAsia="Times New Roman" w:hAnsi="Calibri" w:cs="Times New Roman"/>
                <w:sz w:val="20"/>
                <w:szCs w:val="20"/>
              </w:rPr>
            </w:pPr>
          </w:p>
        </w:tc>
        <w:tc>
          <w:tcPr>
            <w:tcW w:w="891"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62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A.1.4.</w:t>
            </w:r>
          </w:p>
        </w:tc>
        <w:tc>
          <w:tcPr>
            <w:tcW w:w="2917"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Opravné položky (+/-)</w:t>
            </w:r>
          </w:p>
        </w:tc>
        <w:tc>
          <w:tcPr>
            <w:tcW w:w="567" w:type="pct"/>
          </w:tcPr>
          <w:p w:rsidR="00CE4FC0" w:rsidRPr="00CE4FC0" w:rsidRDefault="00CE4FC0" w:rsidP="00CE4FC0">
            <w:pPr>
              <w:jc w:val="right"/>
              <w:rPr>
                <w:rFonts w:ascii="Calibri" w:eastAsia="Times New Roman" w:hAnsi="Calibri" w:cs="Times New Roman"/>
                <w:sz w:val="20"/>
                <w:szCs w:val="20"/>
              </w:rPr>
            </w:pPr>
          </w:p>
        </w:tc>
        <w:tc>
          <w:tcPr>
            <w:tcW w:w="891"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62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A.1.5.</w:t>
            </w:r>
          </w:p>
        </w:tc>
        <w:tc>
          <w:tcPr>
            <w:tcW w:w="2917"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Zmena stavu položiek časového rozlíšenia</w:t>
            </w:r>
          </w:p>
        </w:tc>
        <w:tc>
          <w:tcPr>
            <w:tcW w:w="567"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2 426</w:t>
            </w:r>
          </w:p>
        </w:tc>
        <w:tc>
          <w:tcPr>
            <w:tcW w:w="891"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94 017</w:t>
            </w:r>
          </w:p>
        </w:tc>
      </w:tr>
      <w:tr w:rsidR="00CE4FC0" w:rsidRPr="00CE4FC0" w:rsidTr="00D60C0F">
        <w:tc>
          <w:tcPr>
            <w:tcW w:w="62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A.1.6.</w:t>
            </w:r>
          </w:p>
        </w:tc>
        <w:tc>
          <w:tcPr>
            <w:tcW w:w="2917"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Zisk(-) / strata (+) z predaja dlhodobého majetku</w:t>
            </w:r>
          </w:p>
        </w:tc>
        <w:tc>
          <w:tcPr>
            <w:tcW w:w="567"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-141 567</w:t>
            </w:r>
          </w:p>
        </w:tc>
        <w:tc>
          <w:tcPr>
            <w:tcW w:w="891"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-9 836 820</w:t>
            </w:r>
          </w:p>
        </w:tc>
      </w:tr>
      <w:tr w:rsidR="00CE4FC0" w:rsidRPr="00CE4FC0" w:rsidTr="00D60C0F">
        <w:tc>
          <w:tcPr>
            <w:tcW w:w="62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A.1.7.</w:t>
            </w:r>
          </w:p>
        </w:tc>
        <w:tc>
          <w:tcPr>
            <w:tcW w:w="2917"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Výnosy z dlhodobého finančného majetku (-)</w:t>
            </w:r>
          </w:p>
        </w:tc>
        <w:tc>
          <w:tcPr>
            <w:tcW w:w="567" w:type="pct"/>
          </w:tcPr>
          <w:p w:rsidR="00CE4FC0" w:rsidRPr="00CE4FC0" w:rsidRDefault="00CE4FC0" w:rsidP="00CE4FC0">
            <w:pPr>
              <w:jc w:val="right"/>
              <w:rPr>
                <w:rFonts w:ascii="Calibri" w:eastAsia="Times New Roman" w:hAnsi="Calibri" w:cs="Times New Roman"/>
                <w:sz w:val="20"/>
                <w:szCs w:val="20"/>
              </w:rPr>
            </w:pPr>
          </w:p>
        </w:tc>
        <w:tc>
          <w:tcPr>
            <w:tcW w:w="891"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62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A.1.8.</w:t>
            </w:r>
          </w:p>
        </w:tc>
        <w:tc>
          <w:tcPr>
            <w:tcW w:w="2917"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Nákladové (+) a výnosové úroky (-)</w:t>
            </w:r>
          </w:p>
        </w:tc>
        <w:tc>
          <w:tcPr>
            <w:tcW w:w="567"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-3 539</w:t>
            </w:r>
          </w:p>
        </w:tc>
        <w:tc>
          <w:tcPr>
            <w:tcW w:w="891"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-4 500</w:t>
            </w:r>
          </w:p>
        </w:tc>
      </w:tr>
      <w:tr w:rsidR="00CE4FC0" w:rsidRPr="00CE4FC0" w:rsidTr="00D60C0F">
        <w:tc>
          <w:tcPr>
            <w:tcW w:w="62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A.1.9</w:t>
            </w:r>
          </w:p>
        </w:tc>
        <w:tc>
          <w:tcPr>
            <w:tcW w:w="2917"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Iné položky nepeňažného charakteru (+/-)</w:t>
            </w:r>
          </w:p>
        </w:tc>
        <w:tc>
          <w:tcPr>
            <w:tcW w:w="567" w:type="pct"/>
          </w:tcPr>
          <w:p w:rsidR="00CE4FC0" w:rsidRPr="00CE4FC0" w:rsidRDefault="00CE4FC0" w:rsidP="00CE4FC0">
            <w:pPr>
              <w:jc w:val="right"/>
              <w:rPr>
                <w:rFonts w:ascii="Calibri" w:eastAsia="Times New Roman" w:hAnsi="Calibri" w:cs="Times New Roman"/>
                <w:sz w:val="20"/>
                <w:szCs w:val="20"/>
              </w:rPr>
            </w:pPr>
          </w:p>
        </w:tc>
        <w:tc>
          <w:tcPr>
            <w:tcW w:w="891"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62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A.2.</w:t>
            </w:r>
          </w:p>
        </w:tc>
        <w:tc>
          <w:tcPr>
            <w:tcW w:w="2917"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Vplyv zmien stavu pracovného kapitálu, ktorým sa na účely tohto opatrenia rozumie rozdiel medzi obežným majetkom a krátkodobými záväzkami s výnimkou položiek obežného majetku, ktoré sú súčasťou peňažných prostriedkov a peňažných ekvivalentov, na výsledok</w:t>
            </w:r>
          </w:p>
        </w:tc>
        <w:tc>
          <w:tcPr>
            <w:tcW w:w="567"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1 123 199</w:t>
            </w:r>
          </w:p>
        </w:tc>
        <w:tc>
          <w:tcPr>
            <w:tcW w:w="891"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-1 210 148</w:t>
            </w:r>
          </w:p>
        </w:tc>
      </w:tr>
      <w:tr w:rsidR="00CE4FC0" w:rsidRPr="00CE4FC0" w:rsidTr="00D60C0F">
        <w:tc>
          <w:tcPr>
            <w:tcW w:w="62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A.2.1.</w:t>
            </w:r>
          </w:p>
        </w:tc>
        <w:tc>
          <w:tcPr>
            <w:tcW w:w="2917"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Zmena stavu pohľadávok z prevádzkovej činnosti (-/+)</w:t>
            </w:r>
          </w:p>
        </w:tc>
        <w:tc>
          <w:tcPr>
            <w:tcW w:w="567"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1 346 144</w:t>
            </w:r>
          </w:p>
        </w:tc>
        <w:tc>
          <w:tcPr>
            <w:tcW w:w="891"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-76 552</w:t>
            </w:r>
          </w:p>
        </w:tc>
      </w:tr>
      <w:tr w:rsidR="00CE4FC0" w:rsidRPr="00CE4FC0" w:rsidTr="00D60C0F">
        <w:tc>
          <w:tcPr>
            <w:tcW w:w="62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A.2.2.</w:t>
            </w:r>
          </w:p>
        </w:tc>
        <w:tc>
          <w:tcPr>
            <w:tcW w:w="2917"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Zmena stavu záväzkov z prevádzkovej činnosti (+/-)</w:t>
            </w:r>
          </w:p>
        </w:tc>
        <w:tc>
          <w:tcPr>
            <w:tcW w:w="567"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-222 945</w:t>
            </w:r>
          </w:p>
        </w:tc>
        <w:tc>
          <w:tcPr>
            <w:tcW w:w="891"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 xml:space="preserve">-1 133 596 </w:t>
            </w:r>
          </w:p>
        </w:tc>
      </w:tr>
      <w:tr w:rsidR="00CE4FC0" w:rsidRPr="00CE4FC0" w:rsidTr="00D60C0F">
        <w:tc>
          <w:tcPr>
            <w:tcW w:w="62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A.2.3.</w:t>
            </w:r>
          </w:p>
        </w:tc>
        <w:tc>
          <w:tcPr>
            <w:tcW w:w="2917"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Zmena stavu zásob (-/+)</w:t>
            </w:r>
          </w:p>
        </w:tc>
        <w:tc>
          <w:tcPr>
            <w:tcW w:w="567" w:type="pct"/>
          </w:tcPr>
          <w:p w:rsidR="00CE4FC0" w:rsidRPr="00CE4FC0" w:rsidRDefault="00CE4FC0" w:rsidP="00CE4FC0">
            <w:pPr>
              <w:jc w:val="right"/>
              <w:rPr>
                <w:rFonts w:ascii="Calibri" w:eastAsia="Times New Roman" w:hAnsi="Calibri" w:cs="Times New Roman"/>
                <w:sz w:val="20"/>
                <w:szCs w:val="20"/>
              </w:rPr>
            </w:pPr>
          </w:p>
        </w:tc>
        <w:tc>
          <w:tcPr>
            <w:tcW w:w="891"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62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A.2.4.</w:t>
            </w:r>
          </w:p>
        </w:tc>
        <w:tc>
          <w:tcPr>
            <w:tcW w:w="2917"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Zmena stavu krátkodobého finančného majetku, s výnimkou majetku, ktorý je súčasťou peňažných prostriedkov a peňažných ekvivalentov (-/+)</w:t>
            </w:r>
          </w:p>
        </w:tc>
        <w:tc>
          <w:tcPr>
            <w:tcW w:w="567" w:type="pct"/>
          </w:tcPr>
          <w:p w:rsidR="00CE4FC0" w:rsidRPr="00CE4FC0" w:rsidRDefault="00CE4FC0" w:rsidP="00CE4FC0">
            <w:pPr>
              <w:jc w:val="right"/>
              <w:rPr>
                <w:rFonts w:ascii="Calibri" w:eastAsia="Times New Roman" w:hAnsi="Calibri" w:cs="Times New Roman"/>
                <w:sz w:val="20"/>
                <w:szCs w:val="20"/>
              </w:rPr>
            </w:pPr>
          </w:p>
        </w:tc>
        <w:tc>
          <w:tcPr>
            <w:tcW w:w="891"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62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A.3.</w:t>
            </w:r>
          </w:p>
        </w:tc>
        <w:tc>
          <w:tcPr>
            <w:tcW w:w="2917"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Peňažné toky z prevádzkovej činnosti s výnimkou príjmov a výdavkov, ktoré sa uvádzajú osobitne v iných častiach prehľadu peňažných tokov (+/-), (súčet Z/S + A1 + A 2)</w:t>
            </w:r>
          </w:p>
        </w:tc>
        <w:tc>
          <w:tcPr>
            <w:tcW w:w="567"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3 688 448</w:t>
            </w:r>
          </w:p>
        </w:tc>
        <w:tc>
          <w:tcPr>
            <w:tcW w:w="891"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-5 807 456</w:t>
            </w:r>
          </w:p>
        </w:tc>
      </w:tr>
      <w:tr w:rsidR="00CE4FC0" w:rsidRPr="00CE4FC0" w:rsidTr="00D60C0F">
        <w:tc>
          <w:tcPr>
            <w:tcW w:w="62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A.4.</w:t>
            </w:r>
          </w:p>
        </w:tc>
        <w:tc>
          <w:tcPr>
            <w:tcW w:w="2917"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Prijaté úroky, s výnimkou tých, ktoré sa začleňujú do investičných činností (+)</w:t>
            </w:r>
          </w:p>
        </w:tc>
        <w:tc>
          <w:tcPr>
            <w:tcW w:w="567" w:type="pct"/>
          </w:tcPr>
          <w:p w:rsidR="00CE4FC0" w:rsidRPr="00CE4FC0" w:rsidRDefault="00CE4FC0" w:rsidP="00CE4FC0">
            <w:pPr>
              <w:jc w:val="right"/>
              <w:rPr>
                <w:rFonts w:ascii="Calibri" w:eastAsia="Times New Roman" w:hAnsi="Calibri" w:cs="Times New Roman"/>
                <w:sz w:val="20"/>
                <w:szCs w:val="20"/>
              </w:rPr>
            </w:pPr>
          </w:p>
        </w:tc>
        <w:tc>
          <w:tcPr>
            <w:tcW w:w="891"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62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A.5.</w:t>
            </w:r>
          </w:p>
        </w:tc>
        <w:tc>
          <w:tcPr>
            <w:tcW w:w="2917"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Výdavky na zaplatené úroky, s výnimkou tých, ktoré sa začleňujú do finančných činností (-)</w:t>
            </w:r>
          </w:p>
        </w:tc>
        <w:tc>
          <w:tcPr>
            <w:tcW w:w="567" w:type="pct"/>
          </w:tcPr>
          <w:p w:rsidR="00CE4FC0" w:rsidRPr="00CE4FC0" w:rsidRDefault="00CE4FC0" w:rsidP="00CE4FC0">
            <w:pPr>
              <w:jc w:val="right"/>
              <w:rPr>
                <w:rFonts w:ascii="Calibri" w:eastAsia="Times New Roman" w:hAnsi="Calibri" w:cs="Times New Roman"/>
                <w:sz w:val="20"/>
                <w:szCs w:val="20"/>
              </w:rPr>
            </w:pPr>
          </w:p>
        </w:tc>
        <w:tc>
          <w:tcPr>
            <w:tcW w:w="891"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62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A.6.</w:t>
            </w:r>
          </w:p>
        </w:tc>
        <w:tc>
          <w:tcPr>
            <w:tcW w:w="2917"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Výdavky na daň z príjmov účt. jednotky s výnimkou tých, ktoré sa začleňuje do investičných činností alebo finančných činností (-/+)</w:t>
            </w:r>
          </w:p>
        </w:tc>
        <w:tc>
          <w:tcPr>
            <w:tcW w:w="567" w:type="pct"/>
          </w:tcPr>
          <w:p w:rsidR="00CE4FC0" w:rsidRPr="00CE4FC0" w:rsidRDefault="00CE4FC0" w:rsidP="00CE4FC0">
            <w:pPr>
              <w:jc w:val="right"/>
              <w:rPr>
                <w:rFonts w:ascii="Calibri" w:eastAsia="Times New Roman" w:hAnsi="Calibri" w:cs="Times New Roman"/>
                <w:sz w:val="20"/>
                <w:szCs w:val="20"/>
              </w:rPr>
            </w:pPr>
          </w:p>
        </w:tc>
        <w:tc>
          <w:tcPr>
            <w:tcW w:w="891"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62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A 7.</w:t>
            </w:r>
          </w:p>
        </w:tc>
        <w:tc>
          <w:tcPr>
            <w:tcW w:w="2917"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Ostatné príjmy vzťahujúce sa na prevádzkovú činnosť (+)</w:t>
            </w:r>
          </w:p>
        </w:tc>
        <w:tc>
          <w:tcPr>
            <w:tcW w:w="567" w:type="pct"/>
          </w:tcPr>
          <w:p w:rsidR="00CE4FC0" w:rsidRPr="00CE4FC0" w:rsidRDefault="00CE4FC0" w:rsidP="00CE4FC0">
            <w:pPr>
              <w:jc w:val="right"/>
              <w:rPr>
                <w:rFonts w:ascii="Calibri" w:eastAsia="Times New Roman" w:hAnsi="Calibri" w:cs="Times New Roman"/>
                <w:sz w:val="20"/>
                <w:szCs w:val="20"/>
              </w:rPr>
            </w:pPr>
          </w:p>
        </w:tc>
        <w:tc>
          <w:tcPr>
            <w:tcW w:w="891"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5 150 136</w:t>
            </w:r>
          </w:p>
        </w:tc>
      </w:tr>
      <w:tr w:rsidR="00CE4FC0" w:rsidRPr="00CE4FC0" w:rsidTr="00D60C0F">
        <w:tc>
          <w:tcPr>
            <w:tcW w:w="62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A.8.</w:t>
            </w:r>
          </w:p>
        </w:tc>
        <w:tc>
          <w:tcPr>
            <w:tcW w:w="2917"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Ostatné výdavky vzťahujúce sa na prevádzkovú činnosť (-)</w:t>
            </w:r>
          </w:p>
        </w:tc>
        <w:tc>
          <w:tcPr>
            <w:tcW w:w="567" w:type="pct"/>
          </w:tcPr>
          <w:p w:rsidR="00CE4FC0" w:rsidRPr="00CE4FC0" w:rsidRDefault="00CE4FC0" w:rsidP="00CE4FC0">
            <w:pPr>
              <w:jc w:val="right"/>
              <w:rPr>
                <w:rFonts w:ascii="Calibri" w:eastAsia="Times New Roman" w:hAnsi="Calibri" w:cs="Times New Roman"/>
                <w:sz w:val="20"/>
                <w:szCs w:val="20"/>
              </w:rPr>
            </w:pPr>
          </w:p>
        </w:tc>
        <w:tc>
          <w:tcPr>
            <w:tcW w:w="891"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62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A</w:t>
            </w:r>
          </w:p>
        </w:tc>
        <w:tc>
          <w:tcPr>
            <w:tcW w:w="2917"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Čisté peňažné toky z prevádzkovej činnosti (súčet A.1. až 8.)</w:t>
            </w:r>
          </w:p>
        </w:tc>
        <w:tc>
          <w:tcPr>
            <w:tcW w:w="567"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3 688 448</w:t>
            </w:r>
          </w:p>
        </w:tc>
        <w:tc>
          <w:tcPr>
            <w:tcW w:w="891"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-657 144</w:t>
            </w:r>
          </w:p>
        </w:tc>
      </w:tr>
      <w:tr w:rsidR="00CE4FC0" w:rsidRPr="00CE4FC0" w:rsidTr="00D60C0F">
        <w:tc>
          <w:tcPr>
            <w:tcW w:w="62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B.1.</w:t>
            </w:r>
          </w:p>
        </w:tc>
        <w:tc>
          <w:tcPr>
            <w:tcW w:w="2917"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Výdavky na obstaranie dlhodobého hmotného a nehmotného majetku</w:t>
            </w:r>
          </w:p>
        </w:tc>
        <w:tc>
          <w:tcPr>
            <w:tcW w:w="567" w:type="pct"/>
          </w:tcPr>
          <w:p w:rsidR="00CE4FC0" w:rsidRPr="00CE4FC0" w:rsidRDefault="00CE4FC0" w:rsidP="00CE4FC0">
            <w:pPr>
              <w:jc w:val="right"/>
              <w:rPr>
                <w:rFonts w:ascii="Calibri" w:eastAsia="Times New Roman" w:hAnsi="Calibri" w:cs="Times New Roman"/>
                <w:sz w:val="20"/>
                <w:szCs w:val="20"/>
              </w:rPr>
            </w:pPr>
          </w:p>
        </w:tc>
        <w:tc>
          <w:tcPr>
            <w:tcW w:w="891"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62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B.2.</w:t>
            </w:r>
          </w:p>
        </w:tc>
        <w:tc>
          <w:tcPr>
            <w:tcW w:w="2917"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Príjmy z predaja dlhodobého majetku (+)</w:t>
            </w:r>
          </w:p>
        </w:tc>
        <w:tc>
          <w:tcPr>
            <w:tcW w:w="567"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327 598</w:t>
            </w:r>
          </w:p>
        </w:tc>
        <w:tc>
          <w:tcPr>
            <w:tcW w:w="891"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9 864 850</w:t>
            </w:r>
          </w:p>
        </w:tc>
      </w:tr>
      <w:tr w:rsidR="00CE4FC0" w:rsidRPr="00CE4FC0" w:rsidTr="00D60C0F">
        <w:tc>
          <w:tcPr>
            <w:tcW w:w="62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B.3.</w:t>
            </w:r>
          </w:p>
        </w:tc>
        <w:tc>
          <w:tcPr>
            <w:tcW w:w="2917"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Peňažné výdavky na obstaranie dlhod. CP a podielov (-)</w:t>
            </w:r>
          </w:p>
        </w:tc>
        <w:tc>
          <w:tcPr>
            <w:tcW w:w="567" w:type="pct"/>
          </w:tcPr>
          <w:p w:rsidR="00CE4FC0" w:rsidRPr="00CE4FC0" w:rsidRDefault="00CE4FC0" w:rsidP="00CE4FC0">
            <w:pPr>
              <w:jc w:val="right"/>
              <w:rPr>
                <w:rFonts w:ascii="Calibri" w:eastAsia="Times New Roman" w:hAnsi="Calibri" w:cs="Times New Roman"/>
                <w:sz w:val="20"/>
                <w:szCs w:val="20"/>
              </w:rPr>
            </w:pPr>
          </w:p>
        </w:tc>
        <w:tc>
          <w:tcPr>
            <w:tcW w:w="891"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62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B.4.</w:t>
            </w:r>
          </w:p>
        </w:tc>
        <w:tc>
          <w:tcPr>
            <w:tcW w:w="2917"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Peňažné príjmy z predaja dlhod. CP a podielov (+)</w:t>
            </w:r>
          </w:p>
        </w:tc>
        <w:tc>
          <w:tcPr>
            <w:tcW w:w="567" w:type="pct"/>
          </w:tcPr>
          <w:p w:rsidR="00CE4FC0" w:rsidRPr="00CE4FC0" w:rsidRDefault="00CE4FC0" w:rsidP="00CE4FC0">
            <w:pPr>
              <w:jc w:val="right"/>
              <w:rPr>
                <w:rFonts w:ascii="Calibri" w:eastAsia="Times New Roman" w:hAnsi="Calibri" w:cs="Times New Roman"/>
                <w:sz w:val="20"/>
                <w:szCs w:val="20"/>
              </w:rPr>
            </w:pPr>
          </w:p>
        </w:tc>
        <w:tc>
          <w:tcPr>
            <w:tcW w:w="891"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62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B.5.</w:t>
            </w:r>
          </w:p>
        </w:tc>
        <w:tc>
          <w:tcPr>
            <w:tcW w:w="2917"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Peňažné výdavky na  poskytnuté  pôžičky (-)</w:t>
            </w:r>
          </w:p>
        </w:tc>
        <w:tc>
          <w:tcPr>
            <w:tcW w:w="567" w:type="pct"/>
          </w:tcPr>
          <w:p w:rsidR="00CE4FC0" w:rsidRPr="00CE4FC0" w:rsidRDefault="00CE4FC0" w:rsidP="00CE4FC0">
            <w:pPr>
              <w:jc w:val="right"/>
              <w:rPr>
                <w:rFonts w:ascii="Calibri" w:eastAsia="Times New Roman" w:hAnsi="Calibri" w:cs="Times New Roman"/>
                <w:sz w:val="20"/>
                <w:szCs w:val="20"/>
              </w:rPr>
            </w:pPr>
          </w:p>
        </w:tc>
        <w:tc>
          <w:tcPr>
            <w:tcW w:w="891"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62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B.6.</w:t>
            </w:r>
          </w:p>
        </w:tc>
        <w:tc>
          <w:tcPr>
            <w:tcW w:w="2917"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Peňažné príjmy zo splácania poskytnutých pôžičiek (+)</w:t>
            </w:r>
          </w:p>
        </w:tc>
        <w:tc>
          <w:tcPr>
            <w:tcW w:w="567" w:type="pct"/>
          </w:tcPr>
          <w:p w:rsidR="00CE4FC0" w:rsidRPr="00CE4FC0" w:rsidRDefault="00CE4FC0" w:rsidP="00CE4FC0">
            <w:pPr>
              <w:jc w:val="right"/>
              <w:rPr>
                <w:rFonts w:ascii="Calibri" w:eastAsia="Times New Roman" w:hAnsi="Calibri" w:cs="Times New Roman"/>
                <w:sz w:val="20"/>
                <w:szCs w:val="20"/>
              </w:rPr>
            </w:pPr>
          </w:p>
        </w:tc>
        <w:tc>
          <w:tcPr>
            <w:tcW w:w="891"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62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B.7.</w:t>
            </w:r>
          </w:p>
        </w:tc>
        <w:tc>
          <w:tcPr>
            <w:tcW w:w="2917"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Peňažné výdavky súvisiace s derivátmi (-)</w:t>
            </w:r>
          </w:p>
        </w:tc>
        <w:tc>
          <w:tcPr>
            <w:tcW w:w="567" w:type="pct"/>
          </w:tcPr>
          <w:p w:rsidR="00CE4FC0" w:rsidRPr="00CE4FC0" w:rsidRDefault="00CE4FC0" w:rsidP="00CE4FC0">
            <w:pPr>
              <w:jc w:val="right"/>
              <w:rPr>
                <w:rFonts w:ascii="Calibri" w:eastAsia="Times New Roman" w:hAnsi="Calibri" w:cs="Times New Roman"/>
                <w:sz w:val="20"/>
                <w:szCs w:val="20"/>
              </w:rPr>
            </w:pPr>
          </w:p>
        </w:tc>
        <w:tc>
          <w:tcPr>
            <w:tcW w:w="891"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62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B.8.</w:t>
            </w:r>
          </w:p>
        </w:tc>
        <w:tc>
          <w:tcPr>
            <w:tcW w:w="2917"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Peňažné príjmy súvisiace s derivátmi (+)</w:t>
            </w:r>
          </w:p>
        </w:tc>
        <w:tc>
          <w:tcPr>
            <w:tcW w:w="567" w:type="pct"/>
          </w:tcPr>
          <w:p w:rsidR="00CE4FC0" w:rsidRPr="00CE4FC0" w:rsidRDefault="00CE4FC0" w:rsidP="00CE4FC0">
            <w:pPr>
              <w:jc w:val="right"/>
              <w:rPr>
                <w:rFonts w:ascii="Calibri" w:eastAsia="Times New Roman" w:hAnsi="Calibri" w:cs="Times New Roman"/>
                <w:sz w:val="20"/>
                <w:szCs w:val="20"/>
              </w:rPr>
            </w:pPr>
          </w:p>
        </w:tc>
        <w:tc>
          <w:tcPr>
            <w:tcW w:w="891"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62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B.9.</w:t>
            </w:r>
          </w:p>
        </w:tc>
        <w:tc>
          <w:tcPr>
            <w:tcW w:w="2917"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Prijaté úroky, s výnimkou tých, ktoré sa začleňujú do prevádzkových činností (+)</w:t>
            </w:r>
          </w:p>
        </w:tc>
        <w:tc>
          <w:tcPr>
            <w:tcW w:w="567"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3 539</w:t>
            </w:r>
          </w:p>
        </w:tc>
        <w:tc>
          <w:tcPr>
            <w:tcW w:w="891"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4 500</w:t>
            </w:r>
          </w:p>
        </w:tc>
      </w:tr>
      <w:tr w:rsidR="00CE4FC0" w:rsidRPr="00CE4FC0" w:rsidTr="00D60C0F">
        <w:tc>
          <w:tcPr>
            <w:tcW w:w="62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B.10</w:t>
            </w:r>
          </w:p>
        </w:tc>
        <w:tc>
          <w:tcPr>
            <w:tcW w:w="2917"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Príjmy z dividend a iných podielov na zisku, s výnimkou tých, ktoré sa začleňujú do prevádzkových činností (+)</w:t>
            </w:r>
          </w:p>
        </w:tc>
        <w:tc>
          <w:tcPr>
            <w:tcW w:w="567" w:type="pct"/>
          </w:tcPr>
          <w:p w:rsidR="00CE4FC0" w:rsidRPr="00CE4FC0" w:rsidRDefault="00CE4FC0" w:rsidP="00CE4FC0">
            <w:pPr>
              <w:jc w:val="right"/>
              <w:rPr>
                <w:rFonts w:ascii="Calibri" w:eastAsia="Times New Roman" w:hAnsi="Calibri" w:cs="Times New Roman"/>
                <w:sz w:val="20"/>
                <w:szCs w:val="20"/>
              </w:rPr>
            </w:pPr>
          </w:p>
        </w:tc>
        <w:tc>
          <w:tcPr>
            <w:tcW w:w="891"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62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B.11.</w:t>
            </w:r>
          </w:p>
        </w:tc>
        <w:tc>
          <w:tcPr>
            <w:tcW w:w="2917"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Výdavky na daň z príjmov ak je ju možné začleniť do investičnej činnosti (-)</w:t>
            </w:r>
          </w:p>
        </w:tc>
        <w:tc>
          <w:tcPr>
            <w:tcW w:w="567" w:type="pct"/>
          </w:tcPr>
          <w:p w:rsidR="00CE4FC0" w:rsidRPr="00CE4FC0" w:rsidRDefault="00CE4FC0" w:rsidP="00CE4FC0">
            <w:pPr>
              <w:jc w:val="right"/>
              <w:rPr>
                <w:rFonts w:ascii="Calibri" w:eastAsia="Times New Roman" w:hAnsi="Calibri" w:cs="Times New Roman"/>
                <w:sz w:val="20"/>
                <w:szCs w:val="20"/>
              </w:rPr>
            </w:pPr>
          </w:p>
        </w:tc>
        <w:tc>
          <w:tcPr>
            <w:tcW w:w="891"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62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B.12.</w:t>
            </w:r>
          </w:p>
        </w:tc>
        <w:tc>
          <w:tcPr>
            <w:tcW w:w="2917"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Ostatné príjmy vzťahujúce sa na investičnú činnosť (+)</w:t>
            </w:r>
          </w:p>
        </w:tc>
        <w:tc>
          <w:tcPr>
            <w:tcW w:w="567" w:type="pct"/>
          </w:tcPr>
          <w:p w:rsidR="00CE4FC0" w:rsidRPr="00CE4FC0" w:rsidRDefault="00CE4FC0" w:rsidP="00CE4FC0">
            <w:pPr>
              <w:jc w:val="right"/>
              <w:rPr>
                <w:rFonts w:ascii="Calibri" w:eastAsia="Times New Roman" w:hAnsi="Calibri" w:cs="Times New Roman"/>
                <w:sz w:val="20"/>
                <w:szCs w:val="20"/>
              </w:rPr>
            </w:pPr>
          </w:p>
        </w:tc>
        <w:tc>
          <w:tcPr>
            <w:tcW w:w="891"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62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B.13.</w:t>
            </w:r>
          </w:p>
        </w:tc>
        <w:tc>
          <w:tcPr>
            <w:tcW w:w="2917"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Ostatné výdavky vzťahujúce sa na investičnú činnosť (-)</w:t>
            </w:r>
          </w:p>
        </w:tc>
        <w:tc>
          <w:tcPr>
            <w:tcW w:w="567"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-814 466</w:t>
            </w:r>
          </w:p>
        </w:tc>
        <w:tc>
          <w:tcPr>
            <w:tcW w:w="891"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62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B.</w:t>
            </w:r>
          </w:p>
        </w:tc>
        <w:tc>
          <w:tcPr>
            <w:tcW w:w="2917"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Čisté peňažné toky z investičnej činnosti (súčet B. 1. až B. 13.)</w:t>
            </w:r>
          </w:p>
        </w:tc>
        <w:tc>
          <w:tcPr>
            <w:tcW w:w="567"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-483 329</w:t>
            </w:r>
          </w:p>
        </w:tc>
        <w:tc>
          <w:tcPr>
            <w:tcW w:w="891"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9 869 350</w:t>
            </w:r>
          </w:p>
        </w:tc>
      </w:tr>
      <w:tr w:rsidR="00CE4FC0" w:rsidRPr="00CE4FC0" w:rsidTr="00D60C0F">
        <w:tc>
          <w:tcPr>
            <w:tcW w:w="62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C.1.</w:t>
            </w:r>
          </w:p>
        </w:tc>
        <w:tc>
          <w:tcPr>
            <w:tcW w:w="2917"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Peňažné toky vo vlastnom imaní (+/-)</w:t>
            </w:r>
          </w:p>
        </w:tc>
        <w:tc>
          <w:tcPr>
            <w:tcW w:w="567"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-4 367 929</w:t>
            </w:r>
          </w:p>
        </w:tc>
        <w:tc>
          <w:tcPr>
            <w:tcW w:w="891"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-11 192 000</w:t>
            </w:r>
          </w:p>
        </w:tc>
      </w:tr>
      <w:tr w:rsidR="00CE4FC0" w:rsidRPr="00CE4FC0" w:rsidTr="00D60C0F">
        <w:tc>
          <w:tcPr>
            <w:tcW w:w="62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C.2.</w:t>
            </w:r>
          </w:p>
        </w:tc>
        <w:tc>
          <w:tcPr>
            <w:tcW w:w="2917"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Peňažné výdavky (úroky) na splácanie úverov a pôžičiek (-)</w:t>
            </w:r>
          </w:p>
        </w:tc>
        <w:tc>
          <w:tcPr>
            <w:tcW w:w="567" w:type="pct"/>
          </w:tcPr>
          <w:p w:rsidR="00CE4FC0" w:rsidRPr="00CE4FC0" w:rsidRDefault="00CE4FC0" w:rsidP="00CE4FC0">
            <w:pPr>
              <w:jc w:val="right"/>
              <w:rPr>
                <w:rFonts w:ascii="Calibri" w:eastAsia="Times New Roman" w:hAnsi="Calibri" w:cs="Times New Roman"/>
                <w:sz w:val="20"/>
                <w:szCs w:val="20"/>
              </w:rPr>
            </w:pPr>
          </w:p>
        </w:tc>
        <w:tc>
          <w:tcPr>
            <w:tcW w:w="891"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62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C.3.</w:t>
            </w:r>
          </w:p>
        </w:tc>
        <w:tc>
          <w:tcPr>
            <w:tcW w:w="2917"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Vyplatené dividendy a iné podiely na zisku (-)</w:t>
            </w:r>
          </w:p>
        </w:tc>
        <w:tc>
          <w:tcPr>
            <w:tcW w:w="567" w:type="pct"/>
          </w:tcPr>
          <w:p w:rsidR="00CE4FC0" w:rsidRPr="00CE4FC0" w:rsidRDefault="00CE4FC0" w:rsidP="00CE4FC0">
            <w:pPr>
              <w:jc w:val="right"/>
              <w:rPr>
                <w:rFonts w:ascii="Calibri" w:eastAsia="Times New Roman" w:hAnsi="Calibri" w:cs="Times New Roman"/>
                <w:sz w:val="20"/>
                <w:szCs w:val="20"/>
              </w:rPr>
            </w:pPr>
          </w:p>
        </w:tc>
        <w:tc>
          <w:tcPr>
            <w:tcW w:w="891"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62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C.4.</w:t>
            </w:r>
          </w:p>
        </w:tc>
        <w:tc>
          <w:tcPr>
            <w:tcW w:w="2917"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Výdavky na daň z príjmov ak je ich možné začleniť do finančných činností (-)</w:t>
            </w:r>
          </w:p>
        </w:tc>
        <w:tc>
          <w:tcPr>
            <w:tcW w:w="567" w:type="pct"/>
          </w:tcPr>
          <w:p w:rsidR="00CE4FC0" w:rsidRPr="00CE4FC0" w:rsidRDefault="00CE4FC0" w:rsidP="00CE4FC0">
            <w:pPr>
              <w:jc w:val="right"/>
              <w:rPr>
                <w:rFonts w:ascii="Calibri" w:eastAsia="Times New Roman" w:hAnsi="Calibri" w:cs="Times New Roman"/>
                <w:sz w:val="20"/>
                <w:szCs w:val="20"/>
              </w:rPr>
            </w:pPr>
          </w:p>
        </w:tc>
        <w:tc>
          <w:tcPr>
            <w:tcW w:w="891"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62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C.5.</w:t>
            </w:r>
          </w:p>
        </w:tc>
        <w:tc>
          <w:tcPr>
            <w:tcW w:w="2917"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Peňažné príjmy (splátky/istiny) z úverov a pôžičiek (+)</w:t>
            </w:r>
          </w:p>
        </w:tc>
        <w:tc>
          <w:tcPr>
            <w:tcW w:w="567" w:type="pct"/>
          </w:tcPr>
          <w:p w:rsidR="00CE4FC0" w:rsidRPr="00CE4FC0" w:rsidRDefault="00CE4FC0" w:rsidP="00CE4FC0">
            <w:pPr>
              <w:jc w:val="right"/>
              <w:rPr>
                <w:rFonts w:ascii="Calibri" w:eastAsia="Times New Roman" w:hAnsi="Calibri" w:cs="Times New Roman"/>
                <w:sz w:val="20"/>
                <w:szCs w:val="20"/>
              </w:rPr>
            </w:pPr>
          </w:p>
        </w:tc>
        <w:tc>
          <w:tcPr>
            <w:tcW w:w="891"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62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lastRenderedPageBreak/>
              <w:t>C.6.</w:t>
            </w:r>
          </w:p>
        </w:tc>
        <w:tc>
          <w:tcPr>
            <w:tcW w:w="2917"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Peňažné výdavky na splácanie úverov a pôžičiek (-)</w:t>
            </w:r>
          </w:p>
        </w:tc>
        <w:tc>
          <w:tcPr>
            <w:tcW w:w="567" w:type="pct"/>
          </w:tcPr>
          <w:p w:rsidR="00CE4FC0" w:rsidRPr="00CE4FC0" w:rsidRDefault="00CE4FC0" w:rsidP="00CE4FC0">
            <w:pPr>
              <w:jc w:val="right"/>
              <w:rPr>
                <w:rFonts w:ascii="Calibri" w:eastAsia="Times New Roman" w:hAnsi="Calibri" w:cs="Times New Roman"/>
                <w:sz w:val="20"/>
                <w:szCs w:val="20"/>
              </w:rPr>
            </w:pPr>
          </w:p>
        </w:tc>
        <w:tc>
          <w:tcPr>
            <w:tcW w:w="891"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62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C.7.</w:t>
            </w:r>
          </w:p>
        </w:tc>
        <w:tc>
          <w:tcPr>
            <w:tcW w:w="2917"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Peňažné príjmy z emisie dlhových cenných papierov (+)</w:t>
            </w:r>
          </w:p>
        </w:tc>
        <w:tc>
          <w:tcPr>
            <w:tcW w:w="567" w:type="pct"/>
          </w:tcPr>
          <w:p w:rsidR="00CE4FC0" w:rsidRPr="00CE4FC0" w:rsidRDefault="00CE4FC0" w:rsidP="00CE4FC0">
            <w:pPr>
              <w:jc w:val="right"/>
              <w:rPr>
                <w:rFonts w:ascii="Calibri" w:eastAsia="Times New Roman" w:hAnsi="Calibri" w:cs="Times New Roman"/>
                <w:sz w:val="20"/>
                <w:szCs w:val="20"/>
              </w:rPr>
            </w:pPr>
          </w:p>
        </w:tc>
        <w:tc>
          <w:tcPr>
            <w:tcW w:w="891"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62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C.8.</w:t>
            </w:r>
          </w:p>
        </w:tc>
        <w:tc>
          <w:tcPr>
            <w:tcW w:w="2917"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Peňažné výdavky na úhradu záväzkov z dlhových CP (-)</w:t>
            </w:r>
          </w:p>
        </w:tc>
        <w:tc>
          <w:tcPr>
            <w:tcW w:w="567" w:type="pct"/>
          </w:tcPr>
          <w:p w:rsidR="00CE4FC0" w:rsidRPr="00CE4FC0" w:rsidRDefault="00CE4FC0" w:rsidP="00CE4FC0">
            <w:pPr>
              <w:jc w:val="right"/>
              <w:rPr>
                <w:rFonts w:ascii="Calibri" w:eastAsia="Times New Roman" w:hAnsi="Calibri" w:cs="Times New Roman"/>
                <w:sz w:val="20"/>
                <w:szCs w:val="20"/>
              </w:rPr>
            </w:pPr>
          </w:p>
        </w:tc>
        <w:tc>
          <w:tcPr>
            <w:tcW w:w="891"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62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C.9.</w:t>
            </w:r>
          </w:p>
        </w:tc>
        <w:tc>
          <w:tcPr>
            <w:tcW w:w="2917"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Príjaté  výnosové úroky (-)</w:t>
            </w:r>
          </w:p>
        </w:tc>
        <w:tc>
          <w:tcPr>
            <w:tcW w:w="567" w:type="pct"/>
          </w:tcPr>
          <w:p w:rsidR="00CE4FC0" w:rsidRPr="00CE4FC0" w:rsidRDefault="00CE4FC0" w:rsidP="00CE4FC0">
            <w:pPr>
              <w:jc w:val="right"/>
              <w:rPr>
                <w:rFonts w:ascii="Calibri" w:eastAsia="Times New Roman" w:hAnsi="Calibri" w:cs="Times New Roman"/>
                <w:sz w:val="20"/>
                <w:szCs w:val="20"/>
              </w:rPr>
            </w:pPr>
          </w:p>
        </w:tc>
        <w:tc>
          <w:tcPr>
            <w:tcW w:w="891"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62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C.10.</w:t>
            </w:r>
          </w:p>
        </w:tc>
        <w:tc>
          <w:tcPr>
            <w:tcW w:w="2917"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Ostatné príjmy vzťahujúce sa na finančnú činnosť (+)</w:t>
            </w:r>
          </w:p>
        </w:tc>
        <w:tc>
          <w:tcPr>
            <w:tcW w:w="567" w:type="pct"/>
          </w:tcPr>
          <w:p w:rsidR="00CE4FC0" w:rsidRPr="00CE4FC0" w:rsidRDefault="00CE4FC0" w:rsidP="00CE4FC0">
            <w:pPr>
              <w:jc w:val="right"/>
              <w:rPr>
                <w:rFonts w:ascii="Calibri" w:eastAsia="Times New Roman" w:hAnsi="Calibri" w:cs="Times New Roman"/>
                <w:sz w:val="20"/>
                <w:szCs w:val="20"/>
              </w:rPr>
            </w:pPr>
          </w:p>
        </w:tc>
        <w:tc>
          <w:tcPr>
            <w:tcW w:w="891"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62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C.11.</w:t>
            </w:r>
          </w:p>
        </w:tc>
        <w:tc>
          <w:tcPr>
            <w:tcW w:w="2917"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Ostatné výdavky vzťahujúce sa na finančnú činnosť (-)</w:t>
            </w:r>
          </w:p>
        </w:tc>
        <w:tc>
          <w:tcPr>
            <w:tcW w:w="567" w:type="pct"/>
          </w:tcPr>
          <w:p w:rsidR="00CE4FC0" w:rsidRPr="00CE4FC0" w:rsidRDefault="00CE4FC0" w:rsidP="00CE4FC0">
            <w:pPr>
              <w:jc w:val="right"/>
              <w:rPr>
                <w:rFonts w:ascii="Calibri" w:eastAsia="Times New Roman" w:hAnsi="Calibri" w:cs="Times New Roman"/>
                <w:sz w:val="20"/>
                <w:szCs w:val="20"/>
              </w:rPr>
            </w:pPr>
          </w:p>
        </w:tc>
        <w:tc>
          <w:tcPr>
            <w:tcW w:w="891" w:type="pct"/>
          </w:tcPr>
          <w:p w:rsidR="00CE4FC0" w:rsidRPr="00CE4FC0" w:rsidRDefault="00CE4FC0" w:rsidP="00CE4FC0">
            <w:pPr>
              <w:jc w:val="right"/>
              <w:rPr>
                <w:rFonts w:ascii="Calibri" w:eastAsia="Times New Roman" w:hAnsi="Calibri" w:cs="Times New Roman"/>
                <w:sz w:val="20"/>
                <w:szCs w:val="20"/>
              </w:rPr>
            </w:pPr>
          </w:p>
        </w:tc>
      </w:tr>
      <w:tr w:rsidR="00CE4FC0" w:rsidRPr="00CE4FC0" w:rsidTr="00D60C0F">
        <w:tc>
          <w:tcPr>
            <w:tcW w:w="62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C.</w:t>
            </w:r>
          </w:p>
        </w:tc>
        <w:tc>
          <w:tcPr>
            <w:tcW w:w="2917"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Čisté peňažné toky z finančnej činnosti (súčet C. 1. až 11.)</w:t>
            </w:r>
          </w:p>
        </w:tc>
        <w:tc>
          <w:tcPr>
            <w:tcW w:w="567"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-4 367 929</w:t>
            </w:r>
          </w:p>
        </w:tc>
        <w:tc>
          <w:tcPr>
            <w:tcW w:w="891"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-11 192 120</w:t>
            </w:r>
          </w:p>
        </w:tc>
      </w:tr>
      <w:tr w:rsidR="00CE4FC0" w:rsidRPr="00CE4FC0" w:rsidTr="00D60C0F">
        <w:tc>
          <w:tcPr>
            <w:tcW w:w="62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D.</w:t>
            </w:r>
          </w:p>
        </w:tc>
        <w:tc>
          <w:tcPr>
            <w:tcW w:w="2917"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Čisté zvýšenie alebo čisté zníženie peňažných prostriedkov (+/-) (súčet A + B + C)</w:t>
            </w:r>
          </w:p>
        </w:tc>
        <w:tc>
          <w:tcPr>
            <w:tcW w:w="567"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-1 162 810</w:t>
            </w:r>
          </w:p>
        </w:tc>
        <w:tc>
          <w:tcPr>
            <w:tcW w:w="891"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-1 979 794</w:t>
            </w:r>
          </w:p>
        </w:tc>
      </w:tr>
      <w:tr w:rsidR="00CE4FC0" w:rsidRPr="00CE4FC0" w:rsidTr="00D60C0F">
        <w:tc>
          <w:tcPr>
            <w:tcW w:w="62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E.</w:t>
            </w:r>
          </w:p>
        </w:tc>
        <w:tc>
          <w:tcPr>
            <w:tcW w:w="2917"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Stav peňažných prostriedkov a peňažných ekvivalentov nazačiatku účtovného obdobia</w:t>
            </w:r>
          </w:p>
        </w:tc>
        <w:tc>
          <w:tcPr>
            <w:tcW w:w="567"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1 567 566</w:t>
            </w:r>
          </w:p>
        </w:tc>
        <w:tc>
          <w:tcPr>
            <w:tcW w:w="891"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3 547 360</w:t>
            </w:r>
          </w:p>
        </w:tc>
      </w:tr>
      <w:tr w:rsidR="00CE4FC0" w:rsidRPr="00CE4FC0" w:rsidTr="00D60C0F">
        <w:tc>
          <w:tcPr>
            <w:tcW w:w="626"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F</w:t>
            </w:r>
          </w:p>
        </w:tc>
        <w:tc>
          <w:tcPr>
            <w:tcW w:w="2917" w:type="pct"/>
          </w:tcPr>
          <w:p w:rsidR="00CE4FC0" w:rsidRPr="00CE4FC0" w:rsidRDefault="00CE4FC0" w:rsidP="00CE4FC0">
            <w:pPr>
              <w:rPr>
                <w:rFonts w:ascii="Calibri" w:eastAsia="Times New Roman" w:hAnsi="Calibri" w:cs="Times New Roman"/>
                <w:sz w:val="20"/>
                <w:szCs w:val="20"/>
              </w:rPr>
            </w:pPr>
            <w:r w:rsidRPr="00CE4FC0">
              <w:rPr>
                <w:rFonts w:ascii="Calibri" w:eastAsia="Times New Roman" w:hAnsi="Calibri" w:cs="Times New Roman"/>
                <w:sz w:val="20"/>
                <w:szCs w:val="20"/>
              </w:rPr>
              <w:t>Zostatok peňažných prostriedkov a peňažných ekvivalentov na konci účtovného obdobia</w:t>
            </w:r>
          </w:p>
        </w:tc>
        <w:tc>
          <w:tcPr>
            <w:tcW w:w="567"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404 756</w:t>
            </w:r>
          </w:p>
        </w:tc>
        <w:tc>
          <w:tcPr>
            <w:tcW w:w="891" w:type="pct"/>
          </w:tcPr>
          <w:p w:rsidR="00CE4FC0" w:rsidRPr="00CE4FC0" w:rsidRDefault="00CE4FC0" w:rsidP="00CE4FC0">
            <w:pPr>
              <w:jc w:val="right"/>
              <w:rPr>
                <w:rFonts w:ascii="Calibri" w:eastAsia="Times New Roman" w:hAnsi="Calibri" w:cs="Times New Roman"/>
                <w:sz w:val="20"/>
                <w:szCs w:val="20"/>
              </w:rPr>
            </w:pPr>
            <w:r w:rsidRPr="00CE4FC0">
              <w:rPr>
                <w:rFonts w:ascii="Calibri" w:eastAsia="Times New Roman" w:hAnsi="Calibri" w:cs="Times New Roman"/>
                <w:sz w:val="20"/>
                <w:szCs w:val="20"/>
              </w:rPr>
              <w:t>1 567 566</w:t>
            </w:r>
          </w:p>
        </w:tc>
      </w:tr>
    </w:tbl>
    <w:p w:rsidR="00CE4FC0" w:rsidRPr="00CE4FC0" w:rsidRDefault="00CE4FC0" w:rsidP="00CE4FC0">
      <w:pPr>
        <w:spacing w:after="200" w:line="276" w:lineRule="auto"/>
        <w:rPr>
          <w:rFonts w:ascii="Calibri" w:eastAsia="Times New Roman" w:hAnsi="Calibri" w:cs="Times New Roman"/>
          <w:sz w:val="20"/>
          <w:szCs w:val="20"/>
        </w:rPr>
      </w:pPr>
    </w:p>
    <w:p w:rsidR="00CA0362" w:rsidRDefault="00297BD4"/>
    <w:sectPr w:rsidR="00CA0362" w:rsidSect="006F5860">
      <w:headerReference w:type="even" r:id="rId6"/>
      <w:headerReference w:type="default" r:id="rId7"/>
      <w:footerReference w:type="even" r:id="rId8"/>
      <w:footerReference w:type="default" r:id="rId9"/>
      <w:headerReference w:type="first" r:id="rId10"/>
      <w:footerReference w:type="first" r:id="rId11"/>
      <w:pgSz w:w="11906" w:h="16838" w:code="9"/>
      <w:pgMar w:top="1134" w:right="1134" w:bottom="1134" w:left="1134"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97BD4" w:rsidRDefault="00297BD4" w:rsidP="009C3A63">
      <w:r>
        <w:separator/>
      </w:r>
    </w:p>
  </w:endnote>
  <w:endnote w:type="continuationSeparator" w:id="1">
    <w:p w:rsidR="00297BD4" w:rsidRDefault="00297BD4" w:rsidP="009C3A63">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Segoe UI">
    <w:panose1 w:val="020B0502040204020203"/>
    <w:charset w:val="EE"/>
    <w:family w:val="swiss"/>
    <w:notTrueType/>
    <w:pitch w:val="variable"/>
    <w:sig w:usb0="00000007" w:usb1="00000000" w:usb2="00000000" w:usb3="00000000" w:csb0="00000003" w:csb1="00000000"/>
  </w:font>
  <w:font w:name="Microsoft Sans Serif">
    <w:panose1 w:val="020B0604020202020204"/>
    <w:charset w:val="EE"/>
    <w:family w:val="swiss"/>
    <w:pitch w:val="variable"/>
    <w:sig w:usb0="E1002AFF" w:usb1="C0000002" w:usb2="00000008" w:usb3="00000000" w:csb0="0001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F3792" w:rsidRDefault="009C3A63" w:rsidP="003306DF">
    <w:pPr>
      <w:pStyle w:val="Pta"/>
      <w:framePr w:wrap="around" w:vAnchor="text" w:hAnchor="margin" w:xAlign="right" w:y="1"/>
      <w:rPr>
        <w:rStyle w:val="slostrany"/>
      </w:rPr>
    </w:pPr>
    <w:r>
      <w:rPr>
        <w:rStyle w:val="slostrany"/>
      </w:rPr>
      <w:fldChar w:fldCharType="begin"/>
    </w:r>
    <w:r w:rsidR="00CE4FC0">
      <w:rPr>
        <w:rStyle w:val="slostrany"/>
      </w:rPr>
      <w:instrText xml:space="preserve">PAGE  </w:instrText>
    </w:r>
    <w:r>
      <w:rPr>
        <w:rStyle w:val="slostrany"/>
      </w:rPr>
      <w:fldChar w:fldCharType="end"/>
    </w:r>
  </w:p>
  <w:p w:rsidR="000F3792" w:rsidRDefault="00297BD4" w:rsidP="004E2370">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F3792" w:rsidRDefault="009C3A63" w:rsidP="003306DF">
    <w:pPr>
      <w:pStyle w:val="Pta"/>
      <w:framePr w:wrap="around" w:vAnchor="text" w:hAnchor="margin" w:xAlign="right" w:y="1"/>
      <w:rPr>
        <w:rStyle w:val="slostrany"/>
      </w:rPr>
    </w:pPr>
    <w:r>
      <w:rPr>
        <w:rStyle w:val="slostrany"/>
      </w:rPr>
      <w:fldChar w:fldCharType="begin"/>
    </w:r>
    <w:r w:rsidR="00CE4FC0">
      <w:rPr>
        <w:rStyle w:val="slostrany"/>
      </w:rPr>
      <w:instrText xml:space="preserve">PAGE  </w:instrText>
    </w:r>
    <w:r>
      <w:rPr>
        <w:rStyle w:val="slostrany"/>
      </w:rPr>
      <w:fldChar w:fldCharType="separate"/>
    </w:r>
    <w:r w:rsidR="001038F6">
      <w:rPr>
        <w:rStyle w:val="slostrany"/>
        <w:noProof/>
      </w:rPr>
      <w:t>1</w:t>
    </w:r>
    <w:r>
      <w:rPr>
        <w:rStyle w:val="slostrany"/>
      </w:rPr>
      <w:fldChar w:fldCharType="end"/>
    </w:r>
  </w:p>
  <w:p w:rsidR="000F3792" w:rsidRPr="004E2370" w:rsidRDefault="00CE4FC0" w:rsidP="004E2370">
    <w:pPr>
      <w:pStyle w:val="Pta"/>
      <w:ind w:right="360"/>
      <w:jc w:val="right"/>
      <w:rPr>
        <w:sz w:val="20"/>
      </w:rPr>
    </w:pPr>
    <w:r>
      <w:rPr>
        <w:sz w:val="20"/>
      </w:rPr>
      <w:t xml:space="preserve">Strana </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F3792" w:rsidRDefault="00297BD4">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97BD4" w:rsidRDefault="00297BD4" w:rsidP="009C3A63">
      <w:r>
        <w:separator/>
      </w:r>
    </w:p>
  </w:footnote>
  <w:footnote w:type="continuationSeparator" w:id="1">
    <w:p w:rsidR="00297BD4" w:rsidRDefault="00297BD4" w:rsidP="009C3A6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F3792" w:rsidRDefault="00297BD4">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CellMar>
        <w:left w:w="70" w:type="dxa"/>
        <w:right w:w="70" w:type="dxa"/>
      </w:tblCellMar>
      <w:tblLook w:val="0000"/>
    </w:tblPr>
    <w:tblGrid>
      <w:gridCol w:w="4889"/>
      <w:gridCol w:w="4889"/>
    </w:tblGrid>
    <w:tr w:rsidR="000F3792" w:rsidRPr="004E2370" w:rsidTr="004E2370">
      <w:tc>
        <w:tcPr>
          <w:tcW w:w="2500" w:type="pct"/>
        </w:tcPr>
        <w:p w:rsidR="000F3792" w:rsidRPr="004E2370" w:rsidRDefault="00CE4FC0" w:rsidP="004E2370">
          <w:pPr>
            <w:pStyle w:val="Hlavika"/>
            <w:rPr>
              <w:sz w:val="20"/>
            </w:rPr>
          </w:pPr>
          <w:r>
            <w:rPr>
              <w:sz w:val="20"/>
            </w:rPr>
            <w:t>Poznámky Úč POD 3-01</w:t>
          </w:r>
        </w:p>
      </w:tc>
      <w:tc>
        <w:tcPr>
          <w:tcW w:w="2500" w:type="pct"/>
        </w:tcPr>
        <w:p w:rsidR="000F3792" w:rsidRPr="004E2370" w:rsidRDefault="00CE4FC0" w:rsidP="00CD336F">
          <w:pPr>
            <w:pStyle w:val="Hlavika"/>
            <w:jc w:val="right"/>
            <w:rPr>
              <w:sz w:val="20"/>
            </w:rPr>
          </w:pPr>
          <w:r>
            <w:rPr>
              <w:sz w:val="20"/>
            </w:rPr>
            <w:t>IČO: 36766330, DIČ: 2022363607</w:t>
          </w:r>
        </w:p>
      </w:tc>
    </w:tr>
  </w:tbl>
  <w:p w:rsidR="000F3792" w:rsidRPr="004E2370" w:rsidRDefault="00297BD4">
    <w:pPr>
      <w:pStyle w:val="Hlavika"/>
      <w:rPr>
        <w:sz w:val="20"/>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F3792" w:rsidRDefault="00297BD4">
    <w:pPr>
      <w:pStyle w:val="Hlavika"/>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E4FC0"/>
    <w:rsid w:val="001038F6"/>
    <w:rsid w:val="00297BD4"/>
    <w:rsid w:val="004834D1"/>
    <w:rsid w:val="00712B63"/>
    <w:rsid w:val="009C3A63"/>
    <w:rsid w:val="00C047B9"/>
    <w:rsid w:val="00CE4FC0"/>
    <w:rsid w:val="00DE039A"/>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sk-SK"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9C3A63"/>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CE4FC0"/>
    <w:pPr>
      <w:tabs>
        <w:tab w:val="center" w:pos="4536"/>
        <w:tab w:val="right" w:pos="9072"/>
      </w:tabs>
    </w:pPr>
    <w:rPr>
      <w:rFonts w:ascii="Calibri" w:eastAsia="Times New Roman" w:hAnsi="Calibri" w:cs="Times New Roman"/>
      <w:sz w:val="22"/>
      <w:szCs w:val="22"/>
    </w:rPr>
  </w:style>
  <w:style w:type="character" w:customStyle="1" w:styleId="HlavikaChar">
    <w:name w:val="Hlavička Char"/>
    <w:basedOn w:val="Predvolenpsmoodseku"/>
    <w:link w:val="Hlavika"/>
    <w:uiPriority w:val="99"/>
    <w:rsid w:val="00CE4FC0"/>
    <w:rPr>
      <w:rFonts w:ascii="Calibri" w:eastAsia="Times New Roman" w:hAnsi="Calibri" w:cs="Times New Roman"/>
      <w:sz w:val="22"/>
      <w:szCs w:val="22"/>
    </w:rPr>
  </w:style>
  <w:style w:type="paragraph" w:styleId="Pta">
    <w:name w:val="footer"/>
    <w:basedOn w:val="Normlny"/>
    <w:link w:val="PtaChar"/>
    <w:uiPriority w:val="99"/>
    <w:unhideWhenUsed/>
    <w:rsid w:val="00CE4FC0"/>
    <w:pPr>
      <w:tabs>
        <w:tab w:val="center" w:pos="4536"/>
        <w:tab w:val="right" w:pos="9072"/>
      </w:tabs>
    </w:pPr>
    <w:rPr>
      <w:rFonts w:ascii="Calibri" w:eastAsia="Times New Roman" w:hAnsi="Calibri" w:cs="Times New Roman"/>
      <w:sz w:val="22"/>
      <w:szCs w:val="22"/>
    </w:rPr>
  </w:style>
  <w:style w:type="character" w:customStyle="1" w:styleId="PtaChar">
    <w:name w:val="Päta Char"/>
    <w:basedOn w:val="Predvolenpsmoodseku"/>
    <w:link w:val="Pta"/>
    <w:uiPriority w:val="99"/>
    <w:rsid w:val="00CE4FC0"/>
    <w:rPr>
      <w:rFonts w:ascii="Calibri" w:eastAsia="Times New Roman" w:hAnsi="Calibri" w:cs="Times New Roman"/>
      <w:sz w:val="22"/>
      <w:szCs w:val="22"/>
    </w:rPr>
  </w:style>
  <w:style w:type="character" w:styleId="slostrany">
    <w:name w:val="page number"/>
    <w:basedOn w:val="Predvolenpsmoodseku"/>
    <w:uiPriority w:val="99"/>
    <w:semiHidden/>
    <w:unhideWhenUsed/>
    <w:rsid w:val="00CE4FC0"/>
    <w:rPr>
      <w:rFonts w:cs="Times New Roman"/>
    </w:rPr>
  </w:style>
  <w:style w:type="table" w:styleId="Mriekatabuky">
    <w:name w:val="Table Grid"/>
    <w:basedOn w:val="Normlnatabuka"/>
    <w:uiPriority w:val="59"/>
    <w:rsid w:val="00CE4FC0"/>
    <w:rPr>
      <w:rFonts w:ascii="Calibri" w:eastAsia="Times New Roman" w:hAnsi="Calibri"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bubliny">
    <w:name w:val="Balloon Text"/>
    <w:basedOn w:val="Normlny"/>
    <w:link w:val="TextbublinyChar"/>
    <w:uiPriority w:val="99"/>
    <w:semiHidden/>
    <w:unhideWhenUsed/>
    <w:rsid w:val="00CE4FC0"/>
    <w:rPr>
      <w:rFonts w:ascii="Segoe UI" w:eastAsia="Times New Roman" w:hAnsi="Segoe UI" w:cs="Segoe UI"/>
      <w:sz w:val="18"/>
      <w:szCs w:val="18"/>
    </w:rPr>
  </w:style>
  <w:style w:type="character" w:customStyle="1" w:styleId="TextbublinyChar">
    <w:name w:val="Text bubliny Char"/>
    <w:basedOn w:val="Predvolenpsmoodseku"/>
    <w:link w:val="Textbubliny"/>
    <w:uiPriority w:val="99"/>
    <w:semiHidden/>
    <w:rsid w:val="00CE4FC0"/>
    <w:rPr>
      <w:rFonts w:ascii="Segoe UI" w:eastAsia="Times New Roman" w:hAnsi="Segoe UI" w:cs="Segoe UI"/>
      <w:sz w:val="18"/>
      <w:szCs w:val="18"/>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18</Pages>
  <Words>3780</Words>
  <Characters>21548</Characters>
  <Application>Microsoft Office Word</Application>
  <DocSecurity>0</DocSecurity>
  <Lines>179</Lines>
  <Paragraphs>50</Paragraphs>
  <ScaleCrop>false</ScaleCrop>
  <Company>Office2007</Company>
  <LinksUpToDate>false</LinksUpToDate>
  <CharactersWithSpaces>25278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Používateľ balíka Microsoft Office</dc:creator>
  <cp:lastModifiedBy>PC01</cp:lastModifiedBy>
  <cp:revision>2</cp:revision>
  <dcterms:created xsi:type="dcterms:W3CDTF">2018-03-29T08:20:00Z</dcterms:created>
  <dcterms:modified xsi:type="dcterms:W3CDTF">2018-03-29T08:20:00Z</dcterms:modified>
</cp:coreProperties>
</file>