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32"/>
                <w:szCs w:val="32"/>
              </w:rPr>
            </w:pPr>
            <w:r w:rsidRPr="00CE4FC0">
              <w:rPr>
                <w:rFonts w:ascii="Calibri" w:eastAsia="Times New Roman" w:hAnsi="Calibri" w:cs="Times New Roman"/>
                <w:b/>
                <w:sz w:val="32"/>
                <w:szCs w:val="32"/>
              </w:rPr>
              <w:t>Článok I - Všeobecné informácie</w:t>
            </w:r>
          </w:p>
        </w:tc>
      </w:tr>
    </w:tbl>
    <w:p w:rsidR="00CE4FC0" w:rsidRPr="00CE4FC0" w:rsidRDefault="00CE4FC0" w:rsidP="00CE4FC0">
      <w:pPr>
        <w:spacing w:after="200" w:line="276" w:lineRule="auto"/>
        <w:jc w:val="center"/>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 1 a) Názov a sídlo spoločnosti</w:t>
            </w:r>
          </w:p>
        </w:tc>
      </w:tr>
    </w:tbl>
    <w:p w:rsidR="00CE4FC0" w:rsidRPr="00CE4FC0" w:rsidRDefault="00CE4FC0" w:rsidP="00CE4FC0">
      <w:pPr>
        <w:spacing w:after="200" w:line="276" w:lineRule="auto"/>
        <w:jc w:val="center"/>
        <w:rPr>
          <w:rFonts w:ascii="Calibri" w:eastAsia="Times New Roman" w:hAnsi="Calibri" w:cs="Times New Roman"/>
          <w:sz w:val="20"/>
          <w:szCs w:val="20"/>
        </w:rPr>
      </w:pP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AMW a.s.</w:t>
      </w: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Mostová 2</w:t>
      </w: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811 01 Bratislava</w:t>
      </w: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Dátum založenia : 29.03.2007</w:t>
      </w: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Dátum vzniku     : 18.04.2007</w:t>
      </w:r>
    </w:p>
    <w:p w:rsidR="00CE4FC0" w:rsidRPr="00CE4FC0" w:rsidRDefault="00CE4FC0" w:rsidP="00CE4FC0">
      <w:pPr>
        <w:spacing w:after="200" w:line="276" w:lineRule="auto"/>
        <w:jc w:val="center"/>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CE4FC0" w:rsidRPr="00CE4FC0" w:rsidTr="00D60C0F">
        <w:tc>
          <w:tcPr>
            <w:tcW w:w="5000" w:type="pct"/>
            <w:gridSpan w:val="2"/>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 1 b) Opis vykonávanej činnosti</w:t>
            </w:r>
          </w:p>
        </w:tc>
      </w:tr>
      <w:tr w:rsidR="00CE4FC0" w:rsidRPr="00CE4FC0" w:rsidTr="00D60C0F">
        <w:tc>
          <w:tcPr>
            <w:tcW w:w="250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Činnosti podľa výpisu z OR</w:t>
            </w:r>
          </w:p>
        </w:tc>
        <w:tc>
          <w:tcPr>
            <w:tcW w:w="250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Vykonávané od</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podnikateľské poradenstvo v rozsahu voľných živností</w:t>
            </w:r>
          </w:p>
        </w:tc>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18.04.2007</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sprostredkovateľská činnosť v rozsahu voľných živností</w:t>
            </w:r>
          </w:p>
        </w:tc>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18.04.2007</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prenájom nehnuteľností spojený s poskytovaním aj iných  ako základných služieb - prenájom hnuteľných vecí</w:t>
            </w:r>
          </w:p>
        </w:tc>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18.04.2007</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prenájom hnuteľných vecí v rozsahu voľných živností</w:t>
            </w:r>
          </w:p>
        </w:tc>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18.04.2007</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správa nehnuteľností</w:t>
            </w:r>
          </w:p>
        </w:tc>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18.04.2007</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kuriérske služby</w:t>
            </w:r>
          </w:p>
        </w:tc>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20.12.2012</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kúpa tovaru za účelom jeho predaja konečnému spotrebiteľovi / maloobchod/ v rozsahu voľných živností</w:t>
            </w:r>
          </w:p>
        </w:tc>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18.04.2007</w:t>
            </w:r>
          </w:p>
        </w:tc>
      </w:tr>
    </w:tbl>
    <w:p w:rsidR="00CE4FC0" w:rsidRPr="00CE4FC0" w:rsidRDefault="00CE4FC0" w:rsidP="00CE4FC0">
      <w:pPr>
        <w:spacing w:after="200" w:line="276" w:lineRule="auto"/>
        <w:jc w:val="center"/>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CE4FC0" w:rsidRPr="00CE4FC0" w:rsidTr="00D60C0F">
        <w:tc>
          <w:tcPr>
            <w:tcW w:w="5000" w:type="pct"/>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 2) Informácie o ÚJ, kde je spoločnosť neobmedzene ručiacim spoločníkom</w:t>
            </w:r>
          </w:p>
        </w:tc>
      </w:tr>
    </w:tbl>
    <w:p w:rsidR="00CE4FC0" w:rsidRPr="00CE4FC0" w:rsidRDefault="00CE4FC0" w:rsidP="00CE4FC0">
      <w:pPr>
        <w:spacing w:after="200" w:line="276" w:lineRule="auto"/>
        <w:jc w:val="center"/>
        <w:rPr>
          <w:rFonts w:ascii="Calibri" w:eastAsia="Times New Roman" w:hAnsi="Calibri" w:cs="Times New Roman"/>
          <w:sz w:val="20"/>
          <w:szCs w:val="20"/>
        </w:rPr>
      </w:pP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Spoločnosť nie je neobmedzene ručiacim spoločníkom v žiadnej inej obchodnej spoločnosti.</w:t>
      </w:r>
    </w:p>
    <w:p w:rsidR="00CE4FC0" w:rsidRPr="00CE4FC0" w:rsidRDefault="00CE4FC0" w:rsidP="00CE4FC0">
      <w:pPr>
        <w:spacing w:after="200" w:line="276" w:lineRule="auto"/>
        <w:jc w:val="center"/>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 3) Dátum schválenia účtovnej závierky za bezprostredne predchádzajúce obdobie</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r w:rsidRPr="00CE4FC0">
        <w:rPr>
          <w:rFonts w:ascii="Calibri" w:eastAsia="Times New Roman" w:hAnsi="Calibri" w:cs="Times New Roman"/>
          <w:sz w:val="20"/>
          <w:szCs w:val="20"/>
        </w:rPr>
        <w:t>Dátum schválenia účtovnej závierky za bezprostredne predchádzajúce obdobie : 22.05.2017</w:t>
      </w:r>
    </w:p>
    <w:p w:rsidR="00CE4FC0" w:rsidRPr="00CE4FC0" w:rsidRDefault="00CE4FC0" w:rsidP="00CE4FC0">
      <w:pPr>
        <w:spacing w:after="200" w:line="276" w:lineRule="auto"/>
        <w:rPr>
          <w:rFonts w:ascii="Calibri" w:eastAsia="Times New Roman" w:hAnsi="Calibri" w:cs="Times New Roman"/>
          <w:sz w:val="20"/>
          <w:szCs w:val="20"/>
        </w:rPr>
      </w:pPr>
      <w:r w:rsidRPr="00CE4FC0">
        <w:rPr>
          <w:rFonts w:ascii="Calibri" w:eastAsia="Times New Roman" w:hAnsi="Calibri" w:cs="Times New Roman"/>
          <w:sz w:val="20"/>
          <w:szCs w:val="20"/>
        </w:rPr>
        <w:t>Schvaľovací orgán : Valné zhromaždenie</w:t>
      </w: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 4) Právny dôvod  na zostavenie ÚZ</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Účtovná závierka obchodnej spoločnosti zostavená k 31. decembru 2017  je zostavená ako riadna účtovná závierka podľa §17 ods. 6 zákona č. 431/2002 Z.z. o účtovníctve v znení neskorších predpisov. Účtovná závierka bola zostavená za predpokladu nepretržitého pokračovania činnosti. Nie sú známe žiadne skutočnosti, ktoré nastali po dni, ku ktorému sa zostavuje účtovná závierka do dňa zostavenia účtovnej závierky, ktoré by mohli mať vplyv na zmenu vykázaných skutočností v účtovnej závierke.</w:t>
      </w:r>
    </w:p>
    <w:p w:rsidR="00CE4FC0" w:rsidRPr="00CE4FC0" w:rsidRDefault="00CE4FC0" w:rsidP="00CE4FC0">
      <w:pPr>
        <w:spacing w:after="200" w:line="276" w:lineRule="auto"/>
        <w:jc w:val="center"/>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 6) Priemerný prepočítaný počet zamestnancov</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Názov položky</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Bežné účtovné obdobie</w:t>
            </w:r>
          </w:p>
        </w:tc>
        <w:tc>
          <w:tcPr>
            <w:tcW w:w="166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Bezprostredne predchádzajúce účtovné obdobie</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Priemerný prepočítaný počet zamestnancov</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12</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Stav zamestnancov ku dňu, ku ktorému sa zostavuje účtovná závierka, z toho:</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12</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počet vedúcich zamestnancov</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32"/>
                <w:szCs w:val="32"/>
              </w:rPr>
            </w:pPr>
            <w:r w:rsidRPr="00CE4FC0">
              <w:rPr>
                <w:rFonts w:ascii="Calibri" w:eastAsia="Times New Roman" w:hAnsi="Calibri" w:cs="Times New Roman"/>
                <w:b/>
                <w:sz w:val="32"/>
                <w:szCs w:val="32"/>
              </w:rPr>
              <w:lastRenderedPageBreak/>
              <w:t>Článok II - Informácie o prijatých postupoch</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 1) Predpoklad zostavenia účtovnej závierky</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r w:rsidRPr="00CE4FC0">
        <w:rPr>
          <w:rFonts w:ascii="Calibri" w:eastAsia="Times New Roman" w:hAnsi="Calibri" w:cs="Times New Roman"/>
          <w:sz w:val="20"/>
          <w:szCs w:val="20"/>
        </w:rPr>
        <w:t>Účtovná závierka bola zostavená za predpokladu : nepretržitého pokračovania činnosti</w:t>
      </w: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CE4FC0" w:rsidRPr="00CE4FC0" w:rsidTr="00D60C0F">
        <w:tc>
          <w:tcPr>
            <w:tcW w:w="5000" w:type="pct"/>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 2) Účtovné metódy a zásady</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autoSpaceDE w:val="0"/>
        <w:autoSpaceDN w:val="0"/>
        <w:adjustRightInd w:val="0"/>
        <w:rPr>
          <w:rFonts w:ascii="Times New Roman" w:eastAsia="Times New Roman" w:hAnsi="Times New Roman" w:cs="Times New Roman"/>
          <w:lang w:eastAsia="sk-SK"/>
        </w:rPr>
      </w:pPr>
      <w:r w:rsidRPr="00CE4FC0">
        <w:rPr>
          <w:rFonts w:ascii="Times New Roman" w:eastAsia="Times New Roman" w:hAnsi="Times New Roman" w:cs="Times New Roman"/>
          <w:lang w:eastAsia="sk-SK"/>
        </w:rPr>
        <w:t>Účtovné metódy a všeobecné účtovné zásady boli účtovnou jednotkou konzistentne aplikované počas celého účtovného obdobia. V rámci platného zákona o účtovníctve.</w:t>
      </w: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rPr>
            </w:pPr>
            <w:r w:rsidRPr="00CE4FC0">
              <w:rPr>
                <w:rFonts w:ascii="Calibri" w:eastAsia="Times New Roman" w:hAnsi="Calibri" w:cs="Times New Roman"/>
                <w:b/>
              </w:rPr>
              <w:t>II. 4) Spôsob oceňovania jednotlivých zložiek majetku a záväzkov</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6"/>
        <w:gridCol w:w="1642"/>
        <w:gridCol w:w="1642"/>
        <w:gridCol w:w="1642"/>
      </w:tblGrid>
      <w:tr w:rsidR="00CE4FC0" w:rsidRPr="00CE4FC0" w:rsidTr="00D60C0F">
        <w:tc>
          <w:tcPr>
            <w:tcW w:w="5000" w:type="pct"/>
            <w:gridSpan w:val="6"/>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 4 a-e) Spôsob ocenenia jednotlivých zložiek majetku a záväzkov</w:t>
            </w:r>
          </w:p>
        </w:tc>
      </w:tr>
      <w:tr w:rsidR="00CE4FC0" w:rsidRPr="00CE4FC0" w:rsidTr="00D60C0F">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Názov položky</w:t>
            </w:r>
          </w:p>
        </w:tc>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Bližšia špecifikácia</w:t>
            </w:r>
          </w:p>
        </w:tc>
        <w:tc>
          <w:tcPr>
            <w:tcW w:w="835"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Výskyt v ÚJ</w:t>
            </w:r>
          </w:p>
        </w:tc>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Spôsob oceňovania</w:t>
            </w:r>
          </w:p>
        </w:tc>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Riadok v UZ</w:t>
            </w:r>
          </w:p>
        </w:tc>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Poznámky podľa bodov 4b-4e Čl. II Opatrenia</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Dlhodobý nehmotný majetok</w:t>
            </w: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nakúpený:</w:t>
            </w: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Obstarávacia cena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vytvorené vlastnou činnosťou:</w:t>
            </w: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Vlastné náklady</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obstaraný inak (darom):</w:t>
            </w: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Reálna hodnota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Dlhodobý hmotný majetok</w:t>
            </w: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nakúpený:</w:t>
            </w:r>
          </w:p>
        </w:tc>
        <w:tc>
          <w:tcPr>
            <w:tcW w:w="835"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áno</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Obstarávacia cena</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11</w:t>
            </w: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vytvorené vlastnou činnosťou:</w:t>
            </w: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Vlastné náklady</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obstaraný inak (darom):</w:t>
            </w: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Reálna hodnota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Dlhodobý finančný majetok</w:t>
            </w: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Podielové cenné papiere a podiely v prepojených účtovných jednotkách</w:t>
            </w: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Obstarávacia cena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Zásoby</w:t>
            </w: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obstarané kúpou:</w:t>
            </w: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Obstarávacia cena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vytvorené vlastnou činnosťou:</w:t>
            </w: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Vlastné náklady</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obstarané inak (darom):</w:t>
            </w: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Reálna hodnota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ZV a zákazková výstavba nehnuteľnosti určenej na predaj:</w:t>
            </w: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Menovitá hodnota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w:t>
            </w: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 xml:space="preserve">Vlastné </w:t>
            </w:r>
            <w:r w:rsidRPr="00CE4FC0">
              <w:rPr>
                <w:rFonts w:ascii="Calibri" w:eastAsia="Times New Roman" w:hAnsi="Calibri" w:cs="Times New Roman"/>
                <w:sz w:val="20"/>
                <w:szCs w:val="20"/>
              </w:rPr>
              <w:lastRenderedPageBreak/>
              <w:t>pohľadávky:</w:t>
            </w:r>
          </w:p>
        </w:tc>
        <w:tc>
          <w:tcPr>
            <w:tcW w:w="835"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lastRenderedPageBreak/>
              <w:t>áno</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 xml:space="preserve">Menovitá </w:t>
            </w:r>
            <w:r w:rsidRPr="00CE4FC0">
              <w:rPr>
                <w:rFonts w:ascii="Calibri" w:eastAsia="Times New Roman" w:hAnsi="Calibri" w:cs="Times New Roman"/>
                <w:sz w:val="20"/>
                <w:szCs w:val="20"/>
              </w:rPr>
              <w:lastRenderedPageBreak/>
              <w:t>hodnota</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lastRenderedPageBreak/>
              <w:t>53</w:t>
            </w: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Kúpené pohľadávky:</w:t>
            </w: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Obstarávacia cena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Krátkodobý finančný majetok</w:t>
            </w: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Finančné účty</w:t>
            </w:r>
          </w:p>
        </w:tc>
        <w:tc>
          <w:tcPr>
            <w:tcW w:w="835"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áno</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Obstarávacia cena</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71</w:t>
            </w: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Časové rozlíšenie na strane aktív súvahy:</w:t>
            </w: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Náklady budúcich období a príjmy budúcich období</w:t>
            </w:r>
          </w:p>
        </w:tc>
        <w:tc>
          <w:tcPr>
            <w:tcW w:w="835"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áno</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Menovitá hodnota</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74</w:t>
            </w: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Záväzky, vrátane rezerv, dlhopisov, pôžičiek a úverov:</w:t>
            </w: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 xml:space="preserve">Záväzky zo soc.fondu, záväzky z obchodného styku krátkodobé, záväzky voči zamestnancom, záväzky zo sociálneho poistenia, </w:t>
            </w:r>
          </w:p>
        </w:tc>
        <w:tc>
          <w:tcPr>
            <w:tcW w:w="835"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áno</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Menovitá hodnota</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101</w:t>
            </w: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Časové rozlíšenie na strane pasív súvahy:</w:t>
            </w:r>
          </w:p>
        </w:tc>
        <w:tc>
          <w:tcPr>
            <w:tcW w:w="833" w:type="pct"/>
          </w:tcPr>
          <w:p w:rsidR="00CE4FC0" w:rsidRPr="00CE4FC0" w:rsidRDefault="00CE4FC0" w:rsidP="00CE4FC0">
            <w:pPr>
              <w:rPr>
                <w:rFonts w:ascii="Calibri" w:eastAsia="Times New Roman" w:hAnsi="Calibri" w:cs="Times New Roman"/>
                <w:sz w:val="20"/>
                <w:szCs w:val="20"/>
              </w:rPr>
            </w:pP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Menovitá hodnota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Deriváty:</w:t>
            </w:r>
          </w:p>
        </w:tc>
        <w:tc>
          <w:tcPr>
            <w:tcW w:w="833" w:type="pct"/>
          </w:tcPr>
          <w:p w:rsidR="00CE4FC0" w:rsidRPr="00CE4FC0" w:rsidRDefault="00CE4FC0" w:rsidP="00CE4FC0">
            <w:pPr>
              <w:rPr>
                <w:rFonts w:ascii="Calibri" w:eastAsia="Times New Roman" w:hAnsi="Calibri" w:cs="Times New Roman"/>
                <w:sz w:val="20"/>
                <w:szCs w:val="20"/>
              </w:rPr>
            </w:pP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Menovitá hodnota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Majetok a záväzky zabezpečené derivátmi:</w:t>
            </w:r>
          </w:p>
        </w:tc>
        <w:tc>
          <w:tcPr>
            <w:tcW w:w="833" w:type="pct"/>
          </w:tcPr>
          <w:p w:rsidR="00CE4FC0" w:rsidRPr="00CE4FC0" w:rsidRDefault="00CE4FC0" w:rsidP="00CE4FC0">
            <w:pPr>
              <w:rPr>
                <w:rFonts w:ascii="Calibri" w:eastAsia="Times New Roman" w:hAnsi="Calibri" w:cs="Times New Roman"/>
                <w:sz w:val="20"/>
                <w:szCs w:val="20"/>
              </w:rPr>
            </w:pP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Menovitá hodnota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Prenajatý majetok a majetok obstaraný na základe zmluvy o kúpe prenajatej veci:</w:t>
            </w:r>
          </w:p>
        </w:tc>
        <w:tc>
          <w:tcPr>
            <w:tcW w:w="833" w:type="pct"/>
          </w:tcPr>
          <w:p w:rsidR="00CE4FC0" w:rsidRPr="00CE4FC0" w:rsidRDefault="00CE4FC0" w:rsidP="00CE4FC0">
            <w:pPr>
              <w:rPr>
                <w:rFonts w:ascii="Calibri" w:eastAsia="Times New Roman" w:hAnsi="Calibri" w:cs="Times New Roman"/>
                <w:sz w:val="20"/>
                <w:szCs w:val="20"/>
              </w:rPr>
            </w:pPr>
          </w:p>
        </w:tc>
        <w:tc>
          <w:tcPr>
            <w:tcW w:w="835"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Obstarávacia cena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3"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Splatná daň z príjmov a odložená daň z príjmov:</w:t>
            </w:r>
          </w:p>
        </w:tc>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Splatná daň z príjmov, odložený daňový záväzok</w:t>
            </w:r>
          </w:p>
        </w:tc>
        <w:tc>
          <w:tcPr>
            <w:tcW w:w="835"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áno</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Menovitá hodnota</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133</w:t>
            </w:r>
          </w:p>
        </w:tc>
        <w:tc>
          <w:tcPr>
            <w:tcW w:w="833" w:type="pct"/>
          </w:tcPr>
          <w:p w:rsidR="00CE4FC0" w:rsidRPr="00CE4FC0" w:rsidRDefault="00CE4FC0" w:rsidP="00CE4FC0">
            <w:pPr>
              <w:jc w:val="right"/>
              <w:rPr>
                <w:rFonts w:ascii="Calibri" w:eastAsia="Times New Roman" w:hAnsi="Calibri" w:cs="Times New Roman"/>
                <w:sz w:val="20"/>
                <w:szCs w:val="20"/>
              </w:rPr>
            </w:pP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rPr>
            </w:pPr>
            <w:r w:rsidRPr="00CE4FC0">
              <w:rPr>
                <w:rFonts w:ascii="Calibri" w:eastAsia="Times New Roman" w:hAnsi="Calibri" w:cs="Times New Roman"/>
                <w:b/>
              </w:rPr>
              <w:t>II. 4f) Odpisový plán</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CE4FC0" w:rsidRPr="00CE4FC0" w:rsidTr="00D60C0F">
        <w:tc>
          <w:tcPr>
            <w:tcW w:w="5000" w:type="pct"/>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 4 f1) Dlhodobý nehmotný majetok</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Spoločnosť nevlastní dlhodobý nehmotný majetok.</w:t>
      </w:r>
    </w:p>
    <w:p w:rsid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CE4FC0" w:rsidRPr="00CE4FC0" w:rsidTr="00D60C0F">
        <w:tc>
          <w:tcPr>
            <w:tcW w:w="5000" w:type="pct"/>
            <w:gridSpan w:val="6"/>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 4 f2) Dlhodobý hmotný majetok</w:t>
            </w:r>
          </w:p>
        </w:tc>
      </w:tr>
      <w:tr w:rsidR="00CE4FC0" w:rsidRPr="00CE4FC0" w:rsidTr="00D60C0F">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Druh</w:t>
            </w:r>
          </w:p>
        </w:tc>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Doba odpisovania</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Metóda</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Spôsob</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Účtovná odpisová sadzba alebo koeficient</w:t>
            </w:r>
          </w:p>
        </w:tc>
        <w:tc>
          <w:tcPr>
            <w:tcW w:w="832"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Daňová odpisová sadzba alebo koeficient</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Stavby</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40,00</w:t>
            </w:r>
          </w:p>
        </w:tc>
        <w:tc>
          <w:tcPr>
            <w:tcW w:w="834"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Časová</w:t>
            </w:r>
          </w:p>
        </w:tc>
        <w:tc>
          <w:tcPr>
            <w:tcW w:w="834"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Rovnomerné</w:t>
            </w:r>
          </w:p>
        </w:tc>
        <w:tc>
          <w:tcPr>
            <w:tcW w:w="834"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2,5%</w:t>
            </w:r>
          </w:p>
        </w:tc>
        <w:tc>
          <w:tcPr>
            <w:tcW w:w="832"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2,5%</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lastRenderedPageBreak/>
              <w:t>samostatne hnuteľné veci</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4,00</w:t>
            </w:r>
          </w:p>
        </w:tc>
        <w:tc>
          <w:tcPr>
            <w:tcW w:w="834"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Časová</w:t>
            </w:r>
          </w:p>
        </w:tc>
        <w:tc>
          <w:tcPr>
            <w:tcW w:w="834"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Rovnomerné</w:t>
            </w:r>
          </w:p>
        </w:tc>
        <w:tc>
          <w:tcPr>
            <w:tcW w:w="834"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25%</w:t>
            </w:r>
          </w:p>
        </w:tc>
        <w:tc>
          <w:tcPr>
            <w:tcW w:w="832"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25%</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32"/>
                <w:szCs w:val="32"/>
              </w:rPr>
            </w:pPr>
            <w:r w:rsidRPr="00CE4FC0">
              <w:rPr>
                <w:rFonts w:ascii="Calibri" w:eastAsia="Times New Roman" w:hAnsi="Calibri" w:cs="Times New Roman"/>
                <w:b/>
                <w:sz w:val="32"/>
                <w:szCs w:val="32"/>
              </w:rPr>
              <w:t>Článok III - Informácie, ktoré vysvetľujú a doplňujú položky súvahy</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28"/>
                <w:szCs w:val="28"/>
              </w:rPr>
            </w:pPr>
            <w:r w:rsidRPr="00CE4FC0">
              <w:rPr>
                <w:rFonts w:ascii="Calibri" w:eastAsia="Times New Roman" w:hAnsi="Calibri" w:cs="Times New Roman"/>
                <w:b/>
                <w:sz w:val="28"/>
                <w:szCs w:val="28"/>
              </w:rPr>
              <w:t>III. 1) Aktíva</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rPr>
            </w:pPr>
            <w:r w:rsidRPr="00CE4FC0">
              <w:rPr>
                <w:rFonts w:ascii="Calibri" w:eastAsia="Times New Roman" w:hAnsi="Calibri" w:cs="Times New Roman"/>
                <w:b/>
              </w:rPr>
              <w:t>III. 1a) Dlhodobý  majetok</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0"/>
        <w:gridCol w:w="849"/>
        <w:gridCol w:w="1001"/>
        <w:gridCol w:w="1135"/>
        <w:gridCol w:w="901"/>
        <w:gridCol w:w="792"/>
        <w:gridCol w:w="960"/>
        <w:gridCol w:w="1023"/>
        <w:gridCol w:w="1133"/>
        <w:gridCol w:w="1100"/>
      </w:tblGrid>
      <w:tr w:rsidR="00CE4FC0" w:rsidRPr="00CE4FC0" w:rsidTr="00D60C0F">
        <w:tc>
          <w:tcPr>
            <w:tcW w:w="5000" w:type="pct"/>
            <w:gridSpan w:val="10"/>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1 a1-3c) Dlhodobý majetok hmotný - bežné účtovné obdobie</w:t>
            </w:r>
          </w:p>
        </w:tc>
      </w:tr>
      <w:tr w:rsidR="00CE4FC0" w:rsidRPr="00CE4FC0" w:rsidTr="00D60C0F">
        <w:tc>
          <w:tcPr>
            <w:tcW w:w="487"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Položka</w:t>
            </w:r>
          </w:p>
        </w:tc>
        <w:tc>
          <w:tcPr>
            <w:tcW w:w="431"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Pozemky</w:t>
            </w:r>
          </w:p>
        </w:tc>
        <w:tc>
          <w:tcPr>
            <w:tcW w:w="50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Stavby</w:t>
            </w:r>
          </w:p>
        </w:tc>
        <w:tc>
          <w:tcPr>
            <w:tcW w:w="57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Samostatné hnuteľné veci a súbory hnuteľných vecí</w:t>
            </w:r>
          </w:p>
        </w:tc>
        <w:tc>
          <w:tcPr>
            <w:tcW w:w="457"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Pesto-vateľské celky trvalých porastov</w:t>
            </w:r>
          </w:p>
        </w:tc>
        <w:tc>
          <w:tcPr>
            <w:tcW w:w="402"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Základné stádo a ťažné zvieratá</w:t>
            </w:r>
          </w:p>
        </w:tc>
        <w:tc>
          <w:tcPr>
            <w:tcW w:w="487"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Ostatný DHM</w:t>
            </w:r>
          </w:p>
        </w:tc>
        <w:tc>
          <w:tcPr>
            <w:tcW w:w="519"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Obstarávaný DHM</w:t>
            </w:r>
          </w:p>
        </w:tc>
        <w:tc>
          <w:tcPr>
            <w:tcW w:w="575"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Poskytnuté preddavky na DHM</w:t>
            </w:r>
          </w:p>
        </w:tc>
        <w:tc>
          <w:tcPr>
            <w:tcW w:w="55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Spolu</w:t>
            </w:r>
          </w:p>
        </w:tc>
      </w:tr>
      <w:tr w:rsidR="00CE4FC0" w:rsidRPr="00CE4FC0" w:rsidTr="00D60C0F">
        <w:tc>
          <w:tcPr>
            <w:tcW w:w="5000" w:type="pct"/>
            <w:gridSpan w:val="10"/>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Prvotné ocenenie</w:t>
            </w:r>
          </w:p>
        </w:tc>
      </w:tr>
      <w:tr w:rsidR="00CE4FC0" w:rsidRPr="00CE4FC0" w:rsidTr="00D60C0F">
        <w:tc>
          <w:tcPr>
            <w:tcW w:w="487"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začiatku účtovného obdobia</w:t>
            </w:r>
          </w:p>
        </w:tc>
        <w:tc>
          <w:tcPr>
            <w:tcW w:w="431"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11 174</w:t>
            </w:r>
          </w:p>
        </w:tc>
        <w:tc>
          <w:tcPr>
            <w:tcW w:w="50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125 722</w:t>
            </w:r>
          </w:p>
        </w:tc>
        <w:tc>
          <w:tcPr>
            <w:tcW w:w="57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1 214 426</w:t>
            </w:r>
          </w:p>
        </w:tc>
        <w:tc>
          <w:tcPr>
            <w:tcW w:w="45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02"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215 854</w:t>
            </w:r>
          </w:p>
        </w:tc>
        <w:tc>
          <w:tcPr>
            <w:tcW w:w="5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75"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5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1 567 176</w:t>
            </w:r>
          </w:p>
        </w:tc>
      </w:tr>
      <w:tr w:rsidR="00CE4FC0" w:rsidRPr="00CE4FC0" w:rsidTr="00D60C0F">
        <w:tc>
          <w:tcPr>
            <w:tcW w:w="48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Prírastky</w:t>
            </w:r>
          </w:p>
        </w:tc>
        <w:tc>
          <w:tcPr>
            <w:tcW w:w="431" w:type="pct"/>
          </w:tcPr>
          <w:p w:rsidR="00CE4FC0" w:rsidRPr="00CE4FC0" w:rsidRDefault="00CE4FC0" w:rsidP="00CE4FC0">
            <w:pPr>
              <w:jc w:val="right"/>
              <w:rPr>
                <w:rFonts w:ascii="Calibri" w:eastAsia="Times New Roman" w:hAnsi="Calibri" w:cs="Times New Roman"/>
                <w:sz w:val="20"/>
                <w:szCs w:val="20"/>
              </w:rPr>
            </w:pPr>
          </w:p>
        </w:tc>
        <w:tc>
          <w:tcPr>
            <w:tcW w:w="508" w:type="pct"/>
          </w:tcPr>
          <w:p w:rsidR="00CE4FC0" w:rsidRPr="00CE4FC0" w:rsidRDefault="00CE4FC0" w:rsidP="00CE4FC0">
            <w:pPr>
              <w:jc w:val="right"/>
              <w:rPr>
                <w:rFonts w:ascii="Calibri" w:eastAsia="Times New Roman" w:hAnsi="Calibri" w:cs="Times New Roman"/>
                <w:sz w:val="20"/>
                <w:szCs w:val="20"/>
              </w:rPr>
            </w:pPr>
          </w:p>
        </w:tc>
        <w:tc>
          <w:tcPr>
            <w:tcW w:w="57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357 971</w:t>
            </w:r>
          </w:p>
        </w:tc>
        <w:tc>
          <w:tcPr>
            <w:tcW w:w="457" w:type="pct"/>
          </w:tcPr>
          <w:p w:rsidR="00CE4FC0" w:rsidRPr="00CE4FC0" w:rsidRDefault="00CE4FC0" w:rsidP="00CE4FC0">
            <w:pPr>
              <w:jc w:val="right"/>
              <w:rPr>
                <w:rFonts w:ascii="Calibri" w:eastAsia="Times New Roman" w:hAnsi="Calibri" w:cs="Times New Roman"/>
                <w:sz w:val="20"/>
                <w:szCs w:val="20"/>
              </w:rPr>
            </w:pPr>
          </w:p>
        </w:tc>
        <w:tc>
          <w:tcPr>
            <w:tcW w:w="402" w:type="pct"/>
          </w:tcPr>
          <w:p w:rsidR="00CE4FC0" w:rsidRPr="00CE4FC0" w:rsidRDefault="00CE4FC0" w:rsidP="00CE4FC0">
            <w:pPr>
              <w:jc w:val="right"/>
              <w:rPr>
                <w:rFonts w:ascii="Calibri" w:eastAsia="Times New Roman" w:hAnsi="Calibri" w:cs="Times New Roman"/>
                <w:sz w:val="20"/>
                <w:szCs w:val="20"/>
              </w:rPr>
            </w:pPr>
          </w:p>
        </w:tc>
        <w:tc>
          <w:tcPr>
            <w:tcW w:w="487" w:type="pct"/>
          </w:tcPr>
          <w:p w:rsidR="00CE4FC0" w:rsidRPr="00CE4FC0" w:rsidRDefault="00CE4FC0" w:rsidP="00CE4FC0">
            <w:pPr>
              <w:jc w:val="right"/>
              <w:rPr>
                <w:rFonts w:ascii="Calibri" w:eastAsia="Times New Roman" w:hAnsi="Calibri" w:cs="Times New Roman"/>
                <w:sz w:val="20"/>
                <w:szCs w:val="20"/>
              </w:rPr>
            </w:pPr>
          </w:p>
        </w:tc>
        <w:tc>
          <w:tcPr>
            <w:tcW w:w="51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818 467</w:t>
            </w:r>
          </w:p>
        </w:tc>
        <w:tc>
          <w:tcPr>
            <w:tcW w:w="575"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17 860</w:t>
            </w:r>
          </w:p>
        </w:tc>
        <w:tc>
          <w:tcPr>
            <w:tcW w:w="55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1 194 298</w:t>
            </w:r>
          </w:p>
        </w:tc>
      </w:tr>
      <w:tr w:rsidR="00CE4FC0" w:rsidRPr="00CE4FC0" w:rsidTr="00D60C0F">
        <w:tc>
          <w:tcPr>
            <w:tcW w:w="48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Úbytky</w:t>
            </w:r>
          </w:p>
        </w:tc>
        <w:tc>
          <w:tcPr>
            <w:tcW w:w="431" w:type="pct"/>
          </w:tcPr>
          <w:p w:rsidR="00CE4FC0" w:rsidRPr="00CE4FC0" w:rsidRDefault="00CE4FC0" w:rsidP="00CE4FC0">
            <w:pPr>
              <w:jc w:val="right"/>
              <w:rPr>
                <w:rFonts w:ascii="Calibri" w:eastAsia="Times New Roman" w:hAnsi="Calibri" w:cs="Times New Roman"/>
                <w:sz w:val="20"/>
                <w:szCs w:val="20"/>
              </w:rPr>
            </w:pPr>
          </w:p>
        </w:tc>
        <w:tc>
          <w:tcPr>
            <w:tcW w:w="508" w:type="pct"/>
          </w:tcPr>
          <w:p w:rsidR="00CE4FC0" w:rsidRPr="00CE4FC0" w:rsidRDefault="00CE4FC0" w:rsidP="00CE4FC0">
            <w:pPr>
              <w:jc w:val="right"/>
              <w:rPr>
                <w:rFonts w:ascii="Calibri" w:eastAsia="Times New Roman" w:hAnsi="Calibri" w:cs="Times New Roman"/>
                <w:sz w:val="20"/>
                <w:szCs w:val="20"/>
              </w:rPr>
            </w:pPr>
          </w:p>
        </w:tc>
        <w:tc>
          <w:tcPr>
            <w:tcW w:w="57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626 397</w:t>
            </w:r>
          </w:p>
        </w:tc>
        <w:tc>
          <w:tcPr>
            <w:tcW w:w="457" w:type="pct"/>
          </w:tcPr>
          <w:p w:rsidR="00CE4FC0" w:rsidRPr="00CE4FC0" w:rsidRDefault="00CE4FC0" w:rsidP="00CE4FC0">
            <w:pPr>
              <w:jc w:val="right"/>
              <w:rPr>
                <w:rFonts w:ascii="Calibri" w:eastAsia="Times New Roman" w:hAnsi="Calibri" w:cs="Times New Roman"/>
                <w:sz w:val="20"/>
                <w:szCs w:val="20"/>
              </w:rPr>
            </w:pPr>
          </w:p>
        </w:tc>
        <w:tc>
          <w:tcPr>
            <w:tcW w:w="402" w:type="pct"/>
          </w:tcPr>
          <w:p w:rsidR="00CE4FC0" w:rsidRPr="00CE4FC0" w:rsidRDefault="00CE4FC0" w:rsidP="00CE4FC0">
            <w:pPr>
              <w:jc w:val="right"/>
              <w:rPr>
                <w:rFonts w:ascii="Calibri" w:eastAsia="Times New Roman" w:hAnsi="Calibri" w:cs="Times New Roman"/>
                <w:sz w:val="20"/>
                <w:szCs w:val="20"/>
              </w:rPr>
            </w:pPr>
          </w:p>
        </w:tc>
        <w:tc>
          <w:tcPr>
            <w:tcW w:w="48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9 469</w:t>
            </w:r>
          </w:p>
        </w:tc>
        <w:tc>
          <w:tcPr>
            <w:tcW w:w="51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357 971</w:t>
            </w:r>
          </w:p>
        </w:tc>
        <w:tc>
          <w:tcPr>
            <w:tcW w:w="575"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2 976</w:t>
            </w:r>
          </w:p>
        </w:tc>
        <w:tc>
          <w:tcPr>
            <w:tcW w:w="55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996 813</w:t>
            </w:r>
          </w:p>
        </w:tc>
      </w:tr>
      <w:tr w:rsidR="00CE4FC0" w:rsidRPr="00CE4FC0" w:rsidTr="00D60C0F">
        <w:tc>
          <w:tcPr>
            <w:tcW w:w="48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Presuny</w:t>
            </w:r>
          </w:p>
        </w:tc>
        <w:tc>
          <w:tcPr>
            <w:tcW w:w="431" w:type="pct"/>
          </w:tcPr>
          <w:p w:rsidR="00CE4FC0" w:rsidRPr="00CE4FC0" w:rsidRDefault="00CE4FC0" w:rsidP="00CE4FC0">
            <w:pPr>
              <w:jc w:val="right"/>
              <w:rPr>
                <w:rFonts w:ascii="Calibri" w:eastAsia="Times New Roman" w:hAnsi="Calibri" w:cs="Times New Roman"/>
                <w:sz w:val="20"/>
                <w:szCs w:val="20"/>
              </w:rPr>
            </w:pPr>
          </w:p>
        </w:tc>
        <w:tc>
          <w:tcPr>
            <w:tcW w:w="508" w:type="pct"/>
          </w:tcPr>
          <w:p w:rsidR="00CE4FC0" w:rsidRPr="00CE4FC0" w:rsidRDefault="00CE4FC0" w:rsidP="00CE4FC0">
            <w:pPr>
              <w:jc w:val="right"/>
              <w:rPr>
                <w:rFonts w:ascii="Calibri" w:eastAsia="Times New Roman" w:hAnsi="Calibri" w:cs="Times New Roman"/>
                <w:sz w:val="20"/>
                <w:szCs w:val="20"/>
              </w:rPr>
            </w:pPr>
          </w:p>
        </w:tc>
        <w:tc>
          <w:tcPr>
            <w:tcW w:w="576" w:type="pct"/>
          </w:tcPr>
          <w:p w:rsidR="00CE4FC0" w:rsidRPr="00CE4FC0" w:rsidRDefault="00CE4FC0" w:rsidP="00CE4FC0">
            <w:pPr>
              <w:jc w:val="right"/>
              <w:rPr>
                <w:rFonts w:ascii="Calibri" w:eastAsia="Times New Roman" w:hAnsi="Calibri" w:cs="Times New Roman"/>
                <w:sz w:val="20"/>
                <w:szCs w:val="20"/>
              </w:rPr>
            </w:pPr>
          </w:p>
        </w:tc>
        <w:tc>
          <w:tcPr>
            <w:tcW w:w="457" w:type="pct"/>
          </w:tcPr>
          <w:p w:rsidR="00CE4FC0" w:rsidRPr="00CE4FC0" w:rsidRDefault="00CE4FC0" w:rsidP="00CE4FC0">
            <w:pPr>
              <w:jc w:val="right"/>
              <w:rPr>
                <w:rFonts w:ascii="Calibri" w:eastAsia="Times New Roman" w:hAnsi="Calibri" w:cs="Times New Roman"/>
                <w:sz w:val="20"/>
                <w:szCs w:val="20"/>
              </w:rPr>
            </w:pPr>
          </w:p>
        </w:tc>
        <w:tc>
          <w:tcPr>
            <w:tcW w:w="402" w:type="pct"/>
          </w:tcPr>
          <w:p w:rsidR="00CE4FC0" w:rsidRPr="00CE4FC0" w:rsidRDefault="00CE4FC0" w:rsidP="00CE4FC0">
            <w:pPr>
              <w:jc w:val="right"/>
              <w:rPr>
                <w:rFonts w:ascii="Calibri" w:eastAsia="Times New Roman" w:hAnsi="Calibri" w:cs="Times New Roman"/>
                <w:sz w:val="20"/>
                <w:szCs w:val="20"/>
              </w:rPr>
            </w:pPr>
          </w:p>
        </w:tc>
        <w:tc>
          <w:tcPr>
            <w:tcW w:w="487" w:type="pct"/>
          </w:tcPr>
          <w:p w:rsidR="00CE4FC0" w:rsidRPr="00CE4FC0" w:rsidRDefault="00CE4FC0" w:rsidP="00CE4FC0">
            <w:pPr>
              <w:jc w:val="right"/>
              <w:rPr>
                <w:rFonts w:ascii="Calibri" w:eastAsia="Times New Roman" w:hAnsi="Calibri" w:cs="Times New Roman"/>
                <w:sz w:val="20"/>
                <w:szCs w:val="20"/>
              </w:rPr>
            </w:pPr>
          </w:p>
        </w:tc>
        <w:tc>
          <w:tcPr>
            <w:tcW w:w="519" w:type="pct"/>
          </w:tcPr>
          <w:p w:rsidR="00CE4FC0" w:rsidRPr="00CE4FC0" w:rsidRDefault="00CE4FC0" w:rsidP="00CE4FC0">
            <w:pPr>
              <w:jc w:val="right"/>
              <w:rPr>
                <w:rFonts w:ascii="Calibri" w:eastAsia="Times New Roman" w:hAnsi="Calibri" w:cs="Times New Roman"/>
                <w:sz w:val="20"/>
                <w:szCs w:val="20"/>
              </w:rPr>
            </w:pPr>
          </w:p>
        </w:tc>
        <w:tc>
          <w:tcPr>
            <w:tcW w:w="575" w:type="pct"/>
          </w:tcPr>
          <w:p w:rsidR="00CE4FC0" w:rsidRPr="00CE4FC0" w:rsidRDefault="00CE4FC0" w:rsidP="00CE4FC0">
            <w:pPr>
              <w:jc w:val="right"/>
              <w:rPr>
                <w:rFonts w:ascii="Calibri" w:eastAsia="Times New Roman" w:hAnsi="Calibri" w:cs="Times New Roman"/>
                <w:sz w:val="20"/>
                <w:szCs w:val="20"/>
              </w:rPr>
            </w:pPr>
          </w:p>
        </w:tc>
        <w:tc>
          <w:tcPr>
            <w:tcW w:w="558"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487"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konci účtovného obdobia</w:t>
            </w:r>
          </w:p>
        </w:tc>
        <w:tc>
          <w:tcPr>
            <w:tcW w:w="431"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11 174</w:t>
            </w:r>
          </w:p>
        </w:tc>
        <w:tc>
          <w:tcPr>
            <w:tcW w:w="50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125 722</w:t>
            </w:r>
          </w:p>
        </w:tc>
        <w:tc>
          <w:tcPr>
            <w:tcW w:w="57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946 000</w:t>
            </w:r>
          </w:p>
        </w:tc>
        <w:tc>
          <w:tcPr>
            <w:tcW w:w="45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02"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206 385</w:t>
            </w:r>
          </w:p>
        </w:tc>
        <w:tc>
          <w:tcPr>
            <w:tcW w:w="5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460 496</w:t>
            </w:r>
          </w:p>
        </w:tc>
        <w:tc>
          <w:tcPr>
            <w:tcW w:w="575"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14 884</w:t>
            </w:r>
          </w:p>
        </w:tc>
        <w:tc>
          <w:tcPr>
            <w:tcW w:w="55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1 764 661</w:t>
            </w:r>
          </w:p>
        </w:tc>
      </w:tr>
      <w:tr w:rsidR="00CE4FC0" w:rsidRPr="00CE4FC0" w:rsidTr="00D60C0F">
        <w:tc>
          <w:tcPr>
            <w:tcW w:w="5000" w:type="pct"/>
            <w:gridSpan w:val="10"/>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Oprávky</w:t>
            </w:r>
          </w:p>
        </w:tc>
      </w:tr>
      <w:tr w:rsidR="00CE4FC0" w:rsidRPr="00CE4FC0" w:rsidTr="00D60C0F">
        <w:tc>
          <w:tcPr>
            <w:tcW w:w="487"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začiatku účtovného obdobia</w:t>
            </w:r>
          </w:p>
        </w:tc>
        <w:tc>
          <w:tcPr>
            <w:tcW w:w="431"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0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11 851</w:t>
            </w:r>
          </w:p>
        </w:tc>
        <w:tc>
          <w:tcPr>
            <w:tcW w:w="57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617 205</w:t>
            </w:r>
          </w:p>
        </w:tc>
        <w:tc>
          <w:tcPr>
            <w:tcW w:w="45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02"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215 854</w:t>
            </w:r>
          </w:p>
        </w:tc>
        <w:tc>
          <w:tcPr>
            <w:tcW w:w="5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75"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5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844 910</w:t>
            </w:r>
          </w:p>
        </w:tc>
      </w:tr>
      <w:tr w:rsidR="00CE4FC0" w:rsidRPr="00CE4FC0" w:rsidTr="00D60C0F">
        <w:tc>
          <w:tcPr>
            <w:tcW w:w="48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Prírastky</w:t>
            </w:r>
          </w:p>
        </w:tc>
        <w:tc>
          <w:tcPr>
            <w:tcW w:w="431" w:type="pct"/>
          </w:tcPr>
          <w:p w:rsidR="00CE4FC0" w:rsidRPr="00CE4FC0" w:rsidRDefault="00CE4FC0" w:rsidP="00CE4FC0">
            <w:pPr>
              <w:jc w:val="right"/>
              <w:rPr>
                <w:rFonts w:ascii="Calibri" w:eastAsia="Times New Roman" w:hAnsi="Calibri" w:cs="Times New Roman"/>
                <w:sz w:val="20"/>
                <w:szCs w:val="20"/>
              </w:rPr>
            </w:pPr>
          </w:p>
        </w:tc>
        <w:tc>
          <w:tcPr>
            <w:tcW w:w="50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3 072</w:t>
            </w:r>
          </w:p>
        </w:tc>
        <w:tc>
          <w:tcPr>
            <w:tcW w:w="57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390 138</w:t>
            </w:r>
          </w:p>
        </w:tc>
        <w:tc>
          <w:tcPr>
            <w:tcW w:w="457" w:type="pct"/>
          </w:tcPr>
          <w:p w:rsidR="00CE4FC0" w:rsidRPr="00CE4FC0" w:rsidRDefault="00CE4FC0" w:rsidP="00CE4FC0">
            <w:pPr>
              <w:jc w:val="right"/>
              <w:rPr>
                <w:rFonts w:ascii="Calibri" w:eastAsia="Times New Roman" w:hAnsi="Calibri" w:cs="Times New Roman"/>
                <w:sz w:val="20"/>
                <w:szCs w:val="20"/>
              </w:rPr>
            </w:pPr>
          </w:p>
        </w:tc>
        <w:tc>
          <w:tcPr>
            <w:tcW w:w="402" w:type="pct"/>
          </w:tcPr>
          <w:p w:rsidR="00CE4FC0" w:rsidRPr="00CE4FC0" w:rsidRDefault="00CE4FC0" w:rsidP="00CE4FC0">
            <w:pPr>
              <w:jc w:val="right"/>
              <w:rPr>
                <w:rFonts w:ascii="Calibri" w:eastAsia="Times New Roman" w:hAnsi="Calibri" w:cs="Times New Roman"/>
                <w:sz w:val="20"/>
                <w:szCs w:val="20"/>
              </w:rPr>
            </w:pPr>
          </w:p>
        </w:tc>
        <w:tc>
          <w:tcPr>
            <w:tcW w:w="487" w:type="pct"/>
          </w:tcPr>
          <w:p w:rsidR="00CE4FC0" w:rsidRPr="00CE4FC0" w:rsidRDefault="00CE4FC0" w:rsidP="00CE4FC0">
            <w:pPr>
              <w:jc w:val="right"/>
              <w:rPr>
                <w:rFonts w:ascii="Calibri" w:eastAsia="Times New Roman" w:hAnsi="Calibri" w:cs="Times New Roman"/>
                <w:sz w:val="20"/>
                <w:szCs w:val="20"/>
              </w:rPr>
            </w:pPr>
          </w:p>
        </w:tc>
        <w:tc>
          <w:tcPr>
            <w:tcW w:w="519" w:type="pct"/>
          </w:tcPr>
          <w:p w:rsidR="00CE4FC0" w:rsidRPr="00CE4FC0" w:rsidRDefault="00CE4FC0" w:rsidP="00CE4FC0">
            <w:pPr>
              <w:jc w:val="right"/>
              <w:rPr>
                <w:rFonts w:ascii="Calibri" w:eastAsia="Times New Roman" w:hAnsi="Calibri" w:cs="Times New Roman"/>
                <w:sz w:val="20"/>
                <w:szCs w:val="20"/>
              </w:rPr>
            </w:pPr>
          </w:p>
        </w:tc>
        <w:tc>
          <w:tcPr>
            <w:tcW w:w="575" w:type="pct"/>
          </w:tcPr>
          <w:p w:rsidR="00CE4FC0" w:rsidRPr="00CE4FC0" w:rsidRDefault="00CE4FC0" w:rsidP="00CE4FC0">
            <w:pPr>
              <w:jc w:val="right"/>
              <w:rPr>
                <w:rFonts w:ascii="Calibri" w:eastAsia="Times New Roman" w:hAnsi="Calibri" w:cs="Times New Roman"/>
                <w:sz w:val="20"/>
                <w:szCs w:val="20"/>
              </w:rPr>
            </w:pPr>
          </w:p>
        </w:tc>
        <w:tc>
          <w:tcPr>
            <w:tcW w:w="55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393 210</w:t>
            </w:r>
          </w:p>
        </w:tc>
      </w:tr>
      <w:tr w:rsidR="00CE4FC0" w:rsidRPr="00CE4FC0" w:rsidTr="00D60C0F">
        <w:tc>
          <w:tcPr>
            <w:tcW w:w="48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Úbytky</w:t>
            </w:r>
          </w:p>
        </w:tc>
        <w:tc>
          <w:tcPr>
            <w:tcW w:w="431" w:type="pct"/>
          </w:tcPr>
          <w:p w:rsidR="00CE4FC0" w:rsidRPr="00CE4FC0" w:rsidRDefault="00CE4FC0" w:rsidP="00CE4FC0">
            <w:pPr>
              <w:jc w:val="right"/>
              <w:rPr>
                <w:rFonts w:ascii="Calibri" w:eastAsia="Times New Roman" w:hAnsi="Calibri" w:cs="Times New Roman"/>
                <w:sz w:val="20"/>
                <w:szCs w:val="20"/>
              </w:rPr>
            </w:pPr>
          </w:p>
        </w:tc>
        <w:tc>
          <w:tcPr>
            <w:tcW w:w="508" w:type="pct"/>
          </w:tcPr>
          <w:p w:rsidR="00CE4FC0" w:rsidRPr="00CE4FC0" w:rsidRDefault="00CE4FC0" w:rsidP="00CE4FC0">
            <w:pPr>
              <w:jc w:val="right"/>
              <w:rPr>
                <w:rFonts w:ascii="Calibri" w:eastAsia="Times New Roman" w:hAnsi="Calibri" w:cs="Times New Roman"/>
                <w:sz w:val="20"/>
                <w:szCs w:val="20"/>
              </w:rPr>
            </w:pPr>
          </w:p>
        </w:tc>
        <w:tc>
          <w:tcPr>
            <w:tcW w:w="57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626 396</w:t>
            </w:r>
          </w:p>
        </w:tc>
        <w:tc>
          <w:tcPr>
            <w:tcW w:w="457" w:type="pct"/>
          </w:tcPr>
          <w:p w:rsidR="00CE4FC0" w:rsidRPr="00CE4FC0" w:rsidRDefault="00CE4FC0" w:rsidP="00CE4FC0">
            <w:pPr>
              <w:jc w:val="right"/>
              <w:rPr>
                <w:rFonts w:ascii="Calibri" w:eastAsia="Times New Roman" w:hAnsi="Calibri" w:cs="Times New Roman"/>
                <w:sz w:val="20"/>
                <w:szCs w:val="20"/>
              </w:rPr>
            </w:pPr>
          </w:p>
        </w:tc>
        <w:tc>
          <w:tcPr>
            <w:tcW w:w="402" w:type="pct"/>
          </w:tcPr>
          <w:p w:rsidR="00CE4FC0" w:rsidRPr="00CE4FC0" w:rsidRDefault="00CE4FC0" w:rsidP="00CE4FC0">
            <w:pPr>
              <w:jc w:val="right"/>
              <w:rPr>
                <w:rFonts w:ascii="Calibri" w:eastAsia="Times New Roman" w:hAnsi="Calibri" w:cs="Times New Roman"/>
                <w:sz w:val="20"/>
                <w:szCs w:val="20"/>
              </w:rPr>
            </w:pPr>
          </w:p>
        </w:tc>
        <w:tc>
          <w:tcPr>
            <w:tcW w:w="48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9 469</w:t>
            </w:r>
          </w:p>
        </w:tc>
        <w:tc>
          <w:tcPr>
            <w:tcW w:w="519" w:type="pct"/>
          </w:tcPr>
          <w:p w:rsidR="00CE4FC0" w:rsidRPr="00CE4FC0" w:rsidRDefault="00CE4FC0" w:rsidP="00CE4FC0">
            <w:pPr>
              <w:jc w:val="right"/>
              <w:rPr>
                <w:rFonts w:ascii="Calibri" w:eastAsia="Times New Roman" w:hAnsi="Calibri" w:cs="Times New Roman"/>
                <w:sz w:val="20"/>
                <w:szCs w:val="20"/>
              </w:rPr>
            </w:pPr>
          </w:p>
        </w:tc>
        <w:tc>
          <w:tcPr>
            <w:tcW w:w="575" w:type="pct"/>
          </w:tcPr>
          <w:p w:rsidR="00CE4FC0" w:rsidRPr="00CE4FC0" w:rsidRDefault="00CE4FC0" w:rsidP="00CE4FC0">
            <w:pPr>
              <w:jc w:val="right"/>
              <w:rPr>
                <w:rFonts w:ascii="Calibri" w:eastAsia="Times New Roman" w:hAnsi="Calibri" w:cs="Times New Roman"/>
                <w:sz w:val="20"/>
                <w:szCs w:val="20"/>
              </w:rPr>
            </w:pPr>
          </w:p>
        </w:tc>
        <w:tc>
          <w:tcPr>
            <w:tcW w:w="55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635 865</w:t>
            </w:r>
          </w:p>
        </w:tc>
      </w:tr>
      <w:tr w:rsidR="00CE4FC0" w:rsidRPr="00CE4FC0" w:rsidTr="00D60C0F">
        <w:tc>
          <w:tcPr>
            <w:tcW w:w="487"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konci účtovného obdobia</w:t>
            </w:r>
          </w:p>
        </w:tc>
        <w:tc>
          <w:tcPr>
            <w:tcW w:w="431"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0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14 923</w:t>
            </w:r>
          </w:p>
        </w:tc>
        <w:tc>
          <w:tcPr>
            <w:tcW w:w="57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380 947</w:t>
            </w:r>
          </w:p>
        </w:tc>
        <w:tc>
          <w:tcPr>
            <w:tcW w:w="45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02"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206 385</w:t>
            </w:r>
          </w:p>
        </w:tc>
        <w:tc>
          <w:tcPr>
            <w:tcW w:w="5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75"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5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602 255</w:t>
            </w:r>
          </w:p>
        </w:tc>
      </w:tr>
      <w:tr w:rsidR="00CE4FC0" w:rsidRPr="00CE4FC0" w:rsidTr="00D60C0F">
        <w:tc>
          <w:tcPr>
            <w:tcW w:w="5000" w:type="pct"/>
            <w:gridSpan w:val="10"/>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Opravné položky</w:t>
            </w:r>
          </w:p>
        </w:tc>
      </w:tr>
      <w:tr w:rsidR="00CE4FC0" w:rsidRPr="00CE4FC0" w:rsidTr="00D60C0F">
        <w:tc>
          <w:tcPr>
            <w:tcW w:w="487"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začiatku účtovného obdobia</w:t>
            </w:r>
          </w:p>
        </w:tc>
        <w:tc>
          <w:tcPr>
            <w:tcW w:w="431"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0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7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57" w:type="pct"/>
          </w:tcPr>
          <w:p w:rsidR="00CE4FC0" w:rsidRPr="00CE4FC0" w:rsidRDefault="00CE4FC0" w:rsidP="00CE4FC0">
            <w:pPr>
              <w:jc w:val="right"/>
              <w:rPr>
                <w:rFonts w:ascii="Calibri" w:eastAsia="Times New Roman" w:hAnsi="Calibri" w:cs="Times New Roman"/>
                <w:b/>
                <w:sz w:val="20"/>
                <w:szCs w:val="20"/>
              </w:rPr>
            </w:pPr>
          </w:p>
        </w:tc>
        <w:tc>
          <w:tcPr>
            <w:tcW w:w="402" w:type="pct"/>
          </w:tcPr>
          <w:p w:rsidR="00CE4FC0" w:rsidRPr="00CE4FC0" w:rsidRDefault="00CE4FC0" w:rsidP="00CE4FC0">
            <w:pPr>
              <w:jc w:val="right"/>
              <w:rPr>
                <w:rFonts w:ascii="Calibri" w:eastAsia="Times New Roman" w:hAnsi="Calibri" w:cs="Times New Roman"/>
                <w:b/>
                <w:sz w:val="20"/>
                <w:szCs w:val="20"/>
              </w:rPr>
            </w:pPr>
          </w:p>
        </w:tc>
        <w:tc>
          <w:tcPr>
            <w:tcW w:w="48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75" w:type="pct"/>
          </w:tcPr>
          <w:p w:rsidR="00CE4FC0" w:rsidRPr="00CE4FC0" w:rsidRDefault="00CE4FC0" w:rsidP="00CE4FC0">
            <w:pPr>
              <w:jc w:val="right"/>
              <w:rPr>
                <w:rFonts w:ascii="Calibri" w:eastAsia="Times New Roman" w:hAnsi="Calibri" w:cs="Times New Roman"/>
                <w:b/>
                <w:sz w:val="20"/>
                <w:szCs w:val="20"/>
              </w:rPr>
            </w:pPr>
          </w:p>
        </w:tc>
        <w:tc>
          <w:tcPr>
            <w:tcW w:w="55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r>
      <w:tr w:rsidR="00CE4FC0" w:rsidRPr="00CE4FC0" w:rsidTr="00D60C0F">
        <w:tc>
          <w:tcPr>
            <w:tcW w:w="48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Prírastky</w:t>
            </w:r>
          </w:p>
        </w:tc>
        <w:tc>
          <w:tcPr>
            <w:tcW w:w="431" w:type="pct"/>
          </w:tcPr>
          <w:p w:rsidR="00CE4FC0" w:rsidRPr="00CE4FC0" w:rsidRDefault="00CE4FC0" w:rsidP="00CE4FC0">
            <w:pPr>
              <w:jc w:val="right"/>
              <w:rPr>
                <w:rFonts w:ascii="Calibri" w:eastAsia="Times New Roman" w:hAnsi="Calibri" w:cs="Times New Roman"/>
                <w:sz w:val="20"/>
                <w:szCs w:val="20"/>
              </w:rPr>
            </w:pPr>
          </w:p>
        </w:tc>
        <w:tc>
          <w:tcPr>
            <w:tcW w:w="508" w:type="pct"/>
          </w:tcPr>
          <w:p w:rsidR="00CE4FC0" w:rsidRPr="00CE4FC0" w:rsidRDefault="00CE4FC0" w:rsidP="00CE4FC0">
            <w:pPr>
              <w:jc w:val="right"/>
              <w:rPr>
                <w:rFonts w:ascii="Calibri" w:eastAsia="Times New Roman" w:hAnsi="Calibri" w:cs="Times New Roman"/>
                <w:sz w:val="20"/>
                <w:szCs w:val="20"/>
              </w:rPr>
            </w:pPr>
          </w:p>
        </w:tc>
        <w:tc>
          <w:tcPr>
            <w:tcW w:w="576" w:type="pct"/>
          </w:tcPr>
          <w:p w:rsidR="00CE4FC0" w:rsidRPr="00CE4FC0" w:rsidRDefault="00CE4FC0" w:rsidP="00CE4FC0">
            <w:pPr>
              <w:jc w:val="right"/>
              <w:rPr>
                <w:rFonts w:ascii="Calibri" w:eastAsia="Times New Roman" w:hAnsi="Calibri" w:cs="Times New Roman"/>
                <w:sz w:val="20"/>
                <w:szCs w:val="20"/>
              </w:rPr>
            </w:pPr>
          </w:p>
        </w:tc>
        <w:tc>
          <w:tcPr>
            <w:tcW w:w="457" w:type="pct"/>
          </w:tcPr>
          <w:p w:rsidR="00CE4FC0" w:rsidRPr="00CE4FC0" w:rsidRDefault="00CE4FC0" w:rsidP="00CE4FC0">
            <w:pPr>
              <w:jc w:val="right"/>
              <w:rPr>
                <w:rFonts w:ascii="Calibri" w:eastAsia="Times New Roman" w:hAnsi="Calibri" w:cs="Times New Roman"/>
                <w:sz w:val="20"/>
                <w:szCs w:val="20"/>
              </w:rPr>
            </w:pPr>
          </w:p>
        </w:tc>
        <w:tc>
          <w:tcPr>
            <w:tcW w:w="402" w:type="pct"/>
          </w:tcPr>
          <w:p w:rsidR="00CE4FC0" w:rsidRPr="00CE4FC0" w:rsidRDefault="00CE4FC0" w:rsidP="00CE4FC0">
            <w:pPr>
              <w:jc w:val="right"/>
              <w:rPr>
                <w:rFonts w:ascii="Calibri" w:eastAsia="Times New Roman" w:hAnsi="Calibri" w:cs="Times New Roman"/>
                <w:sz w:val="20"/>
                <w:szCs w:val="20"/>
              </w:rPr>
            </w:pPr>
          </w:p>
        </w:tc>
        <w:tc>
          <w:tcPr>
            <w:tcW w:w="487" w:type="pct"/>
          </w:tcPr>
          <w:p w:rsidR="00CE4FC0" w:rsidRPr="00CE4FC0" w:rsidRDefault="00CE4FC0" w:rsidP="00CE4FC0">
            <w:pPr>
              <w:jc w:val="right"/>
              <w:rPr>
                <w:rFonts w:ascii="Calibri" w:eastAsia="Times New Roman" w:hAnsi="Calibri" w:cs="Times New Roman"/>
                <w:sz w:val="20"/>
                <w:szCs w:val="20"/>
              </w:rPr>
            </w:pPr>
          </w:p>
        </w:tc>
        <w:tc>
          <w:tcPr>
            <w:tcW w:w="519" w:type="pct"/>
          </w:tcPr>
          <w:p w:rsidR="00CE4FC0" w:rsidRPr="00CE4FC0" w:rsidRDefault="00CE4FC0" w:rsidP="00CE4FC0">
            <w:pPr>
              <w:jc w:val="right"/>
              <w:rPr>
                <w:rFonts w:ascii="Calibri" w:eastAsia="Times New Roman" w:hAnsi="Calibri" w:cs="Times New Roman"/>
                <w:sz w:val="20"/>
                <w:szCs w:val="20"/>
              </w:rPr>
            </w:pPr>
          </w:p>
        </w:tc>
        <w:tc>
          <w:tcPr>
            <w:tcW w:w="575" w:type="pct"/>
          </w:tcPr>
          <w:p w:rsidR="00CE4FC0" w:rsidRPr="00CE4FC0" w:rsidRDefault="00CE4FC0" w:rsidP="00CE4FC0">
            <w:pPr>
              <w:jc w:val="right"/>
              <w:rPr>
                <w:rFonts w:ascii="Calibri" w:eastAsia="Times New Roman" w:hAnsi="Calibri" w:cs="Times New Roman"/>
                <w:sz w:val="20"/>
                <w:szCs w:val="20"/>
              </w:rPr>
            </w:pPr>
          </w:p>
        </w:tc>
        <w:tc>
          <w:tcPr>
            <w:tcW w:w="558"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48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lastRenderedPageBreak/>
              <w:t>Úbytky</w:t>
            </w:r>
          </w:p>
        </w:tc>
        <w:tc>
          <w:tcPr>
            <w:tcW w:w="431" w:type="pct"/>
          </w:tcPr>
          <w:p w:rsidR="00CE4FC0" w:rsidRPr="00CE4FC0" w:rsidRDefault="00CE4FC0" w:rsidP="00CE4FC0">
            <w:pPr>
              <w:jc w:val="right"/>
              <w:rPr>
                <w:rFonts w:ascii="Calibri" w:eastAsia="Times New Roman" w:hAnsi="Calibri" w:cs="Times New Roman"/>
                <w:sz w:val="20"/>
                <w:szCs w:val="20"/>
              </w:rPr>
            </w:pPr>
          </w:p>
        </w:tc>
        <w:tc>
          <w:tcPr>
            <w:tcW w:w="508" w:type="pct"/>
          </w:tcPr>
          <w:p w:rsidR="00CE4FC0" w:rsidRPr="00CE4FC0" w:rsidRDefault="00CE4FC0" w:rsidP="00CE4FC0">
            <w:pPr>
              <w:jc w:val="right"/>
              <w:rPr>
                <w:rFonts w:ascii="Calibri" w:eastAsia="Times New Roman" w:hAnsi="Calibri" w:cs="Times New Roman"/>
                <w:sz w:val="20"/>
                <w:szCs w:val="20"/>
              </w:rPr>
            </w:pPr>
          </w:p>
        </w:tc>
        <w:tc>
          <w:tcPr>
            <w:tcW w:w="576" w:type="pct"/>
          </w:tcPr>
          <w:p w:rsidR="00CE4FC0" w:rsidRPr="00CE4FC0" w:rsidRDefault="00CE4FC0" w:rsidP="00CE4FC0">
            <w:pPr>
              <w:jc w:val="right"/>
              <w:rPr>
                <w:rFonts w:ascii="Calibri" w:eastAsia="Times New Roman" w:hAnsi="Calibri" w:cs="Times New Roman"/>
                <w:sz w:val="20"/>
                <w:szCs w:val="20"/>
              </w:rPr>
            </w:pPr>
          </w:p>
        </w:tc>
        <w:tc>
          <w:tcPr>
            <w:tcW w:w="457" w:type="pct"/>
          </w:tcPr>
          <w:p w:rsidR="00CE4FC0" w:rsidRPr="00CE4FC0" w:rsidRDefault="00CE4FC0" w:rsidP="00CE4FC0">
            <w:pPr>
              <w:jc w:val="right"/>
              <w:rPr>
                <w:rFonts w:ascii="Calibri" w:eastAsia="Times New Roman" w:hAnsi="Calibri" w:cs="Times New Roman"/>
                <w:sz w:val="20"/>
                <w:szCs w:val="20"/>
              </w:rPr>
            </w:pPr>
          </w:p>
        </w:tc>
        <w:tc>
          <w:tcPr>
            <w:tcW w:w="402" w:type="pct"/>
          </w:tcPr>
          <w:p w:rsidR="00CE4FC0" w:rsidRPr="00CE4FC0" w:rsidRDefault="00CE4FC0" w:rsidP="00CE4FC0">
            <w:pPr>
              <w:jc w:val="right"/>
              <w:rPr>
                <w:rFonts w:ascii="Calibri" w:eastAsia="Times New Roman" w:hAnsi="Calibri" w:cs="Times New Roman"/>
                <w:sz w:val="20"/>
                <w:szCs w:val="20"/>
              </w:rPr>
            </w:pPr>
          </w:p>
        </w:tc>
        <w:tc>
          <w:tcPr>
            <w:tcW w:w="487" w:type="pct"/>
          </w:tcPr>
          <w:p w:rsidR="00CE4FC0" w:rsidRPr="00CE4FC0" w:rsidRDefault="00CE4FC0" w:rsidP="00CE4FC0">
            <w:pPr>
              <w:jc w:val="right"/>
              <w:rPr>
                <w:rFonts w:ascii="Calibri" w:eastAsia="Times New Roman" w:hAnsi="Calibri" w:cs="Times New Roman"/>
                <w:sz w:val="20"/>
                <w:szCs w:val="20"/>
              </w:rPr>
            </w:pPr>
          </w:p>
        </w:tc>
        <w:tc>
          <w:tcPr>
            <w:tcW w:w="519" w:type="pct"/>
          </w:tcPr>
          <w:p w:rsidR="00CE4FC0" w:rsidRPr="00CE4FC0" w:rsidRDefault="00CE4FC0" w:rsidP="00CE4FC0">
            <w:pPr>
              <w:jc w:val="right"/>
              <w:rPr>
                <w:rFonts w:ascii="Calibri" w:eastAsia="Times New Roman" w:hAnsi="Calibri" w:cs="Times New Roman"/>
                <w:sz w:val="20"/>
                <w:szCs w:val="20"/>
              </w:rPr>
            </w:pPr>
          </w:p>
        </w:tc>
        <w:tc>
          <w:tcPr>
            <w:tcW w:w="575" w:type="pct"/>
          </w:tcPr>
          <w:p w:rsidR="00CE4FC0" w:rsidRPr="00CE4FC0" w:rsidRDefault="00CE4FC0" w:rsidP="00CE4FC0">
            <w:pPr>
              <w:jc w:val="right"/>
              <w:rPr>
                <w:rFonts w:ascii="Calibri" w:eastAsia="Times New Roman" w:hAnsi="Calibri" w:cs="Times New Roman"/>
                <w:sz w:val="20"/>
                <w:szCs w:val="20"/>
              </w:rPr>
            </w:pPr>
          </w:p>
        </w:tc>
        <w:tc>
          <w:tcPr>
            <w:tcW w:w="558"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487"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konci účtovného obdobia</w:t>
            </w:r>
          </w:p>
        </w:tc>
        <w:tc>
          <w:tcPr>
            <w:tcW w:w="431"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0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7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57" w:type="pct"/>
          </w:tcPr>
          <w:p w:rsidR="00CE4FC0" w:rsidRPr="00CE4FC0" w:rsidRDefault="00CE4FC0" w:rsidP="00CE4FC0">
            <w:pPr>
              <w:jc w:val="right"/>
              <w:rPr>
                <w:rFonts w:ascii="Calibri" w:eastAsia="Times New Roman" w:hAnsi="Calibri" w:cs="Times New Roman"/>
                <w:b/>
                <w:sz w:val="20"/>
                <w:szCs w:val="20"/>
              </w:rPr>
            </w:pPr>
          </w:p>
        </w:tc>
        <w:tc>
          <w:tcPr>
            <w:tcW w:w="402" w:type="pct"/>
          </w:tcPr>
          <w:p w:rsidR="00CE4FC0" w:rsidRPr="00CE4FC0" w:rsidRDefault="00CE4FC0" w:rsidP="00CE4FC0">
            <w:pPr>
              <w:jc w:val="right"/>
              <w:rPr>
                <w:rFonts w:ascii="Calibri" w:eastAsia="Times New Roman" w:hAnsi="Calibri" w:cs="Times New Roman"/>
                <w:b/>
                <w:sz w:val="20"/>
                <w:szCs w:val="20"/>
              </w:rPr>
            </w:pPr>
          </w:p>
        </w:tc>
        <w:tc>
          <w:tcPr>
            <w:tcW w:w="48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75" w:type="pct"/>
          </w:tcPr>
          <w:p w:rsidR="00CE4FC0" w:rsidRPr="00CE4FC0" w:rsidRDefault="00CE4FC0" w:rsidP="00CE4FC0">
            <w:pPr>
              <w:jc w:val="right"/>
              <w:rPr>
                <w:rFonts w:ascii="Calibri" w:eastAsia="Times New Roman" w:hAnsi="Calibri" w:cs="Times New Roman"/>
                <w:b/>
                <w:sz w:val="20"/>
                <w:szCs w:val="20"/>
              </w:rPr>
            </w:pPr>
          </w:p>
        </w:tc>
        <w:tc>
          <w:tcPr>
            <w:tcW w:w="55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r>
      <w:tr w:rsidR="00CE4FC0" w:rsidRPr="00CE4FC0" w:rsidTr="00D60C0F">
        <w:tc>
          <w:tcPr>
            <w:tcW w:w="5000" w:type="pct"/>
            <w:gridSpan w:val="10"/>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Zostatková hodnota</w:t>
            </w:r>
          </w:p>
        </w:tc>
      </w:tr>
      <w:tr w:rsidR="00CE4FC0" w:rsidRPr="00CE4FC0" w:rsidTr="00D60C0F">
        <w:tc>
          <w:tcPr>
            <w:tcW w:w="487"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začiatku účtovného obdobia</w:t>
            </w:r>
          </w:p>
        </w:tc>
        <w:tc>
          <w:tcPr>
            <w:tcW w:w="431"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11 174</w:t>
            </w:r>
          </w:p>
        </w:tc>
        <w:tc>
          <w:tcPr>
            <w:tcW w:w="50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113 871</w:t>
            </w:r>
          </w:p>
        </w:tc>
        <w:tc>
          <w:tcPr>
            <w:tcW w:w="57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597 221</w:t>
            </w:r>
          </w:p>
        </w:tc>
        <w:tc>
          <w:tcPr>
            <w:tcW w:w="45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02"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75"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5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722 266</w:t>
            </w:r>
          </w:p>
        </w:tc>
      </w:tr>
      <w:tr w:rsidR="00CE4FC0" w:rsidRPr="00CE4FC0" w:rsidTr="00D60C0F">
        <w:tc>
          <w:tcPr>
            <w:tcW w:w="487"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konci účtovného obdobia</w:t>
            </w:r>
          </w:p>
        </w:tc>
        <w:tc>
          <w:tcPr>
            <w:tcW w:w="431"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11 174</w:t>
            </w:r>
          </w:p>
        </w:tc>
        <w:tc>
          <w:tcPr>
            <w:tcW w:w="50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110 799</w:t>
            </w:r>
          </w:p>
        </w:tc>
        <w:tc>
          <w:tcPr>
            <w:tcW w:w="57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565 053</w:t>
            </w:r>
          </w:p>
        </w:tc>
        <w:tc>
          <w:tcPr>
            <w:tcW w:w="45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02"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460 496</w:t>
            </w:r>
          </w:p>
        </w:tc>
        <w:tc>
          <w:tcPr>
            <w:tcW w:w="575"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14 884</w:t>
            </w:r>
          </w:p>
        </w:tc>
        <w:tc>
          <w:tcPr>
            <w:tcW w:w="55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1 162 406</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Na žiaden dlhodobý hmotný majetok, ktorý má spoločnosť v majetku nebolo zriadené záložné právo, ani nebolo uložené obmedzenie s ním nakladať.</w:t>
      </w:r>
    </w:p>
    <w:p w:rsidR="00CE4FC0" w:rsidRPr="00CE4FC0" w:rsidRDefault="00CE4FC0" w:rsidP="00CE4FC0">
      <w:pPr>
        <w:spacing w:after="200" w:line="276" w:lineRule="auto"/>
        <w:rPr>
          <w:rFonts w:ascii="Calibri" w:eastAsia="Times New Roman" w:hAnsi="Calibri" w:cs="Times New Roman"/>
          <w:sz w:val="20"/>
          <w:szCs w:val="20"/>
        </w:rPr>
      </w:pPr>
    </w:p>
    <w:tbl>
      <w:tblPr>
        <w:tblW w:w="52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2"/>
        <w:gridCol w:w="949"/>
        <w:gridCol w:w="1016"/>
        <w:gridCol w:w="1182"/>
        <w:gridCol w:w="934"/>
        <w:gridCol w:w="948"/>
        <w:gridCol w:w="870"/>
        <w:gridCol w:w="1242"/>
        <w:gridCol w:w="1129"/>
        <w:gridCol w:w="1016"/>
      </w:tblGrid>
      <w:tr w:rsidR="00CE4FC0" w:rsidRPr="00CE4FC0" w:rsidTr="00D60C0F">
        <w:tc>
          <w:tcPr>
            <w:tcW w:w="5000" w:type="pct"/>
            <w:gridSpan w:val="10"/>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1 a1-3d) Dlhodobý majetok hmotný - bezprostredne predchádzajúce účtovné obdobie</w:t>
            </w:r>
          </w:p>
        </w:tc>
      </w:tr>
      <w:tr w:rsidR="00CE4FC0" w:rsidRPr="00CE4FC0" w:rsidTr="00D60C0F">
        <w:tc>
          <w:tcPr>
            <w:tcW w:w="39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Položka</w:t>
            </w:r>
          </w:p>
        </w:tc>
        <w:tc>
          <w:tcPr>
            <w:tcW w:w="59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Pozemky</w:t>
            </w:r>
          </w:p>
        </w:tc>
        <w:tc>
          <w:tcPr>
            <w:tcW w:w="489"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Stavby</w:t>
            </w:r>
          </w:p>
        </w:tc>
        <w:tc>
          <w:tcPr>
            <w:tcW w:w="569"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Samostatné hnuteľné veci a súbory hnuteľných vecí</w:t>
            </w:r>
          </w:p>
        </w:tc>
        <w:tc>
          <w:tcPr>
            <w:tcW w:w="45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Pesto-vateľské celky trvalých porastov</w:t>
            </w:r>
          </w:p>
        </w:tc>
        <w:tc>
          <w:tcPr>
            <w:tcW w:w="45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Základné stádo a ťažné zvieratá</w:t>
            </w:r>
          </w:p>
        </w:tc>
        <w:tc>
          <w:tcPr>
            <w:tcW w:w="419"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Ostatný DHM</w:t>
            </w:r>
          </w:p>
        </w:tc>
        <w:tc>
          <w:tcPr>
            <w:tcW w:w="59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Obstarávaný DHM</w:t>
            </w:r>
          </w:p>
        </w:tc>
        <w:tc>
          <w:tcPr>
            <w:tcW w:w="54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Poskytnuté preddavky na DHM</w:t>
            </w:r>
          </w:p>
        </w:tc>
        <w:tc>
          <w:tcPr>
            <w:tcW w:w="489"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Spolu</w:t>
            </w:r>
          </w:p>
        </w:tc>
      </w:tr>
      <w:tr w:rsidR="00CE4FC0" w:rsidRPr="00CE4FC0" w:rsidTr="00D60C0F">
        <w:tc>
          <w:tcPr>
            <w:tcW w:w="5000" w:type="pct"/>
            <w:gridSpan w:val="10"/>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Prvotné ocenenie</w:t>
            </w:r>
          </w:p>
        </w:tc>
      </w:tr>
      <w:tr w:rsidR="00CE4FC0" w:rsidRPr="00CE4FC0" w:rsidTr="00D60C0F">
        <w:tc>
          <w:tcPr>
            <w:tcW w:w="393"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začiatku účtovného obdobia</w:t>
            </w:r>
          </w:p>
        </w:tc>
        <w:tc>
          <w:tcPr>
            <w:tcW w:w="594"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521 033</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6 608 329</w:t>
            </w:r>
          </w:p>
        </w:tc>
        <w:tc>
          <w:tcPr>
            <w:tcW w:w="56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1 153 331</w:t>
            </w:r>
          </w:p>
        </w:tc>
        <w:tc>
          <w:tcPr>
            <w:tcW w:w="450"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5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392 294</w:t>
            </w:r>
          </w:p>
        </w:tc>
        <w:tc>
          <w:tcPr>
            <w:tcW w:w="59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77 779</w:t>
            </w:r>
          </w:p>
        </w:tc>
        <w:tc>
          <w:tcPr>
            <w:tcW w:w="543"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8 752 766</w:t>
            </w:r>
          </w:p>
        </w:tc>
      </w:tr>
      <w:tr w:rsidR="00CE4FC0" w:rsidRPr="00CE4FC0" w:rsidTr="00D60C0F">
        <w:tc>
          <w:tcPr>
            <w:tcW w:w="39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Prírastky</w:t>
            </w:r>
          </w:p>
        </w:tc>
        <w:tc>
          <w:tcPr>
            <w:tcW w:w="594" w:type="pct"/>
          </w:tcPr>
          <w:p w:rsidR="00CE4FC0" w:rsidRPr="00CE4FC0" w:rsidRDefault="00CE4FC0" w:rsidP="00CE4FC0">
            <w:pPr>
              <w:jc w:val="right"/>
              <w:rPr>
                <w:rFonts w:ascii="Calibri" w:eastAsia="Times New Roman" w:hAnsi="Calibri" w:cs="Times New Roman"/>
                <w:sz w:val="20"/>
                <w:szCs w:val="20"/>
              </w:rPr>
            </w:pPr>
          </w:p>
        </w:tc>
        <w:tc>
          <w:tcPr>
            <w:tcW w:w="489" w:type="pct"/>
          </w:tcPr>
          <w:p w:rsidR="00CE4FC0" w:rsidRPr="00CE4FC0" w:rsidRDefault="00CE4FC0" w:rsidP="00CE4FC0">
            <w:pPr>
              <w:jc w:val="right"/>
              <w:rPr>
                <w:rFonts w:ascii="Calibri" w:eastAsia="Times New Roman" w:hAnsi="Calibri" w:cs="Times New Roman"/>
                <w:sz w:val="20"/>
                <w:szCs w:val="20"/>
              </w:rPr>
            </w:pPr>
          </w:p>
        </w:tc>
        <w:tc>
          <w:tcPr>
            <w:tcW w:w="56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263 224</w:t>
            </w:r>
          </w:p>
        </w:tc>
        <w:tc>
          <w:tcPr>
            <w:tcW w:w="450" w:type="pct"/>
          </w:tcPr>
          <w:p w:rsidR="00CE4FC0" w:rsidRPr="00CE4FC0" w:rsidRDefault="00CE4FC0" w:rsidP="00CE4FC0">
            <w:pPr>
              <w:jc w:val="right"/>
              <w:rPr>
                <w:rFonts w:ascii="Calibri" w:eastAsia="Times New Roman" w:hAnsi="Calibri" w:cs="Times New Roman"/>
                <w:sz w:val="20"/>
                <w:szCs w:val="20"/>
              </w:rPr>
            </w:pPr>
          </w:p>
        </w:tc>
        <w:tc>
          <w:tcPr>
            <w:tcW w:w="456" w:type="pct"/>
          </w:tcPr>
          <w:p w:rsidR="00CE4FC0" w:rsidRPr="00CE4FC0" w:rsidRDefault="00CE4FC0" w:rsidP="00CE4FC0">
            <w:pPr>
              <w:jc w:val="right"/>
              <w:rPr>
                <w:rFonts w:ascii="Calibri" w:eastAsia="Times New Roman" w:hAnsi="Calibri" w:cs="Times New Roman"/>
                <w:sz w:val="20"/>
                <w:szCs w:val="20"/>
              </w:rPr>
            </w:pPr>
          </w:p>
        </w:tc>
        <w:tc>
          <w:tcPr>
            <w:tcW w:w="419" w:type="pct"/>
          </w:tcPr>
          <w:p w:rsidR="00CE4FC0" w:rsidRPr="00CE4FC0" w:rsidRDefault="00CE4FC0" w:rsidP="00CE4FC0">
            <w:pPr>
              <w:jc w:val="right"/>
              <w:rPr>
                <w:rFonts w:ascii="Calibri" w:eastAsia="Times New Roman" w:hAnsi="Calibri" w:cs="Times New Roman"/>
                <w:sz w:val="20"/>
                <w:szCs w:val="20"/>
              </w:rPr>
            </w:pPr>
          </w:p>
        </w:tc>
        <w:tc>
          <w:tcPr>
            <w:tcW w:w="59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216 461</w:t>
            </w:r>
          </w:p>
        </w:tc>
        <w:tc>
          <w:tcPr>
            <w:tcW w:w="543" w:type="pct"/>
          </w:tcPr>
          <w:p w:rsidR="00CE4FC0" w:rsidRPr="00CE4FC0" w:rsidRDefault="00CE4FC0" w:rsidP="00CE4FC0">
            <w:pPr>
              <w:jc w:val="right"/>
              <w:rPr>
                <w:rFonts w:ascii="Calibri" w:eastAsia="Times New Roman" w:hAnsi="Calibri" w:cs="Times New Roman"/>
                <w:sz w:val="20"/>
                <w:szCs w:val="20"/>
              </w:rPr>
            </w:pPr>
          </w:p>
        </w:tc>
        <w:tc>
          <w:tcPr>
            <w:tcW w:w="48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479 685</w:t>
            </w:r>
          </w:p>
        </w:tc>
      </w:tr>
      <w:tr w:rsidR="00CE4FC0" w:rsidRPr="00CE4FC0" w:rsidTr="00D60C0F">
        <w:tc>
          <w:tcPr>
            <w:tcW w:w="39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Úbytky</w:t>
            </w:r>
          </w:p>
        </w:tc>
        <w:tc>
          <w:tcPr>
            <w:tcW w:w="59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509 859</w:t>
            </w:r>
          </w:p>
        </w:tc>
        <w:tc>
          <w:tcPr>
            <w:tcW w:w="48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6 482 607</w:t>
            </w:r>
          </w:p>
        </w:tc>
        <w:tc>
          <w:tcPr>
            <w:tcW w:w="56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202 129</w:t>
            </w:r>
          </w:p>
        </w:tc>
        <w:tc>
          <w:tcPr>
            <w:tcW w:w="450" w:type="pct"/>
          </w:tcPr>
          <w:p w:rsidR="00CE4FC0" w:rsidRPr="00CE4FC0" w:rsidRDefault="00CE4FC0" w:rsidP="00CE4FC0">
            <w:pPr>
              <w:jc w:val="right"/>
              <w:rPr>
                <w:rFonts w:ascii="Calibri" w:eastAsia="Times New Roman" w:hAnsi="Calibri" w:cs="Times New Roman"/>
                <w:sz w:val="20"/>
                <w:szCs w:val="20"/>
              </w:rPr>
            </w:pPr>
          </w:p>
        </w:tc>
        <w:tc>
          <w:tcPr>
            <w:tcW w:w="456" w:type="pct"/>
          </w:tcPr>
          <w:p w:rsidR="00CE4FC0" w:rsidRPr="00CE4FC0" w:rsidRDefault="00CE4FC0" w:rsidP="00CE4FC0">
            <w:pPr>
              <w:jc w:val="right"/>
              <w:rPr>
                <w:rFonts w:ascii="Calibri" w:eastAsia="Times New Roman" w:hAnsi="Calibri" w:cs="Times New Roman"/>
                <w:sz w:val="20"/>
                <w:szCs w:val="20"/>
              </w:rPr>
            </w:pPr>
          </w:p>
        </w:tc>
        <w:tc>
          <w:tcPr>
            <w:tcW w:w="41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176 440</w:t>
            </w:r>
          </w:p>
        </w:tc>
        <w:tc>
          <w:tcPr>
            <w:tcW w:w="59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294 240</w:t>
            </w:r>
          </w:p>
        </w:tc>
        <w:tc>
          <w:tcPr>
            <w:tcW w:w="543" w:type="pct"/>
          </w:tcPr>
          <w:p w:rsidR="00CE4FC0" w:rsidRPr="00CE4FC0" w:rsidRDefault="00CE4FC0" w:rsidP="00CE4FC0">
            <w:pPr>
              <w:jc w:val="right"/>
              <w:rPr>
                <w:rFonts w:ascii="Calibri" w:eastAsia="Times New Roman" w:hAnsi="Calibri" w:cs="Times New Roman"/>
                <w:sz w:val="20"/>
                <w:szCs w:val="20"/>
              </w:rPr>
            </w:pPr>
          </w:p>
        </w:tc>
        <w:tc>
          <w:tcPr>
            <w:tcW w:w="48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7 665 275</w:t>
            </w:r>
          </w:p>
        </w:tc>
      </w:tr>
      <w:tr w:rsidR="00CE4FC0" w:rsidRPr="00CE4FC0" w:rsidTr="00D60C0F">
        <w:tc>
          <w:tcPr>
            <w:tcW w:w="39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Presuny</w:t>
            </w:r>
          </w:p>
        </w:tc>
        <w:tc>
          <w:tcPr>
            <w:tcW w:w="594" w:type="pct"/>
          </w:tcPr>
          <w:p w:rsidR="00CE4FC0" w:rsidRPr="00CE4FC0" w:rsidRDefault="00CE4FC0" w:rsidP="00CE4FC0">
            <w:pPr>
              <w:jc w:val="right"/>
              <w:rPr>
                <w:rFonts w:ascii="Calibri" w:eastAsia="Times New Roman" w:hAnsi="Calibri" w:cs="Times New Roman"/>
                <w:sz w:val="20"/>
                <w:szCs w:val="20"/>
              </w:rPr>
            </w:pPr>
          </w:p>
        </w:tc>
        <w:tc>
          <w:tcPr>
            <w:tcW w:w="489" w:type="pct"/>
          </w:tcPr>
          <w:p w:rsidR="00CE4FC0" w:rsidRPr="00CE4FC0" w:rsidRDefault="00CE4FC0" w:rsidP="00CE4FC0">
            <w:pPr>
              <w:jc w:val="right"/>
              <w:rPr>
                <w:rFonts w:ascii="Calibri" w:eastAsia="Times New Roman" w:hAnsi="Calibri" w:cs="Times New Roman"/>
                <w:sz w:val="20"/>
                <w:szCs w:val="20"/>
              </w:rPr>
            </w:pPr>
          </w:p>
        </w:tc>
        <w:tc>
          <w:tcPr>
            <w:tcW w:w="569" w:type="pct"/>
          </w:tcPr>
          <w:p w:rsidR="00CE4FC0" w:rsidRPr="00CE4FC0" w:rsidRDefault="00CE4FC0" w:rsidP="00CE4FC0">
            <w:pPr>
              <w:jc w:val="right"/>
              <w:rPr>
                <w:rFonts w:ascii="Calibri" w:eastAsia="Times New Roman" w:hAnsi="Calibri" w:cs="Times New Roman"/>
                <w:sz w:val="20"/>
                <w:szCs w:val="20"/>
              </w:rPr>
            </w:pPr>
          </w:p>
        </w:tc>
        <w:tc>
          <w:tcPr>
            <w:tcW w:w="450" w:type="pct"/>
          </w:tcPr>
          <w:p w:rsidR="00CE4FC0" w:rsidRPr="00CE4FC0" w:rsidRDefault="00CE4FC0" w:rsidP="00CE4FC0">
            <w:pPr>
              <w:jc w:val="right"/>
              <w:rPr>
                <w:rFonts w:ascii="Calibri" w:eastAsia="Times New Roman" w:hAnsi="Calibri" w:cs="Times New Roman"/>
                <w:sz w:val="20"/>
                <w:szCs w:val="20"/>
              </w:rPr>
            </w:pPr>
          </w:p>
        </w:tc>
        <w:tc>
          <w:tcPr>
            <w:tcW w:w="456" w:type="pct"/>
          </w:tcPr>
          <w:p w:rsidR="00CE4FC0" w:rsidRPr="00CE4FC0" w:rsidRDefault="00CE4FC0" w:rsidP="00CE4FC0">
            <w:pPr>
              <w:jc w:val="right"/>
              <w:rPr>
                <w:rFonts w:ascii="Calibri" w:eastAsia="Times New Roman" w:hAnsi="Calibri" w:cs="Times New Roman"/>
                <w:sz w:val="20"/>
                <w:szCs w:val="20"/>
              </w:rPr>
            </w:pPr>
          </w:p>
        </w:tc>
        <w:tc>
          <w:tcPr>
            <w:tcW w:w="419" w:type="pct"/>
          </w:tcPr>
          <w:p w:rsidR="00CE4FC0" w:rsidRPr="00CE4FC0" w:rsidRDefault="00CE4FC0" w:rsidP="00CE4FC0">
            <w:pPr>
              <w:jc w:val="right"/>
              <w:rPr>
                <w:rFonts w:ascii="Calibri" w:eastAsia="Times New Roman" w:hAnsi="Calibri" w:cs="Times New Roman"/>
                <w:sz w:val="20"/>
                <w:szCs w:val="20"/>
              </w:rPr>
            </w:pPr>
          </w:p>
        </w:tc>
        <w:tc>
          <w:tcPr>
            <w:tcW w:w="598" w:type="pct"/>
          </w:tcPr>
          <w:p w:rsidR="00CE4FC0" w:rsidRPr="00CE4FC0" w:rsidRDefault="00CE4FC0" w:rsidP="00CE4FC0">
            <w:pPr>
              <w:jc w:val="right"/>
              <w:rPr>
                <w:rFonts w:ascii="Calibri" w:eastAsia="Times New Roman" w:hAnsi="Calibri" w:cs="Times New Roman"/>
                <w:sz w:val="20"/>
                <w:szCs w:val="20"/>
              </w:rPr>
            </w:pPr>
          </w:p>
        </w:tc>
        <w:tc>
          <w:tcPr>
            <w:tcW w:w="543" w:type="pct"/>
          </w:tcPr>
          <w:p w:rsidR="00CE4FC0" w:rsidRPr="00CE4FC0" w:rsidRDefault="00CE4FC0" w:rsidP="00CE4FC0">
            <w:pPr>
              <w:jc w:val="right"/>
              <w:rPr>
                <w:rFonts w:ascii="Calibri" w:eastAsia="Times New Roman" w:hAnsi="Calibri" w:cs="Times New Roman"/>
                <w:sz w:val="20"/>
                <w:szCs w:val="20"/>
              </w:rPr>
            </w:pPr>
          </w:p>
        </w:tc>
        <w:tc>
          <w:tcPr>
            <w:tcW w:w="489"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393"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konci účtovného obdobia</w:t>
            </w:r>
          </w:p>
        </w:tc>
        <w:tc>
          <w:tcPr>
            <w:tcW w:w="594"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11 174</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125 722</w:t>
            </w:r>
          </w:p>
        </w:tc>
        <w:tc>
          <w:tcPr>
            <w:tcW w:w="56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1 214 426</w:t>
            </w:r>
          </w:p>
        </w:tc>
        <w:tc>
          <w:tcPr>
            <w:tcW w:w="450"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5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215 854</w:t>
            </w:r>
          </w:p>
        </w:tc>
        <w:tc>
          <w:tcPr>
            <w:tcW w:w="59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43"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1 567 176</w:t>
            </w:r>
          </w:p>
        </w:tc>
      </w:tr>
      <w:tr w:rsidR="00CE4FC0" w:rsidRPr="00CE4FC0" w:rsidTr="00D60C0F">
        <w:tc>
          <w:tcPr>
            <w:tcW w:w="5000" w:type="pct"/>
            <w:gridSpan w:val="10"/>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Oprávky</w:t>
            </w:r>
          </w:p>
        </w:tc>
      </w:tr>
      <w:tr w:rsidR="00CE4FC0" w:rsidRPr="00CE4FC0" w:rsidTr="00D60C0F">
        <w:tc>
          <w:tcPr>
            <w:tcW w:w="393"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začiatku účtovného obdobia</w:t>
            </w:r>
          </w:p>
        </w:tc>
        <w:tc>
          <w:tcPr>
            <w:tcW w:w="594"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3 020 305</w:t>
            </w:r>
          </w:p>
        </w:tc>
        <w:tc>
          <w:tcPr>
            <w:tcW w:w="56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559 477</w:t>
            </w:r>
          </w:p>
        </w:tc>
        <w:tc>
          <w:tcPr>
            <w:tcW w:w="450"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5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389 592</w:t>
            </w:r>
          </w:p>
        </w:tc>
        <w:tc>
          <w:tcPr>
            <w:tcW w:w="59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43"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3 969 374</w:t>
            </w:r>
          </w:p>
        </w:tc>
      </w:tr>
      <w:tr w:rsidR="00CE4FC0" w:rsidRPr="00CE4FC0" w:rsidTr="00D60C0F">
        <w:tc>
          <w:tcPr>
            <w:tcW w:w="39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Prírastky</w:t>
            </w:r>
          </w:p>
        </w:tc>
        <w:tc>
          <w:tcPr>
            <w:tcW w:w="594" w:type="pct"/>
          </w:tcPr>
          <w:p w:rsidR="00CE4FC0" w:rsidRPr="00CE4FC0" w:rsidRDefault="00CE4FC0" w:rsidP="00CE4FC0">
            <w:pPr>
              <w:jc w:val="right"/>
              <w:rPr>
                <w:rFonts w:ascii="Calibri" w:eastAsia="Times New Roman" w:hAnsi="Calibri" w:cs="Times New Roman"/>
                <w:sz w:val="20"/>
                <w:szCs w:val="20"/>
              </w:rPr>
            </w:pPr>
          </w:p>
        </w:tc>
        <w:tc>
          <w:tcPr>
            <w:tcW w:w="48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3 474 153</w:t>
            </w:r>
          </w:p>
        </w:tc>
        <w:tc>
          <w:tcPr>
            <w:tcW w:w="56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259 857</w:t>
            </w:r>
          </w:p>
        </w:tc>
        <w:tc>
          <w:tcPr>
            <w:tcW w:w="450" w:type="pct"/>
          </w:tcPr>
          <w:p w:rsidR="00CE4FC0" w:rsidRPr="00CE4FC0" w:rsidRDefault="00CE4FC0" w:rsidP="00CE4FC0">
            <w:pPr>
              <w:jc w:val="right"/>
              <w:rPr>
                <w:rFonts w:ascii="Calibri" w:eastAsia="Times New Roman" w:hAnsi="Calibri" w:cs="Times New Roman"/>
                <w:sz w:val="20"/>
                <w:szCs w:val="20"/>
              </w:rPr>
            </w:pPr>
          </w:p>
        </w:tc>
        <w:tc>
          <w:tcPr>
            <w:tcW w:w="456" w:type="pct"/>
          </w:tcPr>
          <w:p w:rsidR="00CE4FC0" w:rsidRPr="00CE4FC0" w:rsidRDefault="00CE4FC0" w:rsidP="00CE4FC0">
            <w:pPr>
              <w:jc w:val="right"/>
              <w:rPr>
                <w:rFonts w:ascii="Calibri" w:eastAsia="Times New Roman" w:hAnsi="Calibri" w:cs="Times New Roman"/>
                <w:sz w:val="20"/>
                <w:szCs w:val="20"/>
              </w:rPr>
            </w:pPr>
          </w:p>
        </w:tc>
        <w:tc>
          <w:tcPr>
            <w:tcW w:w="41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2 702</w:t>
            </w:r>
          </w:p>
        </w:tc>
        <w:tc>
          <w:tcPr>
            <w:tcW w:w="598" w:type="pct"/>
          </w:tcPr>
          <w:p w:rsidR="00CE4FC0" w:rsidRPr="00CE4FC0" w:rsidRDefault="00CE4FC0" w:rsidP="00CE4FC0">
            <w:pPr>
              <w:jc w:val="right"/>
              <w:rPr>
                <w:rFonts w:ascii="Calibri" w:eastAsia="Times New Roman" w:hAnsi="Calibri" w:cs="Times New Roman"/>
                <w:sz w:val="20"/>
                <w:szCs w:val="20"/>
              </w:rPr>
            </w:pPr>
          </w:p>
        </w:tc>
        <w:tc>
          <w:tcPr>
            <w:tcW w:w="543" w:type="pct"/>
          </w:tcPr>
          <w:p w:rsidR="00CE4FC0" w:rsidRPr="00CE4FC0" w:rsidRDefault="00CE4FC0" w:rsidP="00CE4FC0">
            <w:pPr>
              <w:jc w:val="right"/>
              <w:rPr>
                <w:rFonts w:ascii="Calibri" w:eastAsia="Times New Roman" w:hAnsi="Calibri" w:cs="Times New Roman"/>
                <w:sz w:val="20"/>
                <w:szCs w:val="20"/>
              </w:rPr>
            </w:pPr>
          </w:p>
        </w:tc>
        <w:tc>
          <w:tcPr>
            <w:tcW w:w="48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3 736 712</w:t>
            </w:r>
          </w:p>
        </w:tc>
      </w:tr>
      <w:tr w:rsidR="00CE4FC0" w:rsidRPr="00CE4FC0" w:rsidTr="00D60C0F">
        <w:tc>
          <w:tcPr>
            <w:tcW w:w="39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Úbytky</w:t>
            </w:r>
          </w:p>
        </w:tc>
        <w:tc>
          <w:tcPr>
            <w:tcW w:w="594" w:type="pct"/>
          </w:tcPr>
          <w:p w:rsidR="00CE4FC0" w:rsidRPr="00CE4FC0" w:rsidRDefault="00CE4FC0" w:rsidP="00CE4FC0">
            <w:pPr>
              <w:jc w:val="right"/>
              <w:rPr>
                <w:rFonts w:ascii="Calibri" w:eastAsia="Times New Roman" w:hAnsi="Calibri" w:cs="Times New Roman"/>
                <w:sz w:val="20"/>
                <w:szCs w:val="20"/>
              </w:rPr>
            </w:pPr>
          </w:p>
        </w:tc>
        <w:tc>
          <w:tcPr>
            <w:tcW w:w="48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6 482 607</w:t>
            </w:r>
          </w:p>
        </w:tc>
        <w:tc>
          <w:tcPr>
            <w:tcW w:w="56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202 129</w:t>
            </w:r>
          </w:p>
        </w:tc>
        <w:tc>
          <w:tcPr>
            <w:tcW w:w="450" w:type="pct"/>
          </w:tcPr>
          <w:p w:rsidR="00CE4FC0" w:rsidRPr="00CE4FC0" w:rsidRDefault="00CE4FC0" w:rsidP="00CE4FC0">
            <w:pPr>
              <w:jc w:val="right"/>
              <w:rPr>
                <w:rFonts w:ascii="Calibri" w:eastAsia="Times New Roman" w:hAnsi="Calibri" w:cs="Times New Roman"/>
                <w:sz w:val="20"/>
                <w:szCs w:val="20"/>
              </w:rPr>
            </w:pPr>
          </w:p>
        </w:tc>
        <w:tc>
          <w:tcPr>
            <w:tcW w:w="456" w:type="pct"/>
          </w:tcPr>
          <w:p w:rsidR="00CE4FC0" w:rsidRPr="00CE4FC0" w:rsidRDefault="00CE4FC0" w:rsidP="00CE4FC0">
            <w:pPr>
              <w:jc w:val="right"/>
              <w:rPr>
                <w:rFonts w:ascii="Calibri" w:eastAsia="Times New Roman" w:hAnsi="Calibri" w:cs="Times New Roman"/>
                <w:sz w:val="20"/>
                <w:szCs w:val="20"/>
              </w:rPr>
            </w:pPr>
          </w:p>
        </w:tc>
        <w:tc>
          <w:tcPr>
            <w:tcW w:w="41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176 440</w:t>
            </w:r>
          </w:p>
        </w:tc>
        <w:tc>
          <w:tcPr>
            <w:tcW w:w="598" w:type="pct"/>
          </w:tcPr>
          <w:p w:rsidR="00CE4FC0" w:rsidRPr="00CE4FC0" w:rsidRDefault="00CE4FC0" w:rsidP="00CE4FC0">
            <w:pPr>
              <w:jc w:val="right"/>
              <w:rPr>
                <w:rFonts w:ascii="Calibri" w:eastAsia="Times New Roman" w:hAnsi="Calibri" w:cs="Times New Roman"/>
                <w:sz w:val="20"/>
                <w:szCs w:val="20"/>
              </w:rPr>
            </w:pPr>
          </w:p>
        </w:tc>
        <w:tc>
          <w:tcPr>
            <w:tcW w:w="543" w:type="pct"/>
          </w:tcPr>
          <w:p w:rsidR="00CE4FC0" w:rsidRPr="00CE4FC0" w:rsidRDefault="00CE4FC0" w:rsidP="00CE4FC0">
            <w:pPr>
              <w:jc w:val="right"/>
              <w:rPr>
                <w:rFonts w:ascii="Calibri" w:eastAsia="Times New Roman" w:hAnsi="Calibri" w:cs="Times New Roman"/>
                <w:sz w:val="20"/>
                <w:szCs w:val="20"/>
              </w:rPr>
            </w:pPr>
          </w:p>
        </w:tc>
        <w:tc>
          <w:tcPr>
            <w:tcW w:w="48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6 861 176</w:t>
            </w:r>
          </w:p>
        </w:tc>
      </w:tr>
      <w:tr w:rsidR="00CE4FC0" w:rsidRPr="00CE4FC0" w:rsidTr="00D60C0F">
        <w:tc>
          <w:tcPr>
            <w:tcW w:w="393"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konci účtovného obdobia</w:t>
            </w:r>
          </w:p>
        </w:tc>
        <w:tc>
          <w:tcPr>
            <w:tcW w:w="594"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11 851</w:t>
            </w:r>
          </w:p>
        </w:tc>
        <w:tc>
          <w:tcPr>
            <w:tcW w:w="56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617 205</w:t>
            </w:r>
          </w:p>
        </w:tc>
        <w:tc>
          <w:tcPr>
            <w:tcW w:w="450"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5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215 854</w:t>
            </w:r>
          </w:p>
        </w:tc>
        <w:tc>
          <w:tcPr>
            <w:tcW w:w="59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43"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844 910</w:t>
            </w:r>
          </w:p>
        </w:tc>
      </w:tr>
      <w:tr w:rsidR="00CE4FC0" w:rsidRPr="00CE4FC0" w:rsidTr="00D60C0F">
        <w:tc>
          <w:tcPr>
            <w:tcW w:w="5000" w:type="pct"/>
            <w:gridSpan w:val="10"/>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Opravné položky</w:t>
            </w:r>
          </w:p>
        </w:tc>
      </w:tr>
      <w:tr w:rsidR="00CE4FC0" w:rsidRPr="00CE4FC0" w:rsidTr="00D60C0F">
        <w:tc>
          <w:tcPr>
            <w:tcW w:w="393"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začiatku účtovného obdobia</w:t>
            </w:r>
          </w:p>
        </w:tc>
        <w:tc>
          <w:tcPr>
            <w:tcW w:w="594"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6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50" w:type="pct"/>
          </w:tcPr>
          <w:p w:rsidR="00CE4FC0" w:rsidRPr="00CE4FC0" w:rsidRDefault="00CE4FC0" w:rsidP="00CE4FC0">
            <w:pPr>
              <w:jc w:val="right"/>
              <w:rPr>
                <w:rFonts w:ascii="Calibri" w:eastAsia="Times New Roman" w:hAnsi="Calibri" w:cs="Times New Roman"/>
                <w:b/>
                <w:sz w:val="20"/>
                <w:szCs w:val="20"/>
              </w:rPr>
            </w:pPr>
          </w:p>
        </w:tc>
        <w:tc>
          <w:tcPr>
            <w:tcW w:w="456" w:type="pct"/>
          </w:tcPr>
          <w:p w:rsidR="00CE4FC0" w:rsidRPr="00CE4FC0" w:rsidRDefault="00CE4FC0" w:rsidP="00CE4FC0">
            <w:pPr>
              <w:jc w:val="right"/>
              <w:rPr>
                <w:rFonts w:ascii="Calibri" w:eastAsia="Times New Roman" w:hAnsi="Calibri" w:cs="Times New Roman"/>
                <w:b/>
                <w:sz w:val="20"/>
                <w:szCs w:val="20"/>
              </w:rPr>
            </w:pPr>
          </w:p>
        </w:tc>
        <w:tc>
          <w:tcPr>
            <w:tcW w:w="4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9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43" w:type="pct"/>
          </w:tcPr>
          <w:p w:rsidR="00CE4FC0" w:rsidRPr="00CE4FC0" w:rsidRDefault="00CE4FC0" w:rsidP="00CE4FC0">
            <w:pPr>
              <w:jc w:val="right"/>
              <w:rPr>
                <w:rFonts w:ascii="Calibri" w:eastAsia="Times New Roman" w:hAnsi="Calibri" w:cs="Times New Roman"/>
                <w:b/>
                <w:sz w:val="20"/>
                <w:szCs w:val="20"/>
              </w:rPr>
            </w:pP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r>
      <w:tr w:rsidR="00CE4FC0" w:rsidRPr="00CE4FC0" w:rsidTr="00D60C0F">
        <w:tc>
          <w:tcPr>
            <w:tcW w:w="39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lastRenderedPageBreak/>
              <w:t>Prírastky</w:t>
            </w:r>
          </w:p>
        </w:tc>
        <w:tc>
          <w:tcPr>
            <w:tcW w:w="594" w:type="pct"/>
          </w:tcPr>
          <w:p w:rsidR="00CE4FC0" w:rsidRPr="00CE4FC0" w:rsidRDefault="00CE4FC0" w:rsidP="00CE4FC0">
            <w:pPr>
              <w:jc w:val="right"/>
              <w:rPr>
                <w:rFonts w:ascii="Calibri" w:eastAsia="Times New Roman" w:hAnsi="Calibri" w:cs="Times New Roman"/>
                <w:sz w:val="20"/>
                <w:szCs w:val="20"/>
              </w:rPr>
            </w:pPr>
          </w:p>
        </w:tc>
        <w:tc>
          <w:tcPr>
            <w:tcW w:w="489" w:type="pct"/>
          </w:tcPr>
          <w:p w:rsidR="00CE4FC0" w:rsidRPr="00CE4FC0" w:rsidRDefault="00CE4FC0" w:rsidP="00CE4FC0">
            <w:pPr>
              <w:jc w:val="right"/>
              <w:rPr>
                <w:rFonts w:ascii="Calibri" w:eastAsia="Times New Roman" w:hAnsi="Calibri" w:cs="Times New Roman"/>
                <w:sz w:val="20"/>
                <w:szCs w:val="20"/>
              </w:rPr>
            </w:pPr>
          </w:p>
        </w:tc>
        <w:tc>
          <w:tcPr>
            <w:tcW w:w="569" w:type="pct"/>
          </w:tcPr>
          <w:p w:rsidR="00CE4FC0" w:rsidRPr="00CE4FC0" w:rsidRDefault="00CE4FC0" w:rsidP="00CE4FC0">
            <w:pPr>
              <w:jc w:val="right"/>
              <w:rPr>
                <w:rFonts w:ascii="Calibri" w:eastAsia="Times New Roman" w:hAnsi="Calibri" w:cs="Times New Roman"/>
                <w:sz w:val="20"/>
                <w:szCs w:val="20"/>
              </w:rPr>
            </w:pPr>
          </w:p>
        </w:tc>
        <w:tc>
          <w:tcPr>
            <w:tcW w:w="450" w:type="pct"/>
          </w:tcPr>
          <w:p w:rsidR="00CE4FC0" w:rsidRPr="00CE4FC0" w:rsidRDefault="00CE4FC0" w:rsidP="00CE4FC0">
            <w:pPr>
              <w:jc w:val="right"/>
              <w:rPr>
                <w:rFonts w:ascii="Calibri" w:eastAsia="Times New Roman" w:hAnsi="Calibri" w:cs="Times New Roman"/>
                <w:sz w:val="20"/>
                <w:szCs w:val="20"/>
              </w:rPr>
            </w:pPr>
          </w:p>
        </w:tc>
        <w:tc>
          <w:tcPr>
            <w:tcW w:w="456" w:type="pct"/>
          </w:tcPr>
          <w:p w:rsidR="00CE4FC0" w:rsidRPr="00CE4FC0" w:rsidRDefault="00CE4FC0" w:rsidP="00CE4FC0">
            <w:pPr>
              <w:jc w:val="right"/>
              <w:rPr>
                <w:rFonts w:ascii="Calibri" w:eastAsia="Times New Roman" w:hAnsi="Calibri" w:cs="Times New Roman"/>
                <w:sz w:val="20"/>
                <w:szCs w:val="20"/>
              </w:rPr>
            </w:pPr>
          </w:p>
        </w:tc>
        <w:tc>
          <w:tcPr>
            <w:tcW w:w="419" w:type="pct"/>
          </w:tcPr>
          <w:p w:rsidR="00CE4FC0" w:rsidRPr="00CE4FC0" w:rsidRDefault="00CE4FC0" w:rsidP="00CE4FC0">
            <w:pPr>
              <w:jc w:val="right"/>
              <w:rPr>
                <w:rFonts w:ascii="Calibri" w:eastAsia="Times New Roman" w:hAnsi="Calibri" w:cs="Times New Roman"/>
                <w:sz w:val="20"/>
                <w:szCs w:val="20"/>
              </w:rPr>
            </w:pPr>
          </w:p>
        </w:tc>
        <w:tc>
          <w:tcPr>
            <w:tcW w:w="598" w:type="pct"/>
          </w:tcPr>
          <w:p w:rsidR="00CE4FC0" w:rsidRPr="00CE4FC0" w:rsidRDefault="00CE4FC0" w:rsidP="00CE4FC0">
            <w:pPr>
              <w:jc w:val="right"/>
              <w:rPr>
                <w:rFonts w:ascii="Calibri" w:eastAsia="Times New Roman" w:hAnsi="Calibri" w:cs="Times New Roman"/>
                <w:sz w:val="20"/>
                <w:szCs w:val="20"/>
              </w:rPr>
            </w:pPr>
          </w:p>
        </w:tc>
        <w:tc>
          <w:tcPr>
            <w:tcW w:w="543" w:type="pct"/>
          </w:tcPr>
          <w:p w:rsidR="00CE4FC0" w:rsidRPr="00CE4FC0" w:rsidRDefault="00CE4FC0" w:rsidP="00CE4FC0">
            <w:pPr>
              <w:jc w:val="right"/>
              <w:rPr>
                <w:rFonts w:ascii="Calibri" w:eastAsia="Times New Roman" w:hAnsi="Calibri" w:cs="Times New Roman"/>
                <w:sz w:val="20"/>
                <w:szCs w:val="20"/>
              </w:rPr>
            </w:pPr>
          </w:p>
        </w:tc>
        <w:tc>
          <w:tcPr>
            <w:tcW w:w="489"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39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Úbytky</w:t>
            </w:r>
          </w:p>
        </w:tc>
        <w:tc>
          <w:tcPr>
            <w:tcW w:w="594" w:type="pct"/>
          </w:tcPr>
          <w:p w:rsidR="00CE4FC0" w:rsidRPr="00CE4FC0" w:rsidRDefault="00CE4FC0" w:rsidP="00CE4FC0">
            <w:pPr>
              <w:jc w:val="right"/>
              <w:rPr>
                <w:rFonts w:ascii="Calibri" w:eastAsia="Times New Roman" w:hAnsi="Calibri" w:cs="Times New Roman"/>
                <w:sz w:val="20"/>
                <w:szCs w:val="20"/>
              </w:rPr>
            </w:pPr>
          </w:p>
        </w:tc>
        <w:tc>
          <w:tcPr>
            <w:tcW w:w="489" w:type="pct"/>
          </w:tcPr>
          <w:p w:rsidR="00CE4FC0" w:rsidRPr="00CE4FC0" w:rsidRDefault="00CE4FC0" w:rsidP="00CE4FC0">
            <w:pPr>
              <w:jc w:val="right"/>
              <w:rPr>
                <w:rFonts w:ascii="Calibri" w:eastAsia="Times New Roman" w:hAnsi="Calibri" w:cs="Times New Roman"/>
                <w:sz w:val="20"/>
                <w:szCs w:val="20"/>
              </w:rPr>
            </w:pPr>
          </w:p>
        </w:tc>
        <w:tc>
          <w:tcPr>
            <w:tcW w:w="569" w:type="pct"/>
          </w:tcPr>
          <w:p w:rsidR="00CE4FC0" w:rsidRPr="00CE4FC0" w:rsidRDefault="00CE4FC0" w:rsidP="00CE4FC0">
            <w:pPr>
              <w:jc w:val="right"/>
              <w:rPr>
                <w:rFonts w:ascii="Calibri" w:eastAsia="Times New Roman" w:hAnsi="Calibri" w:cs="Times New Roman"/>
                <w:sz w:val="20"/>
                <w:szCs w:val="20"/>
              </w:rPr>
            </w:pPr>
          </w:p>
        </w:tc>
        <w:tc>
          <w:tcPr>
            <w:tcW w:w="450" w:type="pct"/>
          </w:tcPr>
          <w:p w:rsidR="00CE4FC0" w:rsidRPr="00CE4FC0" w:rsidRDefault="00CE4FC0" w:rsidP="00CE4FC0">
            <w:pPr>
              <w:jc w:val="right"/>
              <w:rPr>
                <w:rFonts w:ascii="Calibri" w:eastAsia="Times New Roman" w:hAnsi="Calibri" w:cs="Times New Roman"/>
                <w:sz w:val="20"/>
                <w:szCs w:val="20"/>
              </w:rPr>
            </w:pPr>
          </w:p>
        </w:tc>
        <w:tc>
          <w:tcPr>
            <w:tcW w:w="456" w:type="pct"/>
          </w:tcPr>
          <w:p w:rsidR="00CE4FC0" w:rsidRPr="00CE4FC0" w:rsidRDefault="00CE4FC0" w:rsidP="00CE4FC0">
            <w:pPr>
              <w:jc w:val="right"/>
              <w:rPr>
                <w:rFonts w:ascii="Calibri" w:eastAsia="Times New Roman" w:hAnsi="Calibri" w:cs="Times New Roman"/>
                <w:sz w:val="20"/>
                <w:szCs w:val="20"/>
              </w:rPr>
            </w:pPr>
          </w:p>
        </w:tc>
        <w:tc>
          <w:tcPr>
            <w:tcW w:w="419" w:type="pct"/>
          </w:tcPr>
          <w:p w:rsidR="00CE4FC0" w:rsidRPr="00CE4FC0" w:rsidRDefault="00CE4FC0" w:rsidP="00CE4FC0">
            <w:pPr>
              <w:jc w:val="right"/>
              <w:rPr>
                <w:rFonts w:ascii="Calibri" w:eastAsia="Times New Roman" w:hAnsi="Calibri" w:cs="Times New Roman"/>
                <w:sz w:val="20"/>
                <w:szCs w:val="20"/>
              </w:rPr>
            </w:pPr>
          </w:p>
        </w:tc>
        <w:tc>
          <w:tcPr>
            <w:tcW w:w="598" w:type="pct"/>
          </w:tcPr>
          <w:p w:rsidR="00CE4FC0" w:rsidRPr="00CE4FC0" w:rsidRDefault="00CE4FC0" w:rsidP="00CE4FC0">
            <w:pPr>
              <w:jc w:val="right"/>
              <w:rPr>
                <w:rFonts w:ascii="Calibri" w:eastAsia="Times New Roman" w:hAnsi="Calibri" w:cs="Times New Roman"/>
                <w:sz w:val="20"/>
                <w:szCs w:val="20"/>
              </w:rPr>
            </w:pPr>
          </w:p>
        </w:tc>
        <w:tc>
          <w:tcPr>
            <w:tcW w:w="543" w:type="pct"/>
          </w:tcPr>
          <w:p w:rsidR="00CE4FC0" w:rsidRPr="00CE4FC0" w:rsidRDefault="00CE4FC0" w:rsidP="00CE4FC0">
            <w:pPr>
              <w:jc w:val="right"/>
              <w:rPr>
                <w:rFonts w:ascii="Calibri" w:eastAsia="Times New Roman" w:hAnsi="Calibri" w:cs="Times New Roman"/>
                <w:sz w:val="20"/>
                <w:szCs w:val="20"/>
              </w:rPr>
            </w:pPr>
          </w:p>
        </w:tc>
        <w:tc>
          <w:tcPr>
            <w:tcW w:w="489"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393"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konci účtovného obdobia</w:t>
            </w:r>
          </w:p>
        </w:tc>
        <w:tc>
          <w:tcPr>
            <w:tcW w:w="594"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6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50" w:type="pct"/>
          </w:tcPr>
          <w:p w:rsidR="00CE4FC0" w:rsidRPr="00CE4FC0" w:rsidRDefault="00CE4FC0" w:rsidP="00CE4FC0">
            <w:pPr>
              <w:jc w:val="right"/>
              <w:rPr>
                <w:rFonts w:ascii="Calibri" w:eastAsia="Times New Roman" w:hAnsi="Calibri" w:cs="Times New Roman"/>
                <w:b/>
                <w:sz w:val="20"/>
                <w:szCs w:val="20"/>
              </w:rPr>
            </w:pPr>
          </w:p>
        </w:tc>
        <w:tc>
          <w:tcPr>
            <w:tcW w:w="456" w:type="pct"/>
          </w:tcPr>
          <w:p w:rsidR="00CE4FC0" w:rsidRPr="00CE4FC0" w:rsidRDefault="00CE4FC0" w:rsidP="00CE4FC0">
            <w:pPr>
              <w:jc w:val="right"/>
              <w:rPr>
                <w:rFonts w:ascii="Calibri" w:eastAsia="Times New Roman" w:hAnsi="Calibri" w:cs="Times New Roman"/>
                <w:b/>
                <w:sz w:val="20"/>
                <w:szCs w:val="20"/>
              </w:rPr>
            </w:pPr>
          </w:p>
        </w:tc>
        <w:tc>
          <w:tcPr>
            <w:tcW w:w="4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9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43" w:type="pct"/>
          </w:tcPr>
          <w:p w:rsidR="00CE4FC0" w:rsidRPr="00CE4FC0" w:rsidRDefault="00CE4FC0" w:rsidP="00CE4FC0">
            <w:pPr>
              <w:jc w:val="right"/>
              <w:rPr>
                <w:rFonts w:ascii="Calibri" w:eastAsia="Times New Roman" w:hAnsi="Calibri" w:cs="Times New Roman"/>
                <w:b/>
                <w:sz w:val="20"/>
                <w:szCs w:val="20"/>
              </w:rPr>
            </w:pP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r>
      <w:tr w:rsidR="00CE4FC0" w:rsidRPr="00CE4FC0" w:rsidTr="00D60C0F">
        <w:tc>
          <w:tcPr>
            <w:tcW w:w="5000" w:type="pct"/>
            <w:gridSpan w:val="10"/>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Zostatková hodnota</w:t>
            </w:r>
          </w:p>
        </w:tc>
      </w:tr>
      <w:tr w:rsidR="00CE4FC0" w:rsidRPr="00CE4FC0" w:rsidTr="00D60C0F">
        <w:tc>
          <w:tcPr>
            <w:tcW w:w="393"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začiatku účtovného obdobia</w:t>
            </w:r>
          </w:p>
        </w:tc>
        <w:tc>
          <w:tcPr>
            <w:tcW w:w="594"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521 033</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3 588 024</w:t>
            </w:r>
          </w:p>
        </w:tc>
        <w:tc>
          <w:tcPr>
            <w:tcW w:w="56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593 854</w:t>
            </w:r>
          </w:p>
        </w:tc>
        <w:tc>
          <w:tcPr>
            <w:tcW w:w="450"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5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2 702</w:t>
            </w:r>
          </w:p>
        </w:tc>
        <w:tc>
          <w:tcPr>
            <w:tcW w:w="59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77 779</w:t>
            </w:r>
          </w:p>
        </w:tc>
        <w:tc>
          <w:tcPr>
            <w:tcW w:w="543"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4 783 392</w:t>
            </w:r>
          </w:p>
        </w:tc>
      </w:tr>
      <w:tr w:rsidR="00CE4FC0" w:rsidRPr="00CE4FC0" w:rsidTr="00D60C0F">
        <w:tc>
          <w:tcPr>
            <w:tcW w:w="393"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konci účtovného obdobia</w:t>
            </w:r>
          </w:p>
        </w:tc>
        <w:tc>
          <w:tcPr>
            <w:tcW w:w="594"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11 174</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113 871</w:t>
            </w:r>
          </w:p>
        </w:tc>
        <w:tc>
          <w:tcPr>
            <w:tcW w:w="56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597 221</w:t>
            </w:r>
          </w:p>
        </w:tc>
        <w:tc>
          <w:tcPr>
            <w:tcW w:w="450"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5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1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9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543"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8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722 266</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Na žiaden dlhodobý hmotný majetok, ktorý má spoločnosť v majetku nebolo zriadené záložné právo, ani nebolo uložené obmedzenie s ním nakladať.</w:t>
      </w:r>
    </w:p>
    <w:p w:rsidR="00CE4FC0" w:rsidRPr="00CE4FC0" w:rsidRDefault="00CE4FC0" w:rsidP="00CE4FC0">
      <w:pPr>
        <w:spacing w:after="200" w:line="276" w:lineRule="auto"/>
        <w:jc w:val="center"/>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CE4FC0" w:rsidRPr="00CE4FC0" w:rsidTr="00D60C0F">
        <w:tc>
          <w:tcPr>
            <w:tcW w:w="5000" w:type="pct"/>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1 c) Dlhodobý majetok  na ktorý je zriadené záložné právo</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Na žiaden dlhodobý majetok, ktorý má spoločnosť v majetku nebolo zriadené záložné právo, ani nebolo uložené obmedzenie s ním nakladať.</w:t>
      </w: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7"/>
        <w:gridCol w:w="946"/>
        <w:gridCol w:w="946"/>
        <w:gridCol w:w="893"/>
        <w:gridCol w:w="766"/>
        <w:gridCol w:w="812"/>
        <w:gridCol w:w="808"/>
        <w:gridCol w:w="775"/>
        <w:gridCol w:w="1133"/>
        <w:gridCol w:w="1036"/>
        <w:gridCol w:w="712"/>
      </w:tblGrid>
      <w:tr w:rsidR="00CE4FC0" w:rsidRPr="00CE4FC0" w:rsidTr="00D60C0F">
        <w:tc>
          <w:tcPr>
            <w:tcW w:w="5000" w:type="pct"/>
            <w:gridSpan w:val="11"/>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1 f1) Dlhodobý finančný majetok - štruktúra</w:t>
            </w:r>
          </w:p>
        </w:tc>
      </w:tr>
      <w:tr w:rsidR="00CE4FC0" w:rsidRPr="00CE4FC0" w:rsidTr="00D60C0F">
        <w:tc>
          <w:tcPr>
            <w:tcW w:w="41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Položka</w:t>
            </w:r>
          </w:p>
        </w:tc>
        <w:tc>
          <w:tcPr>
            <w:tcW w:w="49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Podielová účasť v PUJ (061A, 062A, 063A)</w:t>
            </w:r>
          </w:p>
        </w:tc>
        <w:tc>
          <w:tcPr>
            <w:tcW w:w="492"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Podielová účasť, okrem PUJ (062A)</w:t>
            </w:r>
          </w:p>
        </w:tc>
        <w:tc>
          <w:tcPr>
            <w:tcW w:w="46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CP a podiely (063A)</w:t>
            </w:r>
          </w:p>
        </w:tc>
        <w:tc>
          <w:tcPr>
            <w:tcW w:w="39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Pôžičky PUJ (066A)</w:t>
            </w:r>
          </w:p>
        </w:tc>
        <w:tc>
          <w:tcPr>
            <w:tcW w:w="422"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Pôžičky, okrem  PUJ (066A)</w:t>
            </w:r>
          </w:p>
        </w:tc>
        <w:tc>
          <w:tcPr>
            <w:tcW w:w="42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pôžičky (067A)</w:t>
            </w:r>
          </w:p>
        </w:tc>
        <w:tc>
          <w:tcPr>
            <w:tcW w:w="402"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Dlhové CP a ostatný DFM (065A, 069A)</w:t>
            </w:r>
          </w:p>
        </w:tc>
        <w:tc>
          <w:tcPr>
            <w:tcW w:w="59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Pôžičky a ostatný DFM (T≥1R) (066A,067A, 069A)</w:t>
            </w:r>
          </w:p>
        </w:tc>
        <w:tc>
          <w:tcPr>
            <w:tcW w:w="539"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Obstaranie a preddavky (043,053)</w:t>
            </w:r>
          </w:p>
        </w:tc>
        <w:tc>
          <w:tcPr>
            <w:tcW w:w="369"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SPOLU</w:t>
            </w:r>
          </w:p>
        </w:tc>
      </w:tr>
      <w:tr w:rsidR="00CE4FC0" w:rsidRPr="00CE4FC0" w:rsidTr="00D60C0F">
        <w:tc>
          <w:tcPr>
            <w:tcW w:w="5000" w:type="pct"/>
            <w:gridSpan w:val="11"/>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Prvotné ocenenie</w:t>
            </w:r>
          </w:p>
        </w:tc>
      </w:tr>
      <w:tr w:rsidR="00CE4FC0" w:rsidRPr="00CE4FC0" w:rsidTr="00D60C0F">
        <w:tc>
          <w:tcPr>
            <w:tcW w:w="410"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začiatku účtovného obdobia</w:t>
            </w:r>
          </w:p>
        </w:tc>
        <w:tc>
          <w:tcPr>
            <w:tcW w:w="493"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92" w:type="pct"/>
          </w:tcPr>
          <w:p w:rsidR="00CE4FC0" w:rsidRPr="00CE4FC0" w:rsidRDefault="00CE4FC0" w:rsidP="00CE4FC0">
            <w:pPr>
              <w:jc w:val="right"/>
              <w:rPr>
                <w:rFonts w:ascii="Calibri" w:eastAsia="Times New Roman" w:hAnsi="Calibri" w:cs="Times New Roman"/>
                <w:b/>
                <w:sz w:val="20"/>
                <w:szCs w:val="20"/>
              </w:rPr>
            </w:pPr>
          </w:p>
        </w:tc>
        <w:tc>
          <w:tcPr>
            <w:tcW w:w="464" w:type="pct"/>
          </w:tcPr>
          <w:p w:rsidR="00CE4FC0" w:rsidRPr="00CE4FC0" w:rsidRDefault="00CE4FC0" w:rsidP="00CE4FC0">
            <w:pPr>
              <w:jc w:val="right"/>
              <w:rPr>
                <w:rFonts w:ascii="Calibri" w:eastAsia="Times New Roman" w:hAnsi="Calibri" w:cs="Times New Roman"/>
                <w:b/>
                <w:sz w:val="20"/>
                <w:szCs w:val="20"/>
              </w:rPr>
            </w:pPr>
          </w:p>
        </w:tc>
        <w:tc>
          <w:tcPr>
            <w:tcW w:w="398" w:type="pct"/>
          </w:tcPr>
          <w:p w:rsidR="00CE4FC0" w:rsidRPr="00CE4FC0" w:rsidRDefault="00CE4FC0" w:rsidP="00CE4FC0">
            <w:pPr>
              <w:jc w:val="right"/>
              <w:rPr>
                <w:rFonts w:ascii="Calibri" w:eastAsia="Times New Roman" w:hAnsi="Calibri" w:cs="Times New Roman"/>
                <w:b/>
                <w:sz w:val="20"/>
                <w:szCs w:val="20"/>
              </w:rPr>
            </w:pPr>
          </w:p>
        </w:tc>
        <w:tc>
          <w:tcPr>
            <w:tcW w:w="422" w:type="pct"/>
          </w:tcPr>
          <w:p w:rsidR="00CE4FC0" w:rsidRPr="00CE4FC0" w:rsidRDefault="00CE4FC0" w:rsidP="00CE4FC0">
            <w:pPr>
              <w:jc w:val="right"/>
              <w:rPr>
                <w:rFonts w:ascii="Calibri" w:eastAsia="Times New Roman" w:hAnsi="Calibri" w:cs="Times New Roman"/>
                <w:b/>
                <w:sz w:val="20"/>
                <w:szCs w:val="20"/>
              </w:rPr>
            </w:pPr>
          </w:p>
        </w:tc>
        <w:tc>
          <w:tcPr>
            <w:tcW w:w="420" w:type="pct"/>
          </w:tcPr>
          <w:p w:rsidR="00CE4FC0" w:rsidRPr="00CE4FC0" w:rsidRDefault="00CE4FC0" w:rsidP="00CE4FC0">
            <w:pPr>
              <w:jc w:val="right"/>
              <w:rPr>
                <w:rFonts w:ascii="Calibri" w:eastAsia="Times New Roman" w:hAnsi="Calibri" w:cs="Times New Roman"/>
                <w:b/>
                <w:sz w:val="20"/>
                <w:szCs w:val="20"/>
              </w:rPr>
            </w:pPr>
          </w:p>
        </w:tc>
        <w:tc>
          <w:tcPr>
            <w:tcW w:w="402" w:type="pct"/>
          </w:tcPr>
          <w:p w:rsidR="00CE4FC0" w:rsidRPr="00CE4FC0" w:rsidRDefault="00CE4FC0" w:rsidP="00CE4FC0">
            <w:pPr>
              <w:jc w:val="right"/>
              <w:rPr>
                <w:rFonts w:ascii="Calibri" w:eastAsia="Times New Roman" w:hAnsi="Calibri" w:cs="Times New Roman"/>
                <w:b/>
                <w:sz w:val="20"/>
                <w:szCs w:val="20"/>
              </w:rPr>
            </w:pPr>
          </w:p>
        </w:tc>
        <w:tc>
          <w:tcPr>
            <w:tcW w:w="590" w:type="pct"/>
          </w:tcPr>
          <w:p w:rsidR="00CE4FC0" w:rsidRPr="00CE4FC0" w:rsidRDefault="00CE4FC0" w:rsidP="00CE4FC0">
            <w:pPr>
              <w:jc w:val="right"/>
              <w:rPr>
                <w:rFonts w:ascii="Calibri" w:eastAsia="Times New Roman" w:hAnsi="Calibri" w:cs="Times New Roman"/>
                <w:b/>
                <w:sz w:val="20"/>
                <w:szCs w:val="20"/>
              </w:rPr>
            </w:pPr>
          </w:p>
        </w:tc>
        <w:tc>
          <w:tcPr>
            <w:tcW w:w="539" w:type="pct"/>
          </w:tcPr>
          <w:p w:rsidR="00CE4FC0" w:rsidRPr="00CE4FC0" w:rsidRDefault="00CE4FC0" w:rsidP="00CE4FC0">
            <w:pPr>
              <w:jc w:val="right"/>
              <w:rPr>
                <w:rFonts w:ascii="Calibri" w:eastAsia="Times New Roman" w:hAnsi="Calibri" w:cs="Times New Roman"/>
                <w:b/>
                <w:sz w:val="20"/>
                <w:szCs w:val="20"/>
              </w:rPr>
            </w:pPr>
          </w:p>
        </w:tc>
        <w:tc>
          <w:tcPr>
            <w:tcW w:w="36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r>
      <w:tr w:rsidR="00CE4FC0" w:rsidRPr="00CE4FC0" w:rsidTr="00D60C0F">
        <w:tc>
          <w:tcPr>
            <w:tcW w:w="41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Prírastky</w:t>
            </w:r>
          </w:p>
        </w:tc>
        <w:tc>
          <w:tcPr>
            <w:tcW w:w="49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492" w:type="pct"/>
          </w:tcPr>
          <w:p w:rsidR="00CE4FC0" w:rsidRPr="00CE4FC0" w:rsidRDefault="00CE4FC0" w:rsidP="00CE4FC0">
            <w:pPr>
              <w:jc w:val="right"/>
              <w:rPr>
                <w:rFonts w:ascii="Calibri" w:eastAsia="Times New Roman" w:hAnsi="Calibri" w:cs="Times New Roman"/>
                <w:sz w:val="20"/>
                <w:szCs w:val="20"/>
              </w:rPr>
            </w:pPr>
          </w:p>
        </w:tc>
        <w:tc>
          <w:tcPr>
            <w:tcW w:w="464" w:type="pct"/>
          </w:tcPr>
          <w:p w:rsidR="00CE4FC0" w:rsidRPr="00CE4FC0" w:rsidRDefault="00CE4FC0" w:rsidP="00CE4FC0">
            <w:pPr>
              <w:jc w:val="right"/>
              <w:rPr>
                <w:rFonts w:ascii="Calibri" w:eastAsia="Times New Roman" w:hAnsi="Calibri" w:cs="Times New Roman"/>
                <w:sz w:val="20"/>
                <w:szCs w:val="20"/>
              </w:rPr>
            </w:pPr>
          </w:p>
        </w:tc>
        <w:tc>
          <w:tcPr>
            <w:tcW w:w="398" w:type="pct"/>
          </w:tcPr>
          <w:p w:rsidR="00CE4FC0" w:rsidRPr="00CE4FC0" w:rsidRDefault="00CE4FC0" w:rsidP="00CE4FC0">
            <w:pPr>
              <w:jc w:val="right"/>
              <w:rPr>
                <w:rFonts w:ascii="Calibri" w:eastAsia="Times New Roman" w:hAnsi="Calibri" w:cs="Times New Roman"/>
                <w:sz w:val="20"/>
                <w:szCs w:val="20"/>
              </w:rPr>
            </w:pPr>
          </w:p>
        </w:tc>
        <w:tc>
          <w:tcPr>
            <w:tcW w:w="422" w:type="pct"/>
          </w:tcPr>
          <w:p w:rsidR="00CE4FC0" w:rsidRPr="00CE4FC0" w:rsidRDefault="00CE4FC0" w:rsidP="00CE4FC0">
            <w:pPr>
              <w:jc w:val="right"/>
              <w:rPr>
                <w:rFonts w:ascii="Calibri" w:eastAsia="Times New Roman" w:hAnsi="Calibri" w:cs="Times New Roman"/>
                <w:sz w:val="20"/>
                <w:szCs w:val="20"/>
              </w:rPr>
            </w:pPr>
          </w:p>
        </w:tc>
        <w:tc>
          <w:tcPr>
            <w:tcW w:w="420" w:type="pct"/>
          </w:tcPr>
          <w:p w:rsidR="00CE4FC0" w:rsidRPr="00CE4FC0" w:rsidRDefault="00CE4FC0" w:rsidP="00CE4FC0">
            <w:pPr>
              <w:jc w:val="right"/>
              <w:rPr>
                <w:rFonts w:ascii="Calibri" w:eastAsia="Times New Roman" w:hAnsi="Calibri" w:cs="Times New Roman"/>
                <w:sz w:val="20"/>
                <w:szCs w:val="20"/>
              </w:rPr>
            </w:pPr>
          </w:p>
        </w:tc>
        <w:tc>
          <w:tcPr>
            <w:tcW w:w="402" w:type="pct"/>
          </w:tcPr>
          <w:p w:rsidR="00CE4FC0" w:rsidRPr="00CE4FC0" w:rsidRDefault="00CE4FC0" w:rsidP="00CE4FC0">
            <w:pPr>
              <w:jc w:val="right"/>
              <w:rPr>
                <w:rFonts w:ascii="Calibri" w:eastAsia="Times New Roman" w:hAnsi="Calibri" w:cs="Times New Roman"/>
                <w:sz w:val="20"/>
                <w:szCs w:val="20"/>
              </w:rPr>
            </w:pPr>
          </w:p>
        </w:tc>
        <w:tc>
          <w:tcPr>
            <w:tcW w:w="590" w:type="pct"/>
          </w:tcPr>
          <w:p w:rsidR="00CE4FC0" w:rsidRPr="00CE4FC0" w:rsidRDefault="00CE4FC0" w:rsidP="00CE4FC0">
            <w:pPr>
              <w:jc w:val="right"/>
              <w:rPr>
                <w:rFonts w:ascii="Calibri" w:eastAsia="Times New Roman" w:hAnsi="Calibri" w:cs="Times New Roman"/>
                <w:sz w:val="20"/>
                <w:szCs w:val="20"/>
              </w:rPr>
            </w:pPr>
          </w:p>
        </w:tc>
        <w:tc>
          <w:tcPr>
            <w:tcW w:w="539" w:type="pct"/>
          </w:tcPr>
          <w:p w:rsidR="00CE4FC0" w:rsidRPr="00CE4FC0" w:rsidRDefault="00CE4FC0" w:rsidP="00CE4FC0">
            <w:pPr>
              <w:jc w:val="right"/>
              <w:rPr>
                <w:rFonts w:ascii="Calibri" w:eastAsia="Times New Roman" w:hAnsi="Calibri" w:cs="Times New Roman"/>
                <w:sz w:val="20"/>
                <w:szCs w:val="20"/>
              </w:rPr>
            </w:pPr>
          </w:p>
        </w:tc>
        <w:tc>
          <w:tcPr>
            <w:tcW w:w="36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41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Úbytky</w:t>
            </w:r>
          </w:p>
        </w:tc>
        <w:tc>
          <w:tcPr>
            <w:tcW w:w="49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492" w:type="pct"/>
          </w:tcPr>
          <w:p w:rsidR="00CE4FC0" w:rsidRPr="00CE4FC0" w:rsidRDefault="00CE4FC0" w:rsidP="00CE4FC0">
            <w:pPr>
              <w:jc w:val="right"/>
              <w:rPr>
                <w:rFonts w:ascii="Calibri" w:eastAsia="Times New Roman" w:hAnsi="Calibri" w:cs="Times New Roman"/>
                <w:sz w:val="20"/>
                <w:szCs w:val="20"/>
              </w:rPr>
            </w:pPr>
          </w:p>
        </w:tc>
        <w:tc>
          <w:tcPr>
            <w:tcW w:w="464" w:type="pct"/>
          </w:tcPr>
          <w:p w:rsidR="00CE4FC0" w:rsidRPr="00CE4FC0" w:rsidRDefault="00CE4FC0" w:rsidP="00CE4FC0">
            <w:pPr>
              <w:jc w:val="right"/>
              <w:rPr>
                <w:rFonts w:ascii="Calibri" w:eastAsia="Times New Roman" w:hAnsi="Calibri" w:cs="Times New Roman"/>
                <w:sz w:val="20"/>
                <w:szCs w:val="20"/>
              </w:rPr>
            </w:pPr>
          </w:p>
        </w:tc>
        <w:tc>
          <w:tcPr>
            <w:tcW w:w="398" w:type="pct"/>
          </w:tcPr>
          <w:p w:rsidR="00CE4FC0" w:rsidRPr="00CE4FC0" w:rsidRDefault="00CE4FC0" w:rsidP="00CE4FC0">
            <w:pPr>
              <w:jc w:val="right"/>
              <w:rPr>
                <w:rFonts w:ascii="Calibri" w:eastAsia="Times New Roman" w:hAnsi="Calibri" w:cs="Times New Roman"/>
                <w:sz w:val="20"/>
                <w:szCs w:val="20"/>
              </w:rPr>
            </w:pPr>
          </w:p>
        </w:tc>
        <w:tc>
          <w:tcPr>
            <w:tcW w:w="422" w:type="pct"/>
          </w:tcPr>
          <w:p w:rsidR="00CE4FC0" w:rsidRPr="00CE4FC0" w:rsidRDefault="00CE4FC0" w:rsidP="00CE4FC0">
            <w:pPr>
              <w:jc w:val="right"/>
              <w:rPr>
                <w:rFonts w:ascii="Calibri" w:eastAsia="Times New Roman" w:hAnsi="Calibri" w:cs="Times New Roman"/>
                <w:sz w:val="20"/>
                <w:szCs w:val="20"/>
              </w:rPr>
            </w:pPr>
          </w:p>
        </w:tc>
        <w:tc>
          <w:tcPr>
            <w:tcW w:w="420" w:type="pct"/>
          </w:tcPr>
          <w:p w:rsidR="00CE4FC0" w:rsidRPr="00CE4FC0" w:rsidRDefault="00CE4FC0" w:rsidP="00CE4FC0">
            <w:pPr>
              <w:jc w:val="right"/>
              <w:rPr>
                <w:rFonts w:ascii="Calibri" w:eastAsia="Times New Roman" w:hAnsi="Calibri" w:cs="Times New Roman"/>
                <w:sz w:val="20"/>
                <w:szCs w:val="20"/>
              </w:rPr>
            </w:pPr>
          </w:p>
        </w:tc>
        <w:tc>
          <w:tcPr>
            <w:tcW w:w="402" w:type="pct"/>
          </w:tcPr>
          <w:p w:rsidR="00CE4FC0" w:rsidRPr="00CE4FC0" w:rsidRDefault="00CE4FC0" w:rsidP="00CE4FC0">
            <w:pPr>
              <w:jc w:val="right"/>
              <w:rPr>
                <w:rFonts w:ascii="Calibri" w:eastAsia="Times New Roman" w:hAnsi="Calibri" w:cs="Times New Roman"/>
                <w:sz w:val="20"/>
                <w:szCs w:val="20"/>
              </w:rPr>
            </w:pPr>
          </w:p>
        </w:tc>
        <w:tc>
          <w:tcPr>
            <w:tcW w:w="590" w:type="pct"/>
          </w:tcPr>
          <w:p w:rsidR="00CE4FC0" w:rsidRPr="00CE4FC0" w:rsidRDefault="00CE4FC0" w:rsidP="00CE4FC0">
            <w:pPr>
              <w:jc w:val="right"/>
              <w:rPr>
                <w:rFonts w:ascii="Calibri" w:eastAsia="Times New Roman" w:hAnsi="Calibri" w:cs="Times New Roman"/>
                <w:sz w:val="20"/>
                <w:szCs w:val="20"/>
              </w:rPr>
            </w:pPr>
          </w:p>
        </w:tc>
        <w:tc>
          <w:tcPr>
            <w:tcW w:w="539" w:type="pct"/>
          </w:tcPr>
          <w:p w:rsidR="00CE4FC0" w:rsidRPr="00CE4FC0" w:rsidRDefault="00CE4FC0" w:rsidP="00CE4FC0">
            <w:pPr>
              <w:jc w:val="right"/>
              <w:rPr>
                <w:rFonts w:ascii="Calibri" w:eastAsia="Times New Roman" w:hAnsi="Calibri" w:cs="Times New Roman"/>
                <w:sz w:val="20"/>
                <w:szCs w:val="20"/>
              </w:rPr>
            </w:pPr>
          </w:p>
        </w:tc>
        <w:tc>
          <w:tcPr>
            <w:tcW w:w="36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41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Presuny</w:t>
            </w:r>
          </w:p>
        </w:tc>
        <w:tc>
          <w:tcPr>
            <w:tcW w:w="493" w:type="pct"/>
          </w:tcPr>
          <w:p w:rsidR="00CE4FC0" w:rsidRPr="00CE4FC0" w:rsidRDefault="00CE4FC0" w:rsidP="00CE4FC0">
            <w:pPr>
              <w:jc w:val="right"/>
              <w:rPr>
                <w:rFonts w:ascii="Calibri" w:eastAsia="Times New Roman" w:hAnsi="Calibri" w:cs="Times New Roman"/>
                <w:sz w:val="20"/>
                <w:szCs w:val="20"/>
              </w:rPr>
            </w:pPr>
          </w:p>
        </w:tc>
        <w:tc>
          <w:tcPr>
            <w:tcW w:w="492" w:type="pct"/>
          </w:tcPr>
          <w:p w:rsidR="00CE4FC0" w:rsidRPr="00CE4FC0" w:rsidRDefault="00CE4FC0" w:rsidP="00CE4FC0">
            <w:pPr>
              <w:jc w:val="right"/>
              <w:rPr>
                <w:rFonts w:ascii="Calibri" w:eastAsia="Times New Roman" w:hAnsi="Calibri" w:cs="Times New Roman"/>
                <w:sz w:val="20"/>
                <w:szCs w:val="20"/>
              </w:rPr>
            </w:pPr>
          </w:p>
        </w:tc>
        <w:tc>
          <w:tcPr>
            <w:tcW w:w="464" w:type="pct"/>
          </w:tcPr>
          <w:p w:rsidR="00CE4FC0" w:rsidRPr="00CE4FC0" w:rsidRDefault="00CE4FC0" w:rsidP="00CE4FC0">
            <w:pPr>
              <w:jc w:val="right"/>
              <w:rPr>
                <w:rFonts w:ascii="Calibri" w:eastAsia="Times New Roman" w:hAnsi="Calibri" w:cs="Times New Roman"/>
                <w:sz w:val="20"/>
                <w:szCs w:val="20"/>
              </w:rPr>
            </w:pPr>
          </w:p>
        </w:tc>
        <w:tc>
          <w:tcPr>
            <w:tcW w:w="398" w:type="pct"/>
          </w:tcPr>
          <w:p w:rsidR="00CE4FC0" w:rsidRPr="00CE4FC0" w:rsidRDefault="00CE4FC0" w:rsidP="00CE4FC0">
            <w:pPr>
              <w:jc w:val="right"/>
              <w:rPr>
                <w:rFonts w:ascii="Calibri" w:eastAsia="Times New Roman" w:hAnsi="Calibri" w:cs="Times New Roman"/>
                <w:sz w:val="20"/>
                <w:szCs w:val="20"/>
              </w:rPr>
            </w:pPr>
          </w:p>
        </w:tc>
        <w:tc>
          <w:tcPr>
            <w:tcW w:w="422" w:type="pct"/>
          </w:tcPr>
          <w:p w:rsidR="00CE4FC0" w:rsidRPr="00CE4FC0" w:rsidRDefault="00CE4FC0" w:rsidP="00CE4FC0">
            <w:pPr>
              <w:jc w:val="right"/>
              <w:rPr>
                <w:rFonts w:ascii="Calibri" w:eastAsia="Times New Roman" w:hAnsi="Calibri" w:cs="Times New Roman"/>
                <w:sz w:val="20"/>
                <w:szCs w:val="20"/>
              </w:rPr>
            </w:pPr>
          </w:p>
        </w:tc>
        <w:tc>
          <w:tcPr>
            <w:tcW w:w="420" w:type="pct"/>
          </w:tcPr>
          <w:p w:rsidR="00CE4FC0" w:rsidRPr="00CE4FC0" w:rsidRDefault="00CE4FC0" w:rsidP="00CE4FC0">
            <w:pPr>
              <w:jc w:val="right"/>
              <w:rPr>
                <w:rFonts w:ascii="Calibri" w:eastAsia="Times New Roman" w:hAnsi="Calibri" w:cs="Times New Roman"/>
                <w:sz w:val="20"/>
                <w:szCs w:val="20"/>
              </w:rPr>
            </w:pPr>
          </w:p>
        </w:tc>
        <w:tc>
          <w:tcPr>
            <w:tcW w:w="402" w:type="pct"/>
          </w:tcPr>
          <w:p w:rsidR="00CE4FC0" w:rsidRPr="00CE4FC0" w:rsidRDefault="00CE4FC0" w:rsidP="00CE4FC0">
            <w:pPr>
              <w:jc w:val="right"/>
              <w:rPr>
                <w:rFonts w:ascii="Calibri" w:eastAsia="Times New Roman" w:hAnsi="Calibri" w:cs="Times New Roman"/>
                <w:sz w:val="20"/>
                <w:szCs w:val="20"/>
              </w:rPr>
            </w:pPr>
          </w:p>
        </w:tc>
        <w:tc>
          <w:tcPr>
            <w:tcW w:w="590" w:type="pct"/>
          </w:tcPr>
          <w:p w:rsidR="00CE4FC0" w:rsidRPr="00CE4FC0" w:rsidRDefault="00CE4FC0" w:rsidP="00CE4FC0">
            <w:pPr>
              <w:jc w:val="right"/>
              <w:rPr>
                <w:rFonts w:ascii="Calibri" w:eastAsia="Times New Roman" w:hAnsi="Calibri" w:cs="Times New Roman"/>
                <w:sz w:val="20"/>
                <w:szCs w:val="20"/>
              </w:rPr>
            </w:pPr>
          </w:p>
        </w:tc>
        <w:tc>
          <w:tcPr>
            <w:tcW w:w="539" w:type="pct"/>
          </w:tcPr>
          <w:p w:rsidR="00CE4FC0" w:rsidRPr="00CE4FC0" w:rsidRDefault="00CE4FC0" w:rsidP="00CE4FC0">
            <w:pPr>
              <w:jc w:val="right"/>
              <w:rPr>
                <w:rFonts w:ascii="Calibri" w:eastAsia="Times New Roman" w:hAnsi="Calibri" w:cs="Times New Roman"/>
                <w:sz w:val="20"/>
                <w:szCs w:val="20"/>
              </w:rPr>
            </w:pPr>
          </w:p>
        </w:tc>
        <w:tc>
          <w:tcPr>
            <w:tcW w:w="369"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410"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konci účtovného obdobia</w:t>
            </w:r>
          </w:p>
        </w:tc>
        <w:tc>
          <w:tcPr>
            <w:tcW w:w="493"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92" w:type="pct"/>
          </w:tcPr>
          <w:p w:rsidR="00CE4FC0" w:rsidRPr="00CE4FC0" w:rsidRDefault="00CE4FC0" w:rsidP="00CE4FC0">
            <w:pPr>
              <w:jc w:val="right"/>
              <w:rPr>
                <w:rFonts w:ascii="Calibri" w:eastAsia="Times New Roman" w:hAnsi="Calibri" w:cs="Times New Roman"/>
                <w:b/>
                <w:sz w:val="20"/>
                <w:szCs w:val="20"/>
              </w:rPr>
            </w:pPr>
          </w:p>
        </w:tc>
        <w:tc>
          <w:tcPr>
            <w:tcW w:w="464" w:type="pct"/>
          </w:tcPr>
          <w:p w:rsidR="00CE4FC0" w:rsidRPr="00CE4FC0" w:rsidRDefault="00CE4FC0" w:rsidP="00CE4FC0">
            <w:pPr>
              <w:jc w:val="right"/>
              <w:rPr>
                <w:rFonts w:ascii="Calibri" w:eastAsia="Times New Roman" w:hAnsi="Calibri" w:cs="Times New Roman"/>
                <w:b/>
                <w:sz w:val="20"/>
                <w:szCs w:val="20"/>
              </w:rPr>
            </w:pPr>
          </w:p>
        </w:tc>
        <w:tc>
          <w:tcPr>
            <w:tcW w:w="398" w:type="pct"/>
          </w:tcPr>
          <w:p w:rsidR="00CE4FC0" w:rsidRPr="00CE4FC0" w:rsidRDefault="00CE4FC0" w:rsidP="00CE4FC0">
            <w:pPr>
              <w:jc w:val="right"/>
              <w:rPr>
                <w:rFonts w:ascii="Calibri" w:eastAsia="Times New Roman" w:hAnsi="Calibri" w:cs="Times New Roman"/>
                <w:b/>
                <w:sz w:val="20"/>
                <w:szCs w:val="20"/>
              </w:rPr>
            </w:pPr>
          </w:p>
        </w:tc>
        <w:tc>
          <w:tcPr>
            <w:tcW w:w="422" w:type="pct"/>
          </w:tcPr>
          <w:p w:rsidR="00CE4FC0" w:rsidRPr="00CE4FC0" w:rsidRDefault="00CE4FC0" w:rsidP="00CE4FC0">
            <w:pPr>
              <w:jc w:val="right"/>
              <w:rPr>
                <w:rFonts w:ascii="Calibri" w:eastAsia="Times New Roman" w:hAnsi="Calibri" w:cs="Times New Roman"/>
                <w:b/>
                <w:sz w:val="20"/>
                <w:szCs w:val="20"/>
              </w:rPr>
            </w:pPr>
          </w:p>
        </w:tc>
        <w:tc>
          <w:tcPr>
            <w:tcW w:w="420" w:type="pct"/>
          </w:tcPr>
          <w:p w:rsidR="00CE4FC0" w:rsidRPr="00CE4FC0" w:rsidRDefault="00CE4FC0" w:rsidP="00CE4FC0">
            <w:pPr>
              <w:jc w:val="right"/>
              <w:rPr>
                <w:rFonts w:ascii="Calibri" w:eastAsia="Times New Roman" w:hAnsi="Calibri" w:cs="Times New Roman"/>
                <w:b/>
                <w:sz w:val="20"/>
                <w:szCs w:val="20"/>
              </w:rPr>
            </w:pPr>
          </w:p>
        </w:tc>
        <w:tc>
          <w:tcPr>
            <w:tcW w:w="402" w:type="pct"/>
          </w:tcPr>
          <w:p w:rsidR="00CE4FC0" w:rsidRPr="00CE4FC0" w:rsidRDefault="00CE4FC0" w:rsidP="00CE4FC0">
            <w:pPr>
              <w:jc w:val="right"/>
              <w:rPr>
                <w:rFonts w:ascii="Calibri" w:eastAsia="Times New Roman" w:hAnsi="Calibri" w:cs="Times New Roman"/>
                <w:b/>
                <w:sz w:val="20"/>
                <w:szCs w:val="20"/>
              </w:rPr>
            </w:pPr>
          </w:p>
        </w:tc>
        <w:tc>
          <w:tcPr>
            <w:tcW w:w="590" w:type="pct"/>
          </w:tcPr>
          <w:p w:rsidR="00CE4FC0" w:rsidRPr="00CE4FC0" w:rsidRDefault="00CE4FC0" w:rsidP="00CE4FC0">
            <w:pPr>
              <w:jc w:val="right"/>
              <w:rPr>
                <w:rFonts w:ascii="Calibri" w:eastAsia="Times New Roman" w:hAnsi="Calibri" w:cs="Times New Roman"/>
                <w:b/>
                <w:sz w:val="20"/>
                <w:szCs w:val="20"/>
              </w:rPr>
            </w:pPr>
          </w:p>
        </w:tc>
        <w:tc>
          <w:tcPr>
            <w:tcW w:w="539" w:type="pct"/>
          </w:tcPr>
          <w:p w:rsidR="00CE4FC0" w:rsidRPr="00CE4FC0" w:rsidRDefault="00CE4FC0" w:rsidP="00CE4FC0">
            <w:pPr>
              <w:jc w:val="right"/>
              <w:rPr>
                <w:rFonts w:ascii="Calibri" w:eastAsia="Times New Roman" w:hAnsi="Calibri" w:cs="Times New Roman"/>
                <w:b/>
                <w:sz w:val="20"/>
                <w:szCs w:val="20"/>
              </w:rPr>
            </w:pPr>
          </w:p>
        </w:tc>
        <w:tc>
          <w:tcPr>
            <w:tcW w:w="36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r>
      <w:tr w:rsidR="00CE4FC0" w:rsidRPr="00CE4FC0" w:rsidTr="00D60C0F">
        <w:tc>
          <w:tcPr>
            <w:tcW w:w="5000" w:type="pct"/>
            <w:gridSpan w:val="11"/>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Opravné položky</w:t>
            </w:r>
          </w:p>
        </w:tc>
      </w:tr>
      <w:tr w:rsidR="00CE4FC0" w:rsidRPr="00CE4FC0" w:rsidTr="00D60C0F">
        <w:tc>
          <w:tcPr>
            <w:tcW w:w="410"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začiatku účtovného obdobia</w:t>
            </w:r>
          </w:p>
        </w:tc>
        <w:tc>
          <w:tcPr>
            <w:tcW w:w="493" w:type="pct"/>
          </w:tcPr>
          <w:p w:rsidR="00CE4FC0" w:rsidRPr="00CE4FC0" w:rsidRDefault="00CE4FC0" w:rsidP="00CE4FC0">
            <w:pPr>
              <w:jc w:val="right"/>
              <w:rPr>
                <w:rFonts w:ascii="Calibri" w:eastAsia="Times New Roman" w:hAnsi="Calibri" w:cs="Times New Roman"/>
                <w:b/>
                <w:sz w:val="20"/>
                <w:szCs w:val="20"/>
              </w:rPr>
            </w:pPr>
          </w:p>
        </w:tc>
        <w:tc>
          <w:tcPr>
            <w:tcW w:w="492" w:type="pct"/>
          </w:tcPr>
          <w:p w:rsidR="00CE4FC0" w:rsidRPr="00CE4FC0" w:rsidRDefault="00CE4FC0" w:rsidP="00CE4FC0">
            <w:pPr>
              <w:jc w:val="right"/>
              <w:rPr>
                <w:rFonts w:ascii="Calibri" w:eastAsia="Times New Roman" w:hAnsi="Calibri" w:cs="Times New Roman"/>
                <w:b/>
                <w:sz w:val="20"/>
                <w:szCs w:val="20"/>
              </w:rPr>
            </w:pPr>
          </w:p>
        </w:tc>
        <w:tc>
          <w:tcPr>
            <w:tcW w:w="464" w:type="pct"/>
          </w:tcPr>
          <w:p w:rsidR="00CE4FC0" w:rsidRPr="00CE4FC0" w:rsidRDefault="00CE4FC0" w:rsidP="00CE4FC0">
            <w:pPr>
              <w:jc w:val="right"/>
              <w:rPr>
                <w:rFonts w:ascii="Calibri" w:eastAsia="Times New Roman" w:hAnsi="Calibri" w:cs="Times New Roman"/>
                <w:b/>
                <w:sz w:val="20"/>
                <w:szCs w:val="20"/>
              </w:rPr>
            </w:pPr>
          </w:p>
        </w:tc>
        <w:tc>
          <w:tcPr>
            <w:tcW w:w="398" w:type="pct"/>
          </w:tcPr>
          <w:p w:rsidR="00CE4FC0" w:rsidRPr="00CE4FC0" w:rsidRDefault="00CE4FC0" w:rsidP="00CE4FC0">
            <w:pPr>
              <w:jc w:val="right"/>
              <w:rPr>
                <w:rFonts w:ascii="Calibri" w:eastAsia="Times New Roman" w:hAnsi="Calibri" w:cs="Times New Roman"/>
                <w:b/>
                <w:sz w:val="20"/>
                <w:szCs w:val="20"/>
              </w:rPr>
            </w:pPr>
          </w:p>
        </w:tc>
        <w:tc>
          <w:tcPr>
            <w:tcW w:w="422" w:type="pct"/>
          </w:tcPr>
          <w:p w:rsidR="00CE4FC0" w:rsidRPr="00CE4FC0" w:rsidRDefault="00CE4FC0" w:rsidP="00CE4FC0">
            <w:pPr>
              <w:jc w:val="right"/>
              <w:rPr>
                <w:rFonts w:ascii="Calibri" w:eastAsia="Times New Roman" w:hAnsi="Calibri" w:cs="Times New Roman"/>
                <w:b/>
                <w:sz w:val="20"/>
                <w:szCs w:val="20"/>
              </w:rPr>
            </w:pPr>
          </w:p>
        </w:tc>
        <w:tc>
          <w:tcPr>
            <w:tcW w:w="420" w:type="pct"/>
          </w:tcPr>
          <w:p w:rsidR="00CE4FC0" w:rsidRPr="00CE4FC0" w:rsidRDefault="00CE4FC0" w:rsidP="00CE4FC0">
            <w:pPr>
              <w:jc w:val="right"/>
              <w:rPr>
                <w:rFonts w:ascii="Calibri" w:eastAsia="Times New Roman" w:hAnsi="Calibri" w:cs="Times New Roman"/>
                <w:b/>
                <w:sz w:val="20"/>
                <w:szCs w:val="20"/>
              </w:rPr>
            </w:pPr>
          </w:p>
        </w:tc>
        <w:tc>
          <w:tcPr>
            <w:tcW w:w="402" w:type="pct"/>
          </w:tcPr>
          <w:p w:rsidR="00CE4FC0" w:rsidRPr="00CE4FC0" w:rsidRDefault="00CE4FC0" w:rsidP="00CE4FC0">
            <w:pPr>
              <w:jc w:val="right"/>
              <w:rPr>
                <w:rFonts w:ascii="Calibri" w:eastAsia="Times New Roman" w:hAnsi="Calibri" w:cs="Times New Roman"/>
                <w:b/>
                <w:sz w:val="20"/>
                <w:szCs w:val="20"/>
              </w:rPr>
            </w:pPr>
          </w:p>
        </w:tc>
        <w:tc>
          <w:tcPr>
            <w:tcW w:w="590" w:type="pct"/>
          </w:tcPr>
          <w:p w:rsidR="00CE4FC0" w:rsidRPr="00CE4FC0" w:rsidRDefault="00CE4FC0" w:rsidP="00CE4FC0">
            <w:pPr>
              <w:jc w:val="right"/>
              <w:rPr>
                <w:rFonts w:ascii="Calibri" w:eastAsia="Times New Roman" w:hAnsi="Calibri" w:cs="Times New Roman"/>
                <w:b/>
                <w:sz w:val="20"/>
                <w:szCs w:val="20"/>
              </w:rPr>
            </w:pPr>
          </w:p>
        </w:tc>
        <w:tc>
          <w:tcPr>
            <w:tcW w:w="539" w:type="pct"/>
          </w:tcPr>
          <w:p w:rsidR="00CE4FC0" w:rsidRPr="00CE4FC0" w:rsidRDefault="00CE4FC0" w:rsidP="00CE4FC0">
            <w:pPr>
              <w:jc w:val="right"/>
              <w:rPr>
                <w:rFonts w:ascii="Calibri" w:eastAsia="Times New Roman" w:hAnsi="Calibri" w:cs="Times New Roman"/>
                <w:b/>
                <w:sz w:val="20"/>
                <w:szCs w:val="20"/>
              </w:rPr>
            </w:pPr>
          </w:p>
        </w:tc>
        <w:tc>
          <w:tcPr>
            <w:tcW w:w="369" w:type="pct"/>
          </w:tcPr>
          <w:p w:rsidR="00CE4FC0" w:rsidRPr="00CE4FC0" w:rsidRDefault="00CE4FC0" w:rsidP="00CE4FC0">
            <w:pPr>
              <w:jc w:val="right"/>
              <w:rPr>
                <w:rFonts w:ascii="Calibri" w:eastAsia="Times New Roman" w:hAnsi="Calibri" w:cs="Times New Roman"/>
                <w:b/>
                <w:sz w:val="20"/>
                <w:szCs w:val="20"/>
              </w:rPr>
            </w:pPr>
          </w:p>
        </w:tc>
      </w:tr>
      <w:tr w:rsidR="00CE4FC0" w:rsidRPr="00CE4FC0" w:rsidTr="00D60C0F">
        <w:tc>
          <w:tcPr>
            <w:tcW w:w="41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Prírastky</w:t>
            </w:r>
          </w:p>
        </w:tc>
        <w:tc>
          <w:tcPr>
            <w:tcW w:w="493" w:type="pct"/>
          </w:tcPr>
          <w:p w:rsidR="00CE4FC0" w:rsidRPr="00CE4FC0" w:rsidRDefault="00CE4FC0" w:rsidP="00CE4FC0">
            <w:pPr>
              <w:jc w:val="right"/>
              <w:rPr>
                <w:rFonts w:ascii="Calibri" w:eastAsia="Times New Roman" w:hAnsi="Calibri" w:cs="Times New Roman"/>
                <w:sz w:val="20"/>
                <w:szCs w:val="20"/>
              </w:rPr>
            </w:pPr>
          </w:p>
        </w:tc>
        <w:tc>
          <w:tcPr>
            <w:tcW w:w="492" w:type="pct"/>
          </w:tcPr>
          <w:p w:rsidR="00CE4FC0" w:rsidRPr="00CE4FC0" w:rsidRDefault="00CE4FC0" w:rsidP="00CE4FC0">
            <w:pPr>
              <w:jc w:val="right"/>
              <w:rPr>
                <w:rFonts w:ascii="Calibri" w:eastAsia="Times New Roman" w:hAnsi="Calibri" w:cs="Times New Roman"/>
                <w:sz w:val="20"/>
                <w:szCs w:val="20"/>
              </w:rPr>
            </w:pPr>
          </w:p>
        </w:tc>
        <w:tc>
          <w:tcPr>
            <w:tcW w:w="464" w:type="pct"/>
          </w:tcPr>
          <w:p w:rsidR="00CE4FC0" w:rsidRPr="00CE4FC0" w:rsidRDefault="00CE4FC0" w:rsidP="00CE4FC0">
            <w:pPr>
              <w:jc w:val="right"/>
              <w:rPr>
                <w:rFonts w:ascii="Calibri" w:eastAsia="Times New Roman" w:hAnsi="Calibri" w:cs="Times New Roman"/>
                <w:sz w:val="20"/>
                <w:szCs w:val="20"/>
              </w:rPr>
            </w:pPr>
          </w:p>
        </w:tc>
        <w:tc>
          <w:tcPr>
            <w:tcW w:w="398" w:type="pct"/>
          </w:tcPr>
          <w:p w:rsidR="00CE4FC0" w:rsidRPr="00CE4FC0" w:rsidRDefault="00CE4FC0" w:rsidP="00CE4FC0">
            <w:pPr>
              <w:jc w:val="right"/>
              <w:rPr>
                <w:rFonts w:ascii="Calibri" w:eastAsia="Times New Roman" w:hAnsi="Calibri" w:cs="Times New Roman"/>
                <w:sz w:val="20"/>
                <w:szCs w:val="20"/>
              </w:rPr>
            </w:pPr>
          </w:p>
        </w:tc>
        <w:tc>
          <w:tcPr>
            <w:tcW w:w="422" w:type="pct"/>
          </w:tcPr>
          <w:p w:rsidR="00CE4FC0" w:rsidRPr="00CE4FC0" w:rsidRDefault="00CE4FC0" w:rsidP="00CE4FC0">
            <w:pPr>
              <w:jc w:val="right"/>
              <w:rPr>
                <w:rFonts w:ascii="Calibri" w:eastAsia="Times New Roman" w:hAnsi="Calibri" w:cs="Times New Roman"/>
                <w:sz w:val="20"/>
                <w:szCs w:val="20"/>
              </w:rPr>
            </w:pPr>
          </w:p>
        </w:tc>
        <w:tc>
          <w:tcPr>
            <w:tcW w:w="420" w:type="pct"/>
          </w:tcPr>
          <w:p w:rsidR="00CE4FC0" w:rsidRPr="00CE4FC0" w:rsidRDefault="00CE4FC0" w:rsidP="00CE4FC0">
            <w:pPr>
              <w:jc w:val="right"/>
              <w:rPr>
                <w:rFonts w:ascii="Calibri" w:eastAsia="Times New Roman" w:hAnsi="Calibri" w:cs="Times New Roman"/>
                <w:sz w:val="20"/>
                <w:szCs w:val="20"/>
              </w:rPr>
            </w:pPr>
          </w:p>
        </w:tc>
        <w:tc>
          <w:tcPr>
            <w:tcW w:w="402" w:type="pct"/>
          </w:tcPr>
          <w:p w:rsidR="00CE4FC0" w:rsidRPr="00CE4FC0" w:rsidRDefault="00CE4FC0" w:rsidP="00CE4FC0">
            <w:pPr>
              <w:jc w:val="right"/>
              <w:rPr>
                <w:rFonts w:ascii="Calibri" w:eastAsia="Times New Roman" w:hAnsi="Calibri" w:cs="Times New Roman"/>
                <w:sz w:val="20"/>
                <w:szCs w:val="20"/>
              </w:rPr>
            </w:pPr>
          </w:p>
        </w:tc>
        <w:tc>
          <w:tcPr>
            <w:tcW w:w="590" w:type="pct"/>
          </w:tcPr>
          <w:p w:rsidR="00CE4FC0" w:rsidRPr="00CE4FC0" w:rsidRDefault="00CE4FC0" w:rsidP="00CE4FC0">
            <w:pPr>
              <w:jc w:val="right"/>
              <w:rPr>
                <w:rFonts w:ascii="Calibri" w:eastAsia="Times New Roman" w:hAnsi="Calibri" w:cs="Times New Roman"/>
                <w:sz w:val="20"/>
                <w:szCs w:val="20"/>
              </w:rPr>
            </w:pPr>
          </w:p>
        </w:tc>
        <w:tc>
          <w:tcPr>
            <w:tcW w:w="539" w:type="pct"/>
          </w:tcPr>
          <w:p w:rsidR="00CE4FC0" w:rsidRPr="00CE4FC0" w:rsidRDefault="00CE4FC0" w:rsidP="00CE4FC0">
            <w:pPr>
              <w:jc w:val="right"/>
              <w:rPr>
                <w:rFonts w:ascii="Calibri" w:eastAsia="Times New Roman" w:hAnsi="Calibri" w:cs="Times New Roman"/>
                <w:sz w:val="20"/>
                <w:szCs w:val="20"/>
              </w:rPr>
            </w:pPr>
          </w:p>
        </w:tc>
        <w:tc>
          <w:tcPr>
            <w:tcW w:w="369"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41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Úbytky</w:t>
            </w:r>
          </w:p>
        </w:tc>
        <w:tc>
          <w:tcPr>
            <w:tcW w:w="493" w:type="pct"/>
          </w:tcPr>
          <w:p w:rsidR="00CE4FC0" w:rsidRPr="00CE4FC0" w:rsidRDefault="00CE4FC0" w:rsidP="00CE4FC0">
            <w:pPr>
              <w:jc w:val="right"/>
              <w:rPr>
                <w:rFonts w:ascii="Calibri" w:eastAsia="Times New Roman" w:hAnsi="Calibri" w:cs="Times New Roman"/>
                <w:sz w:val="20"/>
                <w:szCs w:val="20"/>
              </w:rPr>
            </w:pPr>
          </w:p>
        </w:tc>
        <w:tc>
          <w:tcPr>
            <w:tcW w:w="492" w:type="pct"/>
          </w:tcPr>
          <w:p w:rsidR="00CE4FC0" w:rsidRPr="00CE4FC0" w:rsidRDefault="00CE4FC0" w:rsidP="00CE4FC0">
            <w:pPr>
              <w:jc w:val="right"/>
              <w:rPr>
                <w:rFonts w:ascii="Calibri" w:eastAsia="Times New Roman" w:hAnsi="Calibri" w:cs="Times New Roman"/>
                <w:sz w:val="20"/>
                <w:szCs w:val="20"/>
              </w:rPr>
            </w:pPr>
          </w:p>
        </w:tc>
        <w:tc>
          <w:tcPr>
            <w:tcW w:w="464" w:type="pct"/>
          </w:tcPr>
          <w:p w:rsidR="00CE4FC0" w:rsidRPr="00CE4FC0" w:rsidRDefault="00CE4FC0" w:rsidP="00CE4FC0">
            <w:pPr>
              <w:jc w:val="right"/>
              <w:rPr>
                <w:rFonts w:ascii="Calibri" w:eastAsia="Times New Roman" w:hAnsi="Calibri" w:cs="Times New Roman"/>
                <w:sz w:val="20"/>
                <w:szCs w:val="20"/>
              </w:rPr>
            </w:pPr>
          </w:p>
        </w:tc>
        <w:tc>
          <w:tcPr>
            <w:tcW w:w="398" w:type="pct"/>
          </w:tcPr>
          <w:p w:rsidR="00CE4FC0" w:rsidRPr="00CE4FC0" w:rsidRDefault="00CE4FC0" w:rsidP="00CE4FC0">
            <w:pPr>
              <w:jc w:val="right"/>
              <w:rPr>
                <w:rFonts w:ascii="Calibri" w:eastAsia="Times New Roman" w:hAnsi="Calibri" w:cs="Times New Roman"/>
                <w:sz w:val="20"/>
                <w:szCs w:val="20"/>
              </w:rPr>
            </w:pPr>
          </w:p>
        </w:tc>
        <w:tc>
          <w:tcPr>
            <w:tcW w:w="422" w:type="pct"/>
          </w:tcPr>
          <w:p w:rsidR="00CE4FC0" w:rsidRPr="00CE4FC0" w:rsidRDefault="00CE4FC0" w:rsidP="00CE4FC0">
            <w:pPr>
              <w:jc w:val="right"/>
              <w:rPr>
                <w:rFonts w:ascii="Calibri" w:eastAsia="Times New Roman" w:hAnsi="Calibri" w:cs="Times New Roman"/>
                <w:sz w:val="20"/>
                <w:szCs w:val="20"/>
              </w:rPr>
            </w:pPr>
          </w:p>
        </w:tc>
        <w:tc>
          <w:tcPr>
            <w:tcW w:w="420" w:type="pct"/>
          </w:tcPr>
          <w:p w:rsidR="00CE4FC0" w:rsidRPr="00CE4FC0" w:rsidRDefault="00CE4FC0" w:rsidP="00CE4FC0">
            <w:pPr>
              <w:jc w:val="right"/>
              <w:rPr>
                <w:rFonts w:ascii="Calibri" w:eastAsia="Times New Roman" w:hAnsi="Calibri" w:cs="Times New Roman"/>
                <w:sz w:val="20"/>
                <w:szCs w:val="20"/>
              </w:rPr>
            </w:pPr>
          </w:p>
        </w:tc>
        <w:tc>
          <w:tcPr>
            <w:tcW w:w="402" w:type="pct"/>
          </w:tcPr>
          <w:p w:rsidR="00CE4FC0" w:rsidRPr="00CE4FC0" w:rsidRDefault="00CE4FC0" w:rsidP="00CE4FC0">
            <w:pPr>
              <w:jc w:val="right"/>
              <w:rPr>
                <w:rFonts w:ascii="Calibri" w:eastAsia="Times New Roman" w:hAnsi="Calibri" w:cs="Times New Roman"/>
                <w:sz w:val="20"/>
                <w:szCs w:val="20"/>
              </w:rPr>
            </w:pPr>
          </w:p>
        </w:tc>
        <w:tc>
          <w:tcPr>
            <w:tcW w:w="590" w:type="pct"/>
          </w:tcPr>
          <w:p w:rsidR="00CE4FC0" w:rsidRPr="00CE4FC0" w:rsidRDefault="00CE4FC0" w:rsidP="00CE4FC0">
            <w:pPr>
              <w:jc w:val="right"/>
              <w:rPr>
                <w:rFonts w:ascii="Calibri" w:eastAsia="Times New Roman" w:hAnsi="Calibri" w:cs="Times New Roman"/>
                <w:sz w:val="20"/>
                <w:szCs w:val="20"/>
              </w:rPr>
            </w:pPr>
          </w:p>
        </w:tc>
        <w:tc>
          <w:tcPr>
            <w:tcW w:w="539" w:type="pct"/>
          </w:tcPr>
          <w:p w:rsidR="00CE4FC0" w:rsidRPr="00CE4FC0" w:rsidRDefault="00CE4FC0" w:rsidP="00CE4FC0">
            <w:pPr>
              <w:jc w:val="right"/>
              <w:rPr>
                <w:rFonts w:ascii="Calibri" w:eastAsia="Times New Roman" w:hAnsi="Calibri" w:cs="Times New Roman"/>
                <w:sz w:val="20"/>
                <w:szCs w:val="20"/>
              </w:rPr>
            </w:pPr>
          </w:p>
        </w:tc>
        <w:tc>
          <w:tcPr>
            <w:tcW w:w="369"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41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Presuny</w:t>
            </w:r>
          </w:p>
        </w:tc>
        <w:tc>
          <w:tcPr>
            <w:tcW w:w="493" w:type="pct"/>
          </w:tcPr>
          <w:p w:rsidR="00CE4FC0" w:rsidRPr="00CE4FC0" w:rsidRDefault="00CE4FC0" w:rsidP="00CE4FC0">
            <w:pPr>
              <w:jc w:val="right"/>
              <w:rPr>
                <w:rFonts w:ascii="Calibri" w:eastAsia="Times New Roman" w:hAnsi="Calibri" w:cs="Times New Roman"/>
                <w:sz w:val="20"/>
                <w:szCs w:val="20"/>
              </w:rPr>
            </w:pPr>
          </w:p>
        </w:tc>
        <w:tc>
          <w:tcPr>
            <w:tcW w:w="492" w:type="pct"/>
          </w:tcPr>
          <w:p w:rsidR="00CE4FC0" w:rsidRPr="00CE4FC0" w:rsidRDefault="00CE4FC0" w:rsidP="00CE4FC0">
            <w:pPr>
              <w:jc w:val="right"/>
              <w:rPr>
                <w:rFonts w:ascii="Calibri" w:eastAsia="Times New Roman" w:hAnsi="Calibri" w:cs="Times New Roman"/>
                <w:sz w:val="20"/>
                <w:szCs w:val="20"/>
              </w:rPr>
            </w:pPr>
          </w:p>
        </w:tc>
        <w:tc>
          <w:tcPr>
            <w:tcW w:w="464" w:type="pct"/>
          </w:tcPr>
          <w:p w:rsidR="00CE4FC0" w:rsidRPr="00CE4FC0" w:rsidRDefault="00CE4FC0" w:rsidP="00CE4FC0">
            <w:pPr>
              <w:jc w:val="right"/>
              <w:rPr>
                <w:rFonts w:ascii="Calibri" w:eastAsia="Times New Roman" w:hAnsi="Calibri" w:cs="Times New Roman"/>
                <w:sz w:val="20"/>
                <w:szCs w:val="20"/>
              </w:rPr>
            </w:pPr>
          </w:p>
        </w:tc>
        <w:tc>
          <w:tcPr>
            <w:tcW w:w="398" w:type="pct"/>
          </w:tcPr>
          <w:p w:rsidR="00CE4FC0" w:rsidRPr="00CE4FC0" w:rsidRDefault="00CE4FC0" w:rsidP="00CE4FC0">
            <w:pPr>
              <w:jc w:val="right"/>
              <w:rPr>
                <w:rFonts w:ascii="Calibri" w:eastAsia="Times New Roman" w:hAnsi="Calibri" w:cs="Times New Roman"/>
                <w:sz w:val="20"/>
                <w:szCs w:val="20"/>
              </w:rPr>
            </w:pPr>
          </w:p>
        </w:tc>
        <w:tc>
          <w:tcPr>
            <w:tcW w:w="422" w:type="pct"/>
          </w:tcPr>
          <w:p w:rsidR="00CE4FC0" w:rsidRPr="00CE4FC0" w:rsidRDefault="00CE4FC0" w:rsidP="00CE4FC0">
            <w:pPr>
              <w:jc w:val="right"/>
              <w:rPr>
                <w:rFonts w:ascii="Calibri" w:eastAsia="Times New Roman" w:hAnsi="Calibri" w:cs="Times New Roman"/>
                <w:sz w:val="20"/>
                <w:szCs w:val="20"/>
              </w:rPr>
            </w:pPr>
          </w:p>
        </w:tc>
        <w:tc>
          <w:tcPr>
            <w:tcW w:w="420" w:type="pct"/>
          </w:tcPr>
          <w:p w:rsidR="00CE4FC0" w:rsidRPr="00CE4FC0" w:rsidRDefault="00CE4FC0" w:rsidP="00CE4FC0">
            <w:pPr>
              <w:jc w:val="right"/>
              <w:rPr>
                <w:rFonts w:ascii="Calibri" w:eastAsia="Times New Roman" w:hAnsi="Calibri" w:cs="Times New Roman"/>
                <w:sz w:val="20"/>
                <w:szCs w:val="20"/>
              </w:rPr>
            </w:pPr>
          </w:p>
        </w:tc>
        <w:tc>
          <w:tcPr>
            <w:tcW w:w="402" w:type="pct"/>
          </w:tcPr>
          <w:p w:rsidR="00CE4FC0" w:rsidRPr="00CE4FC0" w:rsidRDefault="00CE4FC0" w:rsidP="00CE4FC0">
            <w:pPr>
              <w:jc w:val="right"/>
              <w:rPr>
                <w:rFonts w:ascii="Calibri" w:eastAsia="Times New Roman" w:hAnsi="Calibri" w:cs="Times New Roman"/>
                <w:sz w:val="20"/>
                <w:szCs w:val="20"/>
              </w:rPr>
            </w:pPr>
          </w:p>
        </w:tc>
        <w:tc>
          <w:tcPr>
            <w:tcW w:w="590" w:type="pct"/>
          </w:tcPr>
          <w:p w:rsidR="00CE4FC0" w:rsidRPr="00CE4FC0" w:rsidRDefault="00CE4FC0" w:rsidP="00CE4FC0">
            <w:pPr>
              <w:jc w:val="right"/>
              <w:rPr>
                <w:rFonts w:ascii="Calibri" w:eastAsia="Times New Roman" w:hAnsi="Calibri" w:cs="Times New Roman"/>
                <w:sz w:val="20"/>
                <w:szCs w:val="20"/>
              </w:rPr>
            </w:pPr>
          </w:p>
        </w:tc>
        <w:tc>
          <w:tcPr>
            <w:tcW w:w="539" w:type="pct"/>
          </w:tcPr>
          <w:p w:rsidR="00CE4FC0" w:rsidRPr="00CE4FC0" w:rsidRDefault="00CE4FC0" w:rsidP="00CE4FC0">
            <w:pPr>
              <w:jc w:val="right"/>
              <w:rPr>
                <w:rFonts w:ascii="Calibri" w:eastAsia="Times New Roman" w:hAnsi="Calibri" w:cs="Times New Roman"/>
                <w:sz w:val="20"/>
                <w:szCs w:val="20"/>
              </w:rPr>
            </w:pPr>
          </w:p>
        </w:tc>
        <w:tc>
          <w:tcPr>
            <w:tcW w:w="369"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410"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 xml:space="preserve">Stav na </w:t>
            </w:r>
            <w:r w:rsidRPr="00CE4FC0">
              <w:rPr>
                <w:rFonts w:ascii="Calibri" w:eastAsia="Times New Roman" w:hAnsi="Calibri" w:cs="Times New Roman"/>
                <w:b/>
                <w:sz w:val="20"/>
                <w:szCs w:val="20"/>
              </w:rPr>
              <w:lastRenderedPageBreak/>
              <w:t>konci účtovného obdobia</w:t>
            </w:r>
          </w:p>
        </w:tc>
        <w:tc>
          <w:tcPr>
            <w:tcW w:w="493" w:type="pct"/>
          </w:tcPr>
          <w:p w:rsidR="00CE4FC0" w:rsidRPr="00CE4FC0" w:rsidRDefault="00CE4FC0" w:rsidP="00CE4FC0">
            <w:pPr>
              <w:jc w:val="right"/>
              <w:rPr>
                <w:rFonts w:ascii="Calibri" w:eastAsia="Times New Roman" w:hAnsi="Calibri" w:cs="Times New Roman"/>
                <w:b/>
                <w:sz w:val="20"/>
                <w:szCs w:val="20"/>
              </w:rPr>
            </w:pPr>
          </w:p>
        </w:tc>
        <w:tc>
          <w:tcPr>
            <w:tcW w:w="492" w:type="pct"/>
          </w:tcPr>
          <w:p w:rsidR="00CE4FC0" w:rsidRPr="00CE4FC0" w:rsidRDefault="00CE4FC0" w:rsidP="00CE4FC0">
            <w:pPr>
              <w:jc w:val="right"/>
              <w:rPr>
                <w:rFonts w:ascii="Calibri" w:eastAsia="Times New Roman" w:hAnsi="Calibri" w:cs="Times New Roman"/>
                <w:b/>
                <w:sz w:val="20"/>
                <w:szCs w:val="20"/>
              </w:rPr>
            </w:pPr>
          </w:p>
        </w:tc>
        <w:tc>
          <w:tcPr>
            <w:tcW w:w="464" w:type="pct"/>
          </w:tcPr>
          <w:p w:rsidR="00CE4FC0" w:rsidRPr="00CE4FC0" w:rsidRDefault="00CE4FC0" w:rsidP="00CE4FC0">
            <w:pPr>
              <w:jc w:val="right"/>
              <w:rPr>
                <w:rFonts w:ascii="Calibri" w:eastAsia="Times New Roman" w:hAnsi="Calibri" w:cs="Times New Roman"/>
                <w:b/>
                <w:sz w:val="20"/>
                <w:szCs w:val="20"/>
              </w:rPr>
            </w:pPr>
          </w:p>
        </w:tc>
        <w:tc>
          <w:tcPr>
            <w:tcW w:w="398" w:type="pct"/>
          </w:tcPr>
          <w:p w:rsidR="00CE4FC0" w:rsidRPr="00CE4FC0" w:rsidRDefault="00CE4FC0" w:rsidP="00CE4FC0">
            <w:pPr>
              <w:jc w:val="right"/>
              <w:rPr>
                <w:rFonts w:ascii="Calibri" w:eastAsia="Times New Roman" w:hAnsi="Calibri" w:cs="Times New Roman"/>
                <w:b/>
                <w:sz w:val="20"/>
                <w:szCs w:val="20"/>
              </w:rPr>
            </w:pPr>
          </w:p>
        </w:tc>
        <w:tc>
          <w:tcPr>
            <w:tcW w:w="422" w:type="pct"/>
          </w:tcPr>
          <w:p w:rsidR="00CE4FC0" w:rsidRPr="00CE4FC0" w:rsidRDefault="00CE4FC0" w:rsidP="00CE4FC0">
            <w:pPr>
              <w:jc w:val="right"/>
              <w:rPr>
                <w:rFonts w:ascii="Calibri" w:eastAsia="Times New Roman" w:hAnsi="Calibri" w:cs="Times New Roman"/>
                <w:b/>
                <w:sz w:val="20"/>
                <w:szCs w:val="20"/>
              </w:rPr>
            </w:pPr>
          </w:p>
        </w:tc>
        <w:tc>
          <w:tcPr>
            <w:tcW w:w="420" w:type="pct"/>
          </w:tcPr>
          <w:p w:rsidR="00CE4FC0" w:rsidRPr="00CE4FC0" w:rsidRDefault="00CE4FC0" w:rsidP="00CE4FC0">
            <w:pPr>
              <w:jc w:val="right"/>
              <w:rPr>
                <w:rFonts w:ascii="Calibri" w:eastAsia="Times New Roman" w:hAnsi="Calibri" w:cs="Times New Roman"/>
                <w:b/>
                <w:sz w:val="20"/>
                <w:szCs w:val="20"/>
              </w:rPr>
            </w:pPr>
          </w:p>
        </w:tc>
        <w:tc>
          <w:tcPr>
            <w:tcW w:w="402" w:type="pct"/>
          </w:tcPr>
          <w:p w:rsidR="00CE4FC0" w:rsidRPr="00CE4FC0" w:rsidRDefault="00CE4FC0" w:rsidP="00CE4FC0">
            <w:pPr>
              <w:jc w:val="right"/>
              <w:rPr>
                <w:rFonts w:ascii="Calibri" w:eastAsia="Times New Roman" w:hAnsi="Calibri" w:cs="Times New Roman"/>
                <w:b/>
                <w:sz w:val="20"/>
                <w:szCs w:val="20"/>
              </w:rPr>
            </w:pPr>
          </w:p>
        </w:tc>
        <w:tc>
          <w:tcPr>
            <w:tcW w:w="590" w:type="pct"/>
          </w:tcPr>
          <w:p w:rsidR="00CE4FC0" w:rsidRPr="00CE4FC0" w:rsidRDefault="00CE4FC0" w:rsidP="00CE4FC0">
            <w:pPr>
              <w:jc w:val="right"/>
              <w:rPr>
                <w:rFonts w:ascii="Calibri" w:eastAsia="Times New Roman" w:hAnsi="Calibri" w:cs="Times New Roman"/>
                <w:b/>
                <w:sz w:val="20"/>
                <w:szCs w:val="20"/>
              </w:rPr>
            </w:pPr>
          </w:p>
        </w:tc>
        <w:tc>
          <w:tcPr>
            <w:tcW w:w="539" w:type="pct"/>
          </w:tcPr>
          <w:p w:rsidR="00CE4FC0" w:rsidRPr="00CE4FC0" w:rsidRDefault="00CE4FC0" w:rsidP="00CE4FC0">
            <w:pPr>
              <w:jc w:val="right"/>
              <w:rPr>
                <w:rFonts w:ascii="Calibri" w:eastAsia="Times New Roman" w:hAnsi="Calibri" w:cs="Times New Roman"/>
                <w:b/>
                <w:sz w:val="20"/>
                <w:szCs w:val="20"/>
              </w:rPr>
            </w:pPr>
          </w:p>
        </w:tc>
        <w:tc>
          <w:tcPr>
            <w:tcW w:w="369" w:type="pct"/>
          </w:tcPr>
          <w:p w:rsidR="00CE4FC0" w:rsidRPr="00CE4FC0" w:rsidRDefault="00CE4FC0" w:rsidP="00CE4FC0">
            <w:pPr>
              <w:jc w:val="right"/>
              <w:rPr>
                <w:rFonts w:ascii="Calibri" w:eastAsia="Times New Roman" w:hAnsi="Calibri" w:cs="Times New Roman"/>
                <w:b/>
                <w:sz w:val="20"/>
                <w:szCs w:val="20"/>
              </w:rPr>
            </w:pPr>
          </w:p>
        </w:tc>
      </w:tr>
      <w:tr w:rsidR="00CE4FC0" w:rsidRPr="00CE4FC0" w:rsidTr="00D60C0F">
        <w:tc>
          <w:tcPr>
            <w:tcW w:w="5000" w:type="pct"/>
            <w:gridSpan w:val="11"/>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lastRenderedPageBreak/>
              <w:t>Účtovná hodnota</w:t>
            </w:r>
          </w:p>
        </w:tc>
      </w:tr>
      <w:tr w:rsidR="00CE4FC0" w:rsidRPr="00CE4FC0" w:rsidTr="00D60C0F">
        <w:tc>
          <w:tcPr>
            <w:tcW w:w="410"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začiatku účtovného obdobia</w:t>
            </w:r>
          </w:p>
        </w:tc>
        <w:tc>
          <w:tcPr>
            <w:tcW w:w="493"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92" w:type="pct"/>
          </w:tcPr>
          <w:p w:rsidR="00CE4FC0" w:rsidRPr="00CE4FC0" w:rsidRDefault="00CE4FC0" w:rsidP="00CE4FC0">
            <w:pPr>
              <w:jc w:val="right"/>
              <w:rPr>
                <w:rFonts w:ascii="Calibri" w:eastAsia="Times New Roman" w:hAnsi="Calibri" w:cs="Times New Roman"/>
                <w:b/>
                <w:sz w:val="20"/>
                <w:szCs w:val="20"/>
              </w:rPr>
            </w:pPr>
          </w:p>
        </w:tc>
        <w:tc>
          <w:tcPr>
            <w:tcW w:w="464" w:type="pct"/>
          </w:tcPr>
          <w:p w:rsidR="00CE4FC0" w:rsidRPr="00CE4FC0" w:rsidRDefault="00CE4FC0" w:rsidP="00CE4FC0">
            <w:pPr>
              <w:jc w:val="right"/>
              <w:rPr>
                <w:rFonts w:ascii="Calibri" w:eastAsia="Times New Roman" w:hAnsi="Calibri" w:cs="Times New Roman"/>
                <w:b/>
                <w:sz w:val="20"/>
                <w:szCs w:val="20"/>
              </w:rPr>
            </w:pPr>
          </w:p>
        </w:tc>
        <w:tc>
          <w:tcPr>
            <w:tcW w:w="398" w:type="pct"/>
          </w:tcPr>
          <w:p w:rsidR="00CE4FC0" w:rsidRPr="00CE4FC0" w:rsidRDefault="00CE4FC0" w:rsidP="00CE4FC0">
            <w:pPr>
              <w:jc w:val="right"/>
              <w:rPr>
                <w:rFonts w:ascii="Calibri" w:eastAsia="Times New Roman" w:hAnsi="Calibri" w:cs="Times New Roman"/>
                <w:b/>
                <w:sz w:val="20"/>
                <w:szCs w:val="20"/>
              </w:rPr>
            </w:pPr>
          </w:p>
        </w:tc>
        <w:tc>
          <w:tcPr>
            <w:tcW w:w="422" w:type="pct"/>
          </w:tcPr>
          <w:p w:rsidR="00CE4FC0" w:rsidRPr="00CE4FC0" w:rsidRDefault="00CE4FC0" w:rsidP="00CE4FC0">
            <w:pPr>
              <w:jc w:val="right"/>
              <w:rPr>
                <w:rFonts w:ascii="Calibri" w:eastAsia="Times New Roman" w:hAnsi="Calibri" w:cs="Times New Roman"/>
                <w:b/>
                <w:sz w:val="20"/>
                <w:szCs w:val="20"/>
              </w:rPr>
            </w:pPr>
          </w:p>
        </w:tc>
        <w:tc>
          <w:tcPr>
            <w:tcW w:w="420" w:type="pct"/>
          </w:tcPr>
          <w:p w:rsidR="00CE4FC0" w:rsidRPr="00CE4FC0" w:rsidRDefault="00CE4FC0" w:rsidP="00CE4FC0">
            <w:pPr>
              <w:jc w:val="right"/>
              <w:rPr>
                <w:rFonts w:ascii="Calibri" w:eastAsia="Times New Roman" w:hAnsi="Calibri" w:cs="Times New Roman"/>
                <w:b/>
                <w:sz w:val="20"/>
                <w:szCs w:val="20"/>
              </w:rPr>
            </w:pPr>
          </w:p>
        </w:tc>
        <w:tc>
          <w:tcPr>
            <w:tcW w:w="402" w:type="pct"/>
          </w:tcPr>
          <w:p w:rsidR="00CE4FC0" w:rsidRPr="00CE4FC0" w:rsidRDefault="00CE4FC0" w:rsidP="00CE4FC0">
            <w:pPr>
              <w:jc w:val="right"/>
              <w:rPr>
                <w:rFonts w:ascii="Calibri" w:eastAsia="Times New Roman" w:hAnsi="Calibri" w:cs="Times New Roman"/>
                <w:b/>
                <w:sz w:val="20"/>
                <w:szCs w:val="20"/>
              </w:rPr>
            </w:pPr>
          </w:p>
        </w:tc>
        <w:tc>
          <w:tcPr>
            <w:tcW w:w="590" w:type="pct"/>
          </w:tcPr>
          <w:p w:rsidR="00CE4FC0" w:rsidRPr="00CE4FC0" w:rsidRDefault="00CE4FC0" w:rsidP="00CE4FC0">
            <w:pPr>
              <w:jc w:val="right"/>
              <w:rPr>
                <w:rFonts w:ascii="Calibri" w:eastAsia="Times New Roman" w:hAnsi="Calibri" w:cs="Times New Roman"/>
                <w:b/>
                <w:sz w:val="20"/>
                <w:szCs w:val="20"/>
              </w:rPr>
            </w:pPr>
          </w:p>
        </w:tc>
        <w:tc>
          <w:tcPr>
            <w:tcW w:w="539" w:type="pct"/>
          </w:tcPr>
          <w:p w:rsidR="00CE4FC0" w:rsidRPr="00CE4FC0" w:rsidRDefault="00CE4FC0" w:rsidP="00CE4FC0">
            <w:pPr>
              <w:jc w:val="right"/>
              <w:rPr>
                <w:rFonts w:ascii="Calibri" w:eastAsia="Times New Roman" w:hAnsi="Calibri" w:cs="Times New Roman"/>
                <w:b/>
                <w:sz w:val="20"/>
                <w:szCs w:val="20"/>
              </w:rPr>
            </w:pPr>
          </w:p>
        </w:tc>
        <w:tc>
          <w:tcPr>
            <w:tcW w:w="36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r>
      <w:tr w:rsidR="00CE4FC0" w:rsidRPr="00CE4FC0" w:rsidTr="00D60C0F">
        <w:tc>
          <w:tcPr>
            <w:tcW w:w="410"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Stav na konci účtovného obdobia</w:t>
            </w:r>
          </w:p>
        </w:tc>
        <w:tc>
          <w:tcPr>
            <w:tcW w:w="493"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492" w:type="pct"/>
          </w:tcPr>
          <w:p w:rsidR="00CE4FC0" w:rsidRPr="00CE4FC0" w:rsidRDefault="00CE4FC0" w:rsidP="00CE4FC0">
            <w:pPr>
              <w:jc w:val="right"/>
              <w:rPr>
                <w:rFonts w:ascii="Calibri" w:eastAsia="Times New Roman" w:hAnsi="Calibri" w:cs="Times New Roman"/>
                <w:b/>
                <w:sz w:val="20"/>
                <w:szCs w:val="20"/>
              </w:rPr>
            </w:pPr>
          </w:p>
        </w:tc>
        <w:tc>
          <w:tcPr>
            <w:tcW w:w="464" w:type="pct"/>
          </w:tcPr>
          <w:p w:rsidR="00CE4FC0" w:rsidRPr="00CE4FC0" w:rsidRDefault="00CE4FC0" w:rsidP="00CE4FC0">
            <w:pPr>
              <w:jc w:val="right"/>
              <w:rPr>
                <w:rFonts w:ascii="Calibri" w:eastAsia="Times New Roman" w:hAnsi="Calibri" w:cs="Times New Roman"/>
                <w:b/>
                <w:sz w:val="20"/>
                <w:szCs w:val="20"/>
              </w:rPr>
            </w:pPr>
          </w:p>
        </w:tc>
        <w:tc>
          <w:tcPr>
            <w:tcW w:w="398" w:type="pct"/>
          </w:tcPr>
          <w:p w:rsidR="00CE4FC0" w:rsidRPr="00CE4FC0" w:rsidRDefault="00CE4FC0" w:rsidP="00CE4FC0">
            <w:pPr>
              <w:jc w:val="right"/>
              <w:rPr>
                <w:rFonts w:ascii="Calibri" w:eastAsia="Times New Roman" w:hAnsi="Calibri" w:cs="Times New Roman"/>
                <w:b/>
                <w:sz w:val="20"/>
                <w:szCs w:val="20"/>
              </w:rPr>
            </w:pPr>
          </w:p>
        </w:tc>
        <w:tc>
          <w:tcPr>
            <w:tcW w:w="422" w:type="pct"/>
          </w:tcPr>
          <w:p w:rsidR="00CE4FC0" w:rsidRPr="00CE4FC0" w:rsidRDefault="00CE4FC0" w:rsidP="00CE4FC0">
            <w:pPr>
              <w:jc w:val="right"/>
              <w:rPr>
                <w:rFonts w:ascii="Calibri" w:eastAsia="Times New Roman" w:hAnsi="Calibri" w:cs="Times New Roman"/>
                <w:b/>
                <w:sz w:val="20"/>
                <w:szCs w:val="20"/>
              </w:rPr>
            </w:pPr>
          </w:p>
        </w:tc>
        <w:tc>
          <w:tcPr>
            <w:tcW w:w="420" w:type="pct"/>
          </w:tcPr>
          <w:p w:rsidR="00CE4FC0" w:rsidRPr="00CE4FC0" w:rsidRDefault="00CE4FC0" w:rsidP="00CE4FC0">
            <w:pPr>
              <w:jc w:val="right"/>
              <w:rPr>
                <w:rFonts w:ascii="Calibri" w:eastAsia="Times New Roman" w:hAnsi="Calibri" w:cs="Times New Roman"/>
                <w:b/>
                <w:sz w:val="20"/>
                <w:szCs w:val="20"/>
              </w:rPr>
            </w:pPr>
          </w:p>
        </w:tc>
        <w:tc>
          <w:tcPr>
            <w:tcW w:w="402" w:type="pct"/>
          </w:tcPr>
          <w:p w:rsidR="00CE4FC0" w:rsidRPr="00CE4FC0" w:rsidRDefault="00CE4FC0" w:rsidP="00CE4FC0">
            <w:pPr>
              <w:jc w:val="right"/>
              <w:rPr>
                <w:rFonts w:ascii="Calibri" w:eastAsia="Times New Roman" w:hAnsi="Calibri" w:cs="Times New Roman"/>
                <w:b/>
                <w:sz w:val="20"/>
                <w:szCs w:val="20"/>
              </w:rPr>
            </w:pPr>
          </w:p>
        </w:tc>
        <w:tc>
          <w:tcPr>
            <w:tcW w:w="590" w:type="pct"/>
          </w:tcPr>
          <w:p w:rsidR="00CE4FC0" w:rsidRPr="00CE4FC0" w:rsidRDefault="00CE4FC0" w:rsidP="00CE4FC0">
            <w:pPr>
              <w:jc w:val="right"/>
              <w:rPr>
                <w:rFonts w:ascii="Calibri" w:eastAsia="Times New Roman" w:hAnsi="Calibri" w:cs="Times New Roman"/>
                <w:b/>
                <w:sz w:val="20"/>
                <w:szCs w:val="20"/>
              </w:rPr>
            </w:pPr>
          </w:p>
        </w:tc>
        <w:tc>
          <w:tcPr>
            <w:tcW w:w="539" w:type="pct"/>
          </w:tcPr>
          <w:p w:rsidR="00CE4FC0" w:rsidRPr="00CE4FC0" w:rsidRDefault="00CE4FC0" w:rsidP="00CE4FC0">
            <w:pPr>
              <w:jc w:val="right"/>
              <w:rPr>
                <w:rFonts w:ascii="Calibri" w:eastAsia="Times New Roman" w:hAnsi="Calibri" w:cs="Times New Roman"/>
                <w:b/>
                <w:sz w:val="20"/>
                <w:szCs w:val="20"/>
              </w:rPr>
            </w:pPr>
          </w:p>
        </w:tc>
        <w:tc>
          <w:tcPr>
            <w:tcW w:w="369"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CE4FC0" w:rsidRPr="00CE4FC0" w:rsidTr="00D60C0F">
        <w:tc>
          <w:tcPr>
            <w:tcW w:w="5000" w:type="pct"/>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1 g,i,j) Dlhodobý finančný majetok - štruktúra zmeny v jednotlivých zložkách</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CE4FC0" w:rsidRPr="00CE4FC0" w:rsidTr="00D60C0F">
        <w:tc>
          <w:tcPr>
            <w:tcW w:w="5000" w:type="pct"/>
            <w:gridSpan w:val="2"/>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1 n) Zásoby na ktoré je zriadené záložné právo</w:t>
            </w:r>
          </w:p>
        </w:tc>
      </w:tr>
      <w:tr w:rsidR="00CE4FC0" w:rsidRPr="00CE4FC0" w:rsidTr="00D60C0F">
        <w:tc>
          <w:tcPr>
            <w:tcW w:w="250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Zásoby</w:t>
            </w:r>
          </w:p>
        </w:tc>
        <w:tc>
          <w:tcPr>
            <w:tcW w:w="250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Hodnota za bežné účtovné obdobie</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Zásoby, na ktoré je zriadené záložné právo</w:t>
            </w:r>
          </w:p>
        </w:tc>
        <w:tc>
          <w:tcPr>
            <w:tcW w:w="250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Zásoby, s obmedzeným právom s nimi nakladať</w:t>
            </w:r>
          </w:p>
        </w:tc>
        <w:tc>
          <w:tcPr>
            <w:tcW w:w="250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CE4FC0" w:rsidRPr="00CE4FC0" w:rsidTr="00D60C0F">
        <w:tc>
          <w:tcPr>
            <w:tcW w:w="5000" w:type="pct"/>
            <w:gridSpan w:val="6"/>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1 p) Najvýznamnejšie položky pohľadávok a opravné položky k nim</w:t>
            </w:r>
          </w:p>
        </w:tc>
      </w:tr>
      <w:tr w:rsidR="00CE4FC0" w:rsidRPr="00CE4FC0" w:rsidTr="00D60C0F">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w:t>
            </w:r>
          </w:p>
        </w:tc>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Stav OP na začiatku účtovného obdobia</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Tvorba OP</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Zúčtovanie OP z dôvodu zániku opodstatnenosti</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Zúčtovanie OP z dôvodu vyradenia majetku z účtovníctva</w:t>
            </w:r>
          </w:p>
        </w:tc>
        <w:tc>
          <w:tcPr>
            <w:tcW w:w="832"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Stav OP na konci účtovného obdobia</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 z obchodného styku</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358</w:t>
            </w: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358</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 voči DÚJ a MÚJ</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pohľadávky v rámci kons. celku</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 voči spoločníkom, členom a združeniu</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Iné pohľadávky</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SPOLU</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358</w:t>
            </w: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358</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3"/>
        <w:gridCol w:w="2464"/>
        <w:gridCol w:w="2464"/>
      </w:tblGrid>
      <w:tr w:rsidR="00CE4FC0" w:rsidRPr="00CE4FC0" w:rsidTr="00D60C0F">
        <w:tc>
          <w:tcPr>
            <w:tcW w:w="5000" w:type="pct"/>
            <w:gridSpan w:val="4"/>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1 q) Veková štruktúra pohľadávok</w:t>
            </w:r>
          </w:p>
        </w:tc>
      </w:tr>
      <w:tr w:rsidR="00CE4FC0" w:rsidRPr="00CE4FC0" w:rsidTr="00D60C0F">
        <w:tc>
          <w:tcPr>
            <w:tcW w:w="125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Názov položky</w:t>
            </w:r>
          </w:p>
        </w:tc>
        <w:tc>
          <w:tcPr>
            <w:tcW w:w="125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 lehote splatnosti</w:t>
            </w:r>
          </w:p>
        </w:tc>
        <w:tc>
          <w:tcPr>
            <w:tcW w:w="125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 lehote splatnosti</w:t>
            </w:r>
          </w:p>
        </w:tc>
        <w:tc>
          <w:tcPr>
            <w:tcW w:w="125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 spolu</w:t>
            </w:r>
          </w:p>
        </w:tc>
      </w:tr>
      <w:tr w:rsidR="00CE4FC0" w:rsidRPr="00CE4FC0" w:rsidTr="00D60C0F">
        <w:tc>
          <w:tcPr>
            <w:tcW w:w="5000" w:type="pct"/>
            <w:gridSpan w:val="4"/>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Dlhodobé pohľadávky</w:t>
            </w:r>
          </w:p>
        </w:tc>
      </w:tr>
      <w:tr w:rsidR="00CE4FC0" w:rsidRPr="00CE4FC0" w:rsidTr="00D60C0F">
        <w:tc>
          <w:tcPr>
            <w:tcW w:w="125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  z obchodného styku</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25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 voči DÚJ a MÚJ</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25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lastRenderedPageBreak/>
              <w:t>Ostatné pohľadávky v rámci konsolidovaného celku</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25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 voči spoločníkom, členom a združeniu</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25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Iné pohľadávky</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3 522</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3 522</w:t>
            </w:r>
          </w:p>
        </w:tc>
      </w:tr>
      <w:tr w:rsidR="00CE4FC0" w:rsidRPr="00CE4FC0" w:rsidTr="00D60C0F">
        <w:tc>
          <w:tcPr>
            <w:tcW w:w="1250"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Dlhodobé pohľadávky spolu</w:t>
            </w:r>
          </w:p>
        </w:tc>
        <w:tc>
          <w:tcPr>
            <w:tcW w:w="1250"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3 522</w:t>
            </w:r>
          </w:p>
        </w:tc>
        <w:tc>
          <w:tcPr>
            <w:tcW w:w="1250"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0</w:t>
            </w:r>
          </w:p>
        </w:tc>
        <w:tc>
          <w:tcPr>
            <w:tcW w:w="1250"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3 522</w:t>
            </w:r>
          </w:p>
        </w:tc>
      </w:tr>
      <w:tr w:rsidR="00CE4FC0" w:rsidRPr="00CE4FC0" w:rsidTr="00D60C0F">
        <w:tc>
          <w:tcPr>
            <w:tcW w:w="5000" w:type="pct"/>
            <w:gridSpan w:val="4"/>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Krátkodobé pohľadávky</w:t>
            </w:r>
          </w:p>
        </w:tc>
      </w:tr>
      <w:tr w:rsidR="00CE4FC0" w:rsidRPr="00CE4FC0" w:rsidTr="00D60C0F">
        <w:tc>
          <w:tcPr>
            <w:tcW w:w="125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 z obchodného styku</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316 270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358</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316 628</w:t>
            </w:r>
          </w:p>
        </w:tc>
      </w:tr>
      <w:tr w:rsidR="00CE4FC0" w:rsidRPr="00CE4FC0" w:rsidTr="00D60C0F">
        <w:tc>
          <w:tcPr>
            <w:tcW w:w="125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 voči DÚJ a MÚJ</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25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pohľadávky v rámci konsolidovaného celku</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25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 voči spoločníkom, členom a združeniu</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25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Sociálne poistenie</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25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Daňové pohľadávky a dotácie</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186 666</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186 666</w:t>
            </w:r>
          </w:p>
        </w:tc>
      </w:tr>
      <w:tr w:rsidR="00CE4FC0" w:rsidRPr="00CE4FC0" w:rsidTr="00D60C0F">
        <w:tc>
          <w:tcPr>
            <w:tcW w:w="125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Iné pohľadávky</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9 164</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25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9 164</w:t>
            </w:r>
          </w:p>
        </w:tc>
      </w:tr>
      <w:tr w:rsidR="00CE4FC0" w:rsidRPr="00CE4FC0" w:rsidTr="00D60C0F">
        <w:tc>
          <w:tcPr>
            <w:tcW w:w="1250"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Krátkodobé pohľadávky spolu</w:t>
            </w:r>
          </w:p>
        </w:tc>
        <w:tc>
          <w:tcPr>
            <w:tcW w:w="1250"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512 100</w:t>
            </w:r>
          </w:p>
        </w:tc>
        <w:tc>
          <w:tcPr>
            <w:tcW w:w="1250"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358</w:t>
            </w:r>
          </w:p>
        </w:tc>
        <w:tc>
          <w:tcPr>
            <w:tcW w:w="1250"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512 458</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1 s) Odložená daňová pohľadávka</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Názov položky</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Bežné účtovné obdobie</w:t>
            </w:r>
          </w:p>
        </w:tc>
        <w:tc>
          <w:tcPr>
            <w:tcW w:w="166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Bezprostredne predchádzajúce účtovné obdobie</w:t>
            </w: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Dočasné rozdiely medzi účtovnou hodnotou majetku a daňovou základňou, z toho:</w:t>
            </w:r>
          </w:p>
        </w:tc>
        <w:tc>
          <w:tcPr>
            <w:tcW w:w="166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3 366</w:t>
            </w:r>
          </w:p>
        </w:tc>
        <w:tc>
          <w:tcPr>
            <w:tcW w:w="166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14 243</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odpočítateľné</w:t>
            </w:r>
          </w:p>
        </w:tc>
        <w:tc>
          <w:tcPr>
            <w:tcW w:w="1666" w:type="pct"/>
          </w:tcPr>
          <w:p w:rsidR="00CE4FC0" w:rsidRPr="00CE4FC0" w:rsidRDefault="00CE4FC0" w:rsidP="00CE4FC0">
            <w:pPr>
              <w:jc w:val="right"/>
              <w:rPr>
                <w:rFonts w:ascii="Calibri" w:eastAsia="Times New Roman" w:hAnsi="Calibri" w:cs="Times New Roman"/>
                <w:sz w:val="20"/>
                <w:szCs w:val="20"/>
              </w:rPr>
            </w:pPr>
          </w:p>
        </w:tc>
        <w:tc>
          <w:tcPr>
            <w:tcW w:w="1668"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zdaniteľné</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3 366</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14 243</w:t>
            </w: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Dočasné rozdiely medzi účtovnou hodnotou záväzkov a daňovou základňou, z toho:</w:t>
            </w:r>
          </w:p>
        </w:tc>
        <w:tc>
          <w:tcPr>
            <w:tcW w:w="166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13 407</w:t>
            </w:r>
          </w:p>
        </w:tc>
        <w:tc>
          <w:tcPr>
            <w:tcW w:w="1668" w:type="pct"/>
          </w:tcPr>
          <w:p w:rsidR="00CE4FC0" w:rsidRPr="00CE4FC0" w:rsidRDefault="00CE4FC0" w:rsidP="00CE4FC0">
            <w:pPr>
              <w:jc w:val="right"/>
              <w:rPr>
                <w:rFonts w:ascii="Calibri" w:eastAsia="Times New Roman" w:hAnsi="Calibri" w:cs="Times New Roman"/>
                <w:b/>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odpočítateľné</w:t>
            </w:r>
          </w:p>
        </w:tc>
        <w:tc>
          <w:tcPr>
            <w:tcW w:w="1666" w:type="pct"/>
          </w:tcPr>
          <w:p w:rsidR="00CE4FC0" w:rsidRPr="00CE4FC0" w:rsidRDefault="00CE4FC0" w:rsidP="00CE4FC0">
            <w:pPr>
              <w:jc w:val="right"/>
              <w:rPr>
                <w:rFonts w:ascii="Calibri" w:eastAsia="Times New Roman" w:hAnsi="Calibri" w:cs="Times New Roman"/>
                <w:sz w:val="20"/>
                <w:szCs w:val="20"/>
              </w:rPr>
            </w:pPr>
          </w:p>
        </w:tc>
        <w:tc>
          <w:tcPr>
            <w:tcW w:w="1668"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zdaniteľné</w:t>
            </w:r>
          </w:p>
        </w:tc>
        <w:tc>
          <w:tcPr>
            <w:tcW w:w="1666" w:type="pct"/>
          </w:tcPr>
          <w:p w:rsidR="00CE4FC0" w:rsidRPr="00CE4FC0" w:rsidRDefault="00CE4FC0" w:rsidP="00CE4FC0">
            <w:pPr>
              <w:jc w:val="right"/>
              <w:rPr>
                <w:rFonts w:ascii="Calibri" w:eastAsia="Times New Roman" w:hAnsi="Calibri" w:cs="Times New Roman"/>
                <w:sz w:val="20"/>
                <w:szCs w:val="20"/>
              </w:rPr>
            </w:pPr>
          </w:p>
        </w:tc>
        <w:tc>
          <w:tcPr>
            <w:tcW w:w="1668"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Možnosť umorovať daňovú stratu v budúcnosti</w:t>
            </w:r>
          </w:p>
        </w:tc>
        <w:tc>
          <w:tcPr>
            <w:tcW w:w="1666" w:type="pct"/>
          </w:tcPr>
          <w:p w:rsidR="00CE4FC0" w:rsidRPr="00CE4FC0" w:rsidRDefault="00CE4FC0" w:rsidP="00CE4FC0">
            <w:pPr>
              <w:jc w:val="right"/>
              <w:rPr>
                <w:rFonts w:ascii="Calibri" w:eastAsia="Times New Roman" w:hAnsi="Calibri" w:cs="Times New Roman"/>
                <w:b/>
                <w:sz w:val="20"/>
                <w:szCs w:val="20"/>
              </w:rPr>
            </w:pPr>
          </w:p>
        </w:tc>
        <w:tc>
          <w:tcPr>
            <w:tcW w:w="1668" w:type="pct"/>
          </w:tcPr>
          <w:p w:rsidR="00CE4FC0" w:rsidRPr="00CE4FC0" w:rsidRDefault="00CE4FC0" w:rsidP="00CE4FC0">
            <w:pPr>
              <w:jc w:val="right"/>
              <w:rPr>
                <w:rFonts w:ascii="Calibri" w:eastAsia="Times New Roman" w:hAnsi="Calibri" w:cs="Times New Roman"/>
                <w:b/>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Možnosť previesť nevyužité daňové odpočty</w:t>
            </w:r>
          </w:p>
        </w:tc>
        <w:tc>
          <w:tcPr>
            <w:tcW w:w="1666" w:type="pct"/>
          </w:tcPr>
          <w:p w:rsidR="00CE4FC0" w:rsidRPr="00CE4FC0" w:rsidRDefault="00CE4FC0" w:rsidP="00CE4FC0">
            <w:pPr>
              <w:jc w:val="right"/>
              <w:rPr>
                <w:rFonts w:ascii="Calibri" w:eastAsia="Times New Roman" w:hAnsi="Calibri" w:cs="Times New Roman"/>
                <w:b/>
                <w:sz w:val="20"/>
                <w:szCs w:val="20"/>
              </w:rPr>
            </w:pPr>
          </w:p>
        </w:tc>
        <w:tc>
          <w:tcPr>
            <w:tcW w:w="1668" w:type="pct"/>
          </w:tcPr>
          <w:p w:rsidR="00CE4FC0" w:rsidRPr="00CE4FC0" w:rsidRDefault="00CE4FC0" w:rsidP="00CE4FC0">
            <w:pPr>
              <w:jc w:val="right"/>
              <w:rPr>
                <w:rFonts w:ascii="Calibri" w:eastAsia="Times New Roman" w:hAnsi="Calibri" w:cs="Times New Roman"/>
                <w:b/>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Sadzba dane z príjmov ( v %)</w:t>
            </w:r>
          </w:p>
        </w:tc>
        <w:tc>
          <w:tcPr>
            <w:tcW w:w="166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21</w:t>
            </w:r>
          </w:p>
        </w:tc>
        <w:tc>
          <w:tcPr>
            <w:tcW w:w="166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21</w:t>
            </w: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Odložená daňová pohľadávka</w:t>
            </w:r>
          </w:p>
        </w:tc>
        <w:tc>
          <w:tcPr>
            <w:tcW w:w="166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16 772</w:t>
            </w:r>
          </w:p>
        </w:tc>
        <w:tc>
          <w:tcPr>
            <w:tcW w:w="166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14 407</w:t>
            </w: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Uplatnená daňová pohľadávka</w:t>
            </w:r>
          </w:p>
        </w:tc>
        <w:tc>
          <w:tcPr>
            <w:tcW w:w="1666" w:type="pct"/>
          </w:tcPr>
          <w:p w:rsidR="00CE4FC0" w:rsidRPr="00CE4FC0" w:rsidRDefault="00CE4FC0" w:rsidP="00CE4FC0">
            <w:pPr>
              <w:jc w:val="right"/>
              <w:rPr>
                <w:rFonts w:ascii="Calibri" w:eastAsia="Times New Roman" w:hAnsi="Calibri" w:cs="Times New Roman"/>
                <w:b/>
                <w:sz w:val="20"/>
                <w:szCs w:val="20"/>
              </w:rPr>
            </w:pPr>
          </w:p>
        </w:tc>
        <w:tc>
          <w:tcPr>
            <w:tcW w:w="1668" w:type="pct"/>
          </w:tcPr>
          <w:p w:rsidR="00CE4FC0" w:rsidRPr="00CE4FC0" w:rsidRDefault="00CE4FC0" w:rsidP="00CE4FC0">
            <w:pPr>
              <w:jc w:val="right"/>
              <w:rPr>
                <w:rFonts w:ascii="Calibri" w:eastAsia="Times New Roman" w:hAnsi="Calibri" w:cs="Times New Roman"/>
                <w:b/>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Zaúčtovaná  ako zníženie nákladov</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3 522</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3 026</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Zaúčtovaná do vlastného imania</w:t>
            </w:r>
          </w:p>
        </w:tc>
        <w:tc>
          <w:tcPr>
            <w:tcW w:w="1666" w:type="pct"/>
          </w:tcPr>
          <w:p w:rsidR="00CE4FC0" w:rsidRPr="00CE4FC0" w:rsidRDefault="00CE4FC0" w:rsidP="00CE4FC0">
            <w:pPr>
              <w:jc w:val="right"/>
              <w:rPr>
                <w:rFonts w:ascii="Calibri" w:eastAsia="Times New Roman" w:hAnsi="Calibri" w:cs="Times New Roman"/>
                <w:sz w:val="20"/>
                <w:szCs w:val="20"/>
              </w:rPr>
            </w:pPr>
          </w:p>
        </w:tc>
        <w:tc>
          <w:tcPr>
            <w:tcW w:w="1668"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Odložený daňový záväzok</w:t>
            </w:r>
          </w:p>
        </w:tc>
        <w:tc>
          <w:tcPr>
            <w:tcW w:w="166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16 772</w:t>
            </w:r>
          </w:p>
        </w:tc>
        <w:tc>
          <w:tcPr>
            <w:tcW w:w="166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14 243</w:t>
            </w: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Zmena odloženého daňového záväzku</w:t>
            </w:r>
          </w:p>
        </w:tc>
        <w:tc>
          <w:tcPr>
            <w:tcW w:w="1666" w:type="pct"/>
          </w:tcPr>
          <w:p w:rsidR="00CE4FC0" w:rsidRPr="00CE4FC0" w:rsidRDefault="00CE4FC0" w:rsidP="00CE4FC0">
            <w:pPr>
              <w:jc w:val="right"/>
              <w:rPr>
                <w:rFonts w:ascii="Calibri" w:eastAsia="Times New Roman" w:hAnsi="Calibri" w:cs="Times New Roman"/>
                <w:b/>
                <w:sz w:val="20"/>
                <w:szCs w:val="20"/>
              </w:rPr>
            </w:pPr>
          </w:p>
        </w:tc>
        <w:tc>
          <w:tcPr>
            <w:tcW w:w="1668" w:type="pct"/>
          </w:tcPr>
          <w:p w:rsidR="00CE4FC0" w:rsidRPr="00CE4FC0" w:rsidRDefault="00CE4FC0" w:rsidP="00CE4FC0">
            <w:pPr>
              <w:jc w:val="right"/>
              <w:rPr>
                <w:rFonts w:ascii="Calibri" w:eastAsia="Times New Roman" w:hAnsi="Calibri" w:cs="Times New Roman"/>
                <w:b/>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Zaúčtovaná ako náklad</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-3 488</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-36 941</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Zaúčtovaná do vlastného imania</w:t>
            </w:r>
          </w:p>
        </w:tc>
        <w:tc>
          <w:tcPr>
            <w:tcW w:w="1666" w:type="pct"/>
          </w:tcPr>
          <w:p w:rsidR="00CE4FC0" w:rsidRPr="00CE4FC0" w:rsidRDefault="00CE4FC0" w:rsidP="00CE4FC0">
            <w:pPr>
              <w:jc w:val="right"/>
              <w:rPr>
                <w:rFonts w:ascii="Calibri" w:eastAsia="Times New Roman" w:hAnsi="Calibri" w:cs="Times New Roman"/>
                <w:sz w:val="20"/>
                <w:szCs w:val="20"/>
              </w:rPr>
            </w:pPr>
          </w:p>
        </w:tc>
        <w:tc>
          <w:tcPr>
            <w:tcW w:w="1668"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Iné</w:t>
            </w:r>
          </w:p>
        </w:tc>
        <w:tc>
          <w:tcPr>
            <w:tcW w:w="1666" w:type="pct"/>
          </w:tcPr>
          <w:p w:rsidR="00CE4FC0" w:rsidRPr="00CE4FC0" w:rsidRDefault="00CE4FC0" w:rsidP="00CE4FC0">
            <w:pPr>
              <w:jc w:val="right"/>
              <w:rPr>
                <w:rFonts w:ascii="Calibri" w:eastAsia="Times New Roman" w:hAnsi="Calibri" w:cs="Times New Roman"/>
                <w:sz w:val="20"/>
                <w:szCs w:val="20"/>
              </w:rPr>
            </w:pPr>
          </w:p>
        </w:tc>
        <w:tc>
          <w:tcPr>
            <w:tcW w:w="1668" w:type="pct"/>
          </w:tcPr>
          <w:p w:rsidR="00CE4FC0" w:rsidRPr="00CE4FC0" w:rsidRDefault="00CE4FC0" w:rsidP="00CE4FC0">
            <w:pPr>
              <w:jc w:val="right"/>
              <w:rPr>
                <w:rFonts w:ascii="Calibri" w:eastAsia="Times New Roman" w:hAnsi="Calibri" w:cs="Times New Roman"/>
                <w:sz w:val="20"/>
                <w:szCs w:val="20"/>
              </w:rPr>
            </w:pP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lastRenderedPageBreak/>
              <w:t>III. 1 t1) Krátkodobý finančný majetok - zložky</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Názov položky</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Bežné účtovné obdobie</w:t>
            </w:r>
          </w:p>
        </w:tc>
        <w:tc>
          <w:tcPr>
            <w:tcW w:w="1667"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Bezprostredne predchádzajúce účtovné obdobie</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Pokladnica, ceniny</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20 326</w:t>
            </w:r>
          </w:p>
        </w:tc>
        <w:tc>
          <w:tcPr>
            <w:tcW w:w="16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13 723</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Bežné účty v banke alebo v pobočke zahraničnej banky</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384 430</w:t>
            </w:r>
          </w:p>
        </w:tc>
        <w:tc>
          <w:tcPr>
            <w:tcW w:w="16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1 553 843</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Vkladové účty v banke alebo v pobočke zahraničnej banky termínované</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Peniaze na ceste</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SPOLU</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404 756</w:t>
            </w:r>
          </w:p>
        </w:tc>
        <w:tc>
          <w:tcPr>
            <w:tcW w:w="16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1 567 566</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CE4FC0" w:rsidRPr="00CE4FC0" w:rsidTr="00D60C0F">
        <w:tc>
          <w:tcPr>
            <w:tcW w:w="5000" w:type="pct"/>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1 y) Významné položky časového rozlíšenia</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Významné položky časového rozlíšenia  - náklady budúcich období za rok 2017 tvorí : - poistenie majetku podľa obdobia uzatvorených poistných  zmlúv</w:t>
      </w: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28"/>
                <w:szCs w:val="28"/>
              </w:rPr>
            </w:pPr>
            <w:r w:rsidRPr="00CE4FC0">
              <w:rPr>
                <w:rFonts w:ascii="Calibri" w:eastAsia="Times New Roman" w:hAnsi="Calibri" w:cs="Times New Roman"/>
                <w:b/>
                <w:sz w:val="28"/>
                <w:szCs w:val="28"/>
              </w:rPr>
              <w:t>III. 2) Pasíva</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rPr>
            </w:pPr>
            <w:r w:rsidRPr="00CE4FC0">
              <w:rPr>
                <w:rFonts w:ascii="Calibri" w:eastAsia="Times New Roman" w:hAnsi="Calibri" w:cs="Times New Roman"/>
                <w:b/>
              </w:rPr>
              <w:t>III. 2a) Vlastné imanie</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CE4FC0" w:rsidRPr="00CE4FC0" w:rsidTr="00D60C0F">
        <w:tc>
          <w:tcPr>
            <w:tcW w:w="5000" w:type="pct"/>
            <w:gridSpan w:val="6"/>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2 a1-2) Základné imanie</w:t>
            </w:r>
          </w:p>
        </w:tc>
      </w:tr>
      <w:tr w:rsidR="00CE4FC0" w:rsidRPr="00CE4FC0" w:rsidTr="00D60C0F">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Druh akcie</w:t>
            </w:r>
          </w:p>
        </w:tc>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Hodnota</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Počet</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Spolu</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Splatené</w:t>
            </w:r>
          </w:p>
        </w:tc>
        <w:tc>
          <w:tcPr>
            <w:tcW w:w="832"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Práva spojené s akciou</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Kmeňové</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3 320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33 200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33 200</w:t>
            </w:r>
          </w:p>
        </w:tc>
        <w:tc>
          <w:tcPr>
            <w:tcW w:w="832" w:type="pct"/>
          </w:tcPr>
          <w:p w:rsidR="00CE4FC0" w:rsidRPr="00CE4FC0" w:rsidRDefault="00CE4FC0" w:rsidP="00CE4FC0">
            <w:pPr>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SPOLU</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3 320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33 200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33 200</w:t>
            </w:r>
          </w:p>
        </w:tc>
        <w:tc>
          <w:tcPr>
            <w:tcW w:w="832" w:type="pct"/>
          </w:tcPr>
          <w:p w:rsidR="00CE4FC0" w:rsidRPr="00CE4FC0" w:rsidRDefault="00CE4FC0" w:rsidP="00CE4FC0">
            <w:pPr>
              <w:rPr>
                <w:rFonts w:ascii="Calibri" w:eastAsia="Times New Roman" w:hAnsi="Calibri" w:cs="Times New Roman"/>
                <w:sz w:val="20"/>
                <w:szCs w:val="20"/>
              </w:rPr>
            </w:pP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CE4FC0" w:rsidRPr="00CE4FC0" w:rsidTr="00D60C0F">
        <w:tc>
          <w:tcPr>
            <w:tcW w:w="5000" w:type="pct"/>
            <w:gridSpan w:val="2"/>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2 a3-1) Rozdelenie účtovného zisku, vysporiadanie straty</w:t>
            </w:r>
          </w:p>
        </w:tc>
      </w:tr>
      <w:tr w:rsidR="00CE4FC0" w:rsidRPr="00CE4FC0" w:rsidTr="00D60C0F">
        <w:tc>
          <w:tcPr>
            <w:tcW w:w="250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Názov položky</w:t>
            </w:r>
          </w:p>
        </w:tc>
        <w:tc>
          <w:tcPr>
            <w:tcW w:w="250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Bezprostredne predchádzajúce účtovné obdobie</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Účtovný zisk</w:t>
            </w:r>
          </w:p>
        </w:tc>
        <w:tc>
          <w:tcPr>
            <w:tcW w:w="250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3 796 557</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CE4FC0" w:rsidRPr="00CE4FC0" w:rsidTr="00D60C0F">
        <w:tc>
          <w:tcPr>
            <w:tcW w:w="5000" w:type="pct"/>
            <w:gridSpan w:val="2"/>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2 a6-1) Navrhnuté rozdelenie zisku alebo vysporiadania straty za bežné účtovné obdobie</w:t>
            </w:r>
          </w:p>
        </w:tc>
      </w:tr>
      <w:tr w:rsidR="00CE4FC0" w:rsidRPr="00CE4FC0" w:rsidTr="00D60C0F">
        <w:tc>
          <w:tcPr>
            <w:tcW w:w="250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Názov položky</w:t>
            </w:r>
          </w:p>
        </w:tc>
        <w:tc>
          <w:tcPr>
            <w:tcW w:w="250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Rozdelenie účtovného zisku</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Prídel do zákonného rezervného fondu</w:t>
            </w:r>
          </w:p>
        </w:tc>
        <w:tc>
          <w:tcPr>
            <w:tcW w:w="250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Prídel do štatutárnych a ostatných fondov</w:t>
            </w:r>
          </w:p>
        </w:tc>
        <w:tc>
          <w:tcPr>
            <w:tcW w:w="250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Prídel do sociálneho fondu</w:t>
            </w:r>
          </w:p>
        </w:tc>
        <w:tc>
          <w:tcPr>
            <w:tcW w:w="250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Prídel na zvýšenie základného imania</w:t>
            </w:r>
          </w:p>
        </w:tc>
        <w:tc>
          <w:tcPr>
            <w:tcW w:w="250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Úhrada straty minulých období</w:t>
            </w:r>
          </w:p>
        </w:tc>
        <w:tc>
          <w:tcPr>
            <w:tcW w:w="250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Prevod do nerozdeleného zisku minulých rokov</w:t>
            </w:r>
          </w:p>
        </w:tc>
        <w:tc>
          <w:tcPr>
            <w:tcW w:w="250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557</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Rozdelenie podielu na zisku spoločníkom, členom</w:t>
            </w:r>
          </w:p>
        </w:tc>
        <w:tc>
          <w:tcPr>
            <w:tcW w:w="250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3 796 000</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Iné</w:t>
            </w:r>
          </w:p>
        </w:tc>
        <w:tc>
          <w:tcPr>
            <w:tcW w:w="250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2500"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SPOLU</w:t>
            </w:r>
          </w:p>
        </w:tc>
        <w:tc>
          <w:tcPr>
            <w:tcW w:w="2500"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3 796 557</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2"/>
        <w:gridCol w:w="1617"/>
        <w:gridCol w:w="1619"/>
        <w:gridCol w:w="1620"/>
        <w:gridCol w:w="1620"/>
        <w:gridCol w:w="1616"/>
      </w:tblGrid>
      <w:tr w:rsidR="00CE4FC0" w:rsidRPr="00CE4FC0" w:rsidTr="00D60C0F">
        <w:tc>
          <w:tcPr>
            <w:tcW w:w="5000" w:type="pct"/>
            <w:gridSpan w:val="6"/>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2 b) Rezervy</w:t>
            </w:r>
          </w:p>
        </w:tc>
      </w:tr>
      <w:tr w:rsidR="00CE4FC0" w:rsidRPr="00CE4FC0" w:rsidTr="00D60C0F">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Názov položky</w:t>
            </w:r>
          </w:p>
        </w:tc>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Stav na začiatku účtovného obdobia</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Tvorba</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Použitie</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Zrušenie</w:t>
            </w:r>
          </w:p>
        </w:tc>
        <w:tc>
          <w:tcPr>
            <w:tcW w:w="832"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Stav na konci účtovného obdobia</w:t>
            </w:r>
          </w:p>
        </w:tc>
      </w:tr>
      <w:tr w:rsidR="00CE4FC0" w:rsidRPr="00CE4FC0" w:rsidTr="00D60C0F">
        <w:tc>
          <w:tcPr>
            <w:tcW w:w="833"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Dlhodobé rezervy, z toho:</w:t>
            </w:r>
          </w:p>
        </w:tc>
        <w:tc>
          <w:tcPr>
            <w:tcW w:w="833" w:type="pct"/>
          </w:tcPr>
          <w:p w:rsidR="00CE4FC0" w:rsidRPr="00CE4FC0" w:rsidRDefault="00CE4FC0" w:rsidP="00CE4FC0">
            <w:pPr>
              <w:jc w:val="right"/>
              <w:rPr>
                <w:rFonts w:ascii="Calibri" w:eastAsia="Times New Roman" w:hAnsi="Calibri" w:cs="Times New Roman"/>
                <w:b/>
                <w:sz w:val="20"/>
                <w:szCs w:val="20"/>
              </w:rPr>
            </w:pPr>
          </w:p>
        </w:tc>
        <w:tc>
          <w:tcPr>
            <w:tcW w:w="834" w:type="pct"/>
          </w:tcPr>
          <w:p w:rsidR="00CE4FC0" w:rsidRPr="00CE4FC0" w:rsidRDefault="00CE4FC0" w:rsidP="00CE4FC0">
            <w:pPr>
              <w:jc w:val="right"/>
              <w:rPr>
                <w:rFonts w:ascii="Calibri" w:eastAsia="Times New Roman" w:hAnsi="Calibri" w:cs="Times New Roman"/>
                <w:b/>
                <w:sz w:val="20"/>
                <w:szCs w:val="20"/>
              </w:rPr>
            </w:pPr>
          </w:p>
        </w:tc>
        <w:tc>
          <w:tcPr>
            <w:tcW w:w="834" w:type="pct"/>
          </w:tcPr>
          <w:p w:rsidR="00CE4FC0" w:rsidRPr="00CE4FC0" w:rsidRDefault="00CE4FC0" w:rsidP="00CE4FC0">
            <w:pPr>
              <w:jc w:val="right"/>
              <w:rPr>
                <w:rFonts w:ascii="Calibri" w:eastAsia="Times New Roman" w:hAnsi="Calibri" w:cs="Times New Roman"/>
                <w:b/>
                <w:sz w:val="20"/>
                <w:szCs w:val="20"/>
              </w:rPr>
            </w:pPr>
          </w:p>
        </w:tc>
        <w:tc>
          <w:tcPr>
            <w:tcW w:w="834" w:type="pct"/>
          </w:tcPr>
          <w:p w:rsidR="00CE4FC0" w:rsidRPr="00CE4FC0" w:rsidRDefault="00CE4FC0" w:rsidP="00CE4FC0">
            <w:pPr>
              <w:jc w:val="right"/>
              <w:rPr>
                <w:rFonts w:ascii="Calibri" w:eastAsia="Times New Roman" w:hAnsi="Calibri" w:cs="Times New Roman"/>
                <w:b/>
                <w:sz w:val="20"/>
                <w:szCs w:val="20"/>
              </w:rPr>
            </w:pPr>
          </w:p>
        </w:tc>
        <w:tc>
          <w:tcPr>
            <w:tcW w:w="832" w:type="pct"/>
          </w:tcPr>
          <w:p w:rsidR="00CE4FC0" w:rsidRPr="00CE4FC0" w:rsidRDefault="00CE4FC0" w:rsidP="00CE4FC0">
            <w:pPr>
              <w:jc w:val="right"/>
              <w:rPr>
                <w:rFonts w:ascii="Calibri" w:eastAsia="Times New Roman" w:hAnsi="Calibri" w:cs="Times New Roman"/>
                <w:b/>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Krátkodobé rezervy, z toho:</w:t>
            </w:r>
          </w:p>
        </w:tc>
        <w:tc>
          <w:tcPr>
            <w:tcW w:w="833"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21 410</w:t>
            </w:r>
          </w:p>
        </w:tc>
        <w:tc>
          <w:tcPr>
            <w:tcW w:w="834"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14 096</w:t>
            </w:r>
          </w:p>
        </w:tc>
        <w:tc>
          <w:tcPr>
            <w:tcW w:w="834"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21 410</w:t>
            </w:r>
          </w:p>
        </w:tc>
        <w:tc>
          <w:tcPr>
            <w:tcW w:w="834" w:type="pct"/>
          </w:tcPr>
          <w:p w:rsidR="00CE4FC0" w:rsidRPr="00CE4FC0" w:rsidRDefault="00CE4FC0" w:rsidP="00CE4FC0">
            <w:pPr>
              <w:jc w:val="right"/>
              <w:rPr>
                <w:rFonts w:ascii="Calibri" w:eastAsia="Times New Roman" w:hAnsi="Calibri" w:cs="Times New Roman"/>
                <w:b/>
                <w:sz w:val="20"/>
                <w:szCs w:val="20"/>
              </w:rPr>
            </w:pPr>
          </w:p>
        </w:tc>
        <w:tc>
          <w:tcPr>
            <w:tcW w:w="832"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14 096</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lastRenderedPageBreak/>
              <w:t>Audítorské služby</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7 000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7 000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7 000</w:t>
            </w: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7 000</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Služby  /revízie, odpad, kúrenie/ týkajúce sa prenajatých priestorov, vyúčtované v nasledujúcom roku</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4 907</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3 059</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4 907</w:t>
            </w: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3 059</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nevyčerpaná dovolenka+odvody</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7 503</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4 038</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7 503</w:t>
            </w: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4 038</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cestovné</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ročné zúčtovanie zdrav.poistenia</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2 000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2 000</w:t>
            </w: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2 d) Záväzky - podľa zostatkovej doby splatnosti</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Názov položky</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Bežné účtovné obdobie</w:t>
            </w:r>
          </w:p>
        </w:tc>
        <w:tc>
          <w:tcPr>
            <w:tcW w:w="1667"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Bezprostredne predchádzajúce účtovné obdobie</w:t>
            </w: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Dlhodobé záväzky spolu</w:t>
            </w:r>
          </w:p>
        </w:tc>
        <w:tc>
          <w:tcPr>
            <w:tcW w:w="1666" w:type="pct"/>
          </w:tcPr>
          <w:p w:rsidR="00CE4FC0" w:rsidRPr="00CE4FC0" w:rsidRDefault="00CE4FC0" w:rsidP="00CE4FC0">
            <w:pPr>
              <w:jc w:val="right"/>
              <w:rPr>
                <w:rFonts w:ascii="Calibri" w:eastAsia="Times New Roman" w:hAnsi="Calibri" w:cs="Times New Roman"/>
                <w:b/>
                <w:sz w:val="20"/>
                <w:szCs w:val="20"/>
              </w:rPr>
            </w:pPr>
          </w:p>
        </w:tc>
        <w:tc>
          <w:tcPr>
            <w:tcW w:w="1667" w:type="pct"/>
          </w:tcPr>
          <w:p w:rsidR="00CE4FC0" w:rsidRPr="00CE4FC0" w:rsidRDefault="00CE4FC0" w:rsidP="00CE4FC0">
            <w:pPr>
              <w:jc w:val="right"/>
              <w:rPr>
                <w:rFonts w:ascii="Calibri" w:eastAsia="Times New Roman" w:hAnsi="Calibri" w:cs="Times New Roman"/>
                <w:b/>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Záväzky so zostatkovou dobou splatnosti nad päť rokov</w:t>
            </w:r>
          </w:p>
        </w:tc>
        <w:tc>
          <w:tcPr>
            <w:tcW w:w="1666" w:type="pct"/>
          </w:tcPr>
          <w:p w:rsidR="00CE4FC0" w:rsidRPr="00CE4FC0" w:rsidRDefault="00CE4FC0" w:rsidP="00CE4FC0">
            <w:pPr>
              <w:jc w:val="right"/>
              <w:rPr>
                <w:rFonts w:ascii="Calibri" w:eastAsia="Times New Roman" w:hAnsi="Calibri" w:cs="Times New Roman"/>
                <w:sz w:val="20"/>
                <w:szCs w:val="20"/>
              </w:rPr>
            </w:pPr>
          </w:p>
        </w:tc>
        <w:tc>
          <w:tcPr>
            <w:tcW w:w="1667"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Záväzky so zostatkovou dobou splatnosti jeden rok až päť rokov</w:t>
            </w:r>
          </w:p>
        </w:tc>
        <w:tc>
          <w:tcPr>
            <w:tcW w:w="1666" w:type="pct"/>
          </w:tcPr>
          <w:p w:rsidR="00CE4FC0" w:rsidRPr="00CE4FC0" w:rsidRDefault="00CE4FC0" w:rsidP="00CE4FC0">
            <w:pPr>
              <w:jc w:val="right"/>
              <w:rPr>
                <w:rFonts w:ascii="Calibri" w:eastAsia="Times New Roman" w:hAnsi="Calibri" w:cs="Times New Roman"/>
                <w:sz w:val="20"/>
                <w:szCs w:val="20"/>
              </w:rPr>
            </w:pPr>
          </w:p>
        </w:tc>
        <w:tc>
          <w:tcPr>
            <w:tcW w:w="1667"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Krátkodobé záväzky spolu</w:t>
            </w:r>
          </w:p>
        </w:tc>
        <w:tc>
          <w:tcPr>
            <w:tcW w:w="166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74 572</w:t>
            </w:r>
          </w:p>
        </w:tc>
        <w:tc>
          <w:tcPr>
            <w:tcW w:w="1667"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297 517</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Záväzky so zostatkovou dobou splatnosti do jedného roka vrátane</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74 572</w:t>
            </w:r>
          </w:p>
        </w:tc>
        <w:tc>
          <w:tcPr>
            <w:tcW w:w="16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297 517</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Záväzky po lehote splatnosti</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2 f) Výpočet odloženého daňového záväzku</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Odložený daňový záväzok vznikol z rozdielu medzi zostatkovou  účtovnou hodnotou majetku a zostatkovou daňovou hodnotou majetku s uplatnením 21% sadzbou dane.</w:t>
      </w: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2 g) Záväzky zo sociálneho fondu</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Názov položky</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Bežné účtovné obdobie</w:t>
            </w:r>
          </w:p>
        </w:tc>
        <w:tc>
          <w:tcPr>
            <w:tcW w:w="166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Bezprostredne predchádzajúce účtovné obdobie</w:t>
            </w: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Začiatočný stav sociálneho fondu</w:t>
            </w:r>
          </w:p>
        </w:tc>
        <w:tc>
          <w:tcPr>
            <w:tcW w:w="166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915</w:t>
            </w:r>
          </w:p>
        </w:tc>
        <w:tc>
          <w:tcPr>
            <w:tcW w:w="166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759</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Tvorba sociálneho fondu na ťarchu nákladov</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676</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665</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Tvorba sociálneho fondu zo zisku</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Ostatná tvorba sociálneho fondu</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Tvorba sociálneho fondu spolu</w:t>
            </w:r>
          </w:p>
        </w:tc>
        <w:tc>
          <w:tcPr>
            <w:tcW w:w="166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676</w:t>
            </w:r>
          </w:p>
        </w:tc>
        <w:tc>
          <w:tcPr>
            <w:tcW w:w="166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665</w:t>
            </w: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Čerpanie sociálneho fondu</w:t>
            </w:r>
          </w:p>
        </w:tc>
        <w:tc>
          <w:tcPr>
            <w:tcW w:w="166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476</w:t>
            </w:r>
          </w:p>
        </w:tc>
        <w:tc>
          <w:tcPr>
            <w:tcW w:w="166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509</w:t>
            </w: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Konečný zostatok sociálneho fondu</w:t>
            </w:r>
          </w:p>
        </w:tc>
        <w:tc>
          <w:tcPr>
            <w:tcW w:w="166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1 115</w:t>
            </w:r>
          </w:p>
        </w:tc>
        <w:tc>
          <w:tcPr>
            <w:tcW w:w="166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915</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9"/>
        <w:gridCol w:w="1365"/>
        <w:gridCol w:w="1376"/>
        <w:gridCol w:w="1378"/>
        <w:gridCol w:w="1378"/>
        <w:gridCol w:w="1490"/>
        <w:gridCol w:w="1498"/>
      </w:tblGrid>
      <w:tr w:rsidR="00CE4FC0" w:rsidRPr="00CE4FC0" w:rsidTr="00D60C0F">
        <w:tc>
          <w:tcPr>
            <w:tcW w:w="5000" w:type="pct"/>
            <w:gridSpan w:val="7"/>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2 i2) Bankové úvery a pôžičky</w:t>
            </w:r>
          </w:p>
        </w:tc>
      </w:tr>
      <w:tr w:rsidR="00CE4FC0" w:rsidRPr="00CE4FC0" w:rsidTr="00D60C0F">
        <w:tc>
          <w:tcPr>
            <w:tcW w:w="695"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Názov položky</w:t>
            </w:r>
          </w:p>
        </w:tc>
        <w:tc>
          <w:tcPr>
            <w:tcW w:w="69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Mena</w:t>
            </w:r>
          </w:p>
        </w:tc>
        <w:tc>
          <w:tcPr>
            <w:tcW w:w="69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Úrok p. a. v %</w:t>
            </w:r>
          </w:p>
        </w:tc>
        <w:tc>
          <w:tcPr>
            <w:tcW w:w="699"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Dátum splatnosti</w:t>
            </w:r>
          </w:p>
        </w:tc>
        <w:tc>
          <w:tcPr>
            <w:tcW w:w="699"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Suma istiny v príslušnej mene za bežné účtovné obdobie</w:t>
            </w:r>
          </w:p>
        </w:tc>
        <w:tc>
          <w:tcPr>
            <w:tcW w:w="75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Suma istiny v eurách za bežné účtovné obdobie</w:t>
            </w:r>
          </w:p>
        </w:tc>
        <w:tc>
          <w:tcPr>
            <w:tcW w:w="760"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Suma istiny v príslušnej mene za bezprostredne predchádzajúce účtovné obdobie</w:t>
            </w:r>
          </w:p>
        </w:tc>
      </w:tr>
      <w:tr w:rsidR="00CE4FC0" w:rsidRPr="00CE4FC0" w:rsidTr="00D60C0F">
        <w:tc>
          <w:tcPr>
            <w:tcW w:w="5000" w:type="pct"/>
            <w:gridSpan w:val="7"/>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lastRenderedPageBreak/>
              <w:t>Dlhodobé pôžičky</w:t>
            </w:r>
          </w:p>
        </w:tc>
      </w:tr>
      <w:tr w:rsidR="00CE4FC0" w:rsidRPr="00CE4FC0" w:rsidTr="00D60C0F">
        <w:tc>
          <w:tcPr>
            <w:tcW w:w="5000" w:type="pct"/>
            <w:gridSpan w:val="7"/>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Krátkodobé pôžičky</w:t>
            </w:r>
          </w:p>
        </w:tc>
      </w:tr>
      <w:tr w:rsidR="00CE4FC0" w:rsidRPr="00CE4FC0" w:rsidTr="00D60C0F">
        <w:tc>
          <w:tcPr>
            <w:tcW w:w="5000" w:type="pct"/>
            <w:gridSpan w:val="7"/>
            <w:shd w:val="clear" w:color="auto" w:fill="E6E6E6"/>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Krátkodobé finančné výpomoci</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28"/>
                <w:szCs w:val="28"/>
              </w:rPr>
            </w:pPr>
            <w:r w:rsidRPr="00CE4FC0">
              <w:rPr>
                <w:rFonts w:ascii="Calibri" w:eastAsia="Times New Roman" w:hAnsi="Calibri" w:cs="Times New Roman"/>
                <w:b/>
                <w:sz w:val="28"/>
                <w:szCs w:val="28"/>
              </w:rPr>
              <w:t>III. 5) Odložená daň</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8"/>
        <w:gridCol w:w="1016"/>
        <w:gridCol w:w="1001"/>
        <w:gridCol w:w="1001"/>
        <w:gridCol w:w="1719"/>
        <w:gridCol w:w="1719"/>
        <w:gridCol w:w="1720"/>
      </w:tblGrid>
      <w:tr w:rsidR="00CE4FC0" w:rsidRPr="00CE4FC0" w:rsidTr="00D60C0F">
        <w:tc>
          <w:tcPr>
            <w:tcW w:w="5000" w:type="pct"/>
            <w:gridSpan w:val="7"/>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III. 5 f) Vzťah medzi sumou splatnej dane z príjmov a sumou odloženej dane z príjmov a medzi výsledkom hospodárenia pred zdanením</w:t>
            </w:r>
          </w:p>
        </w:tc>
      </w:tr>
      <w:tr w:rsidR="00CE4FC0" w:rsidRPr="00CE4FC0" w:rsidTr="00D60C0F">
        <w:tc>
          <w:tcPr>
            <w:tcW w:w="85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Názov položky</w:t>
            </w:r>
          </w:p>
        </w:tc>
        <w:tc>
          <w:tcPr>
            <w:tcW w:w="509"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Bežné účtovné obdobie - Základ dane</w:t>
            </w:r>
          </w:p>
        </w:tc>
        <w:tc>
          <w:tcPr>
            <w:tcW w:w="509"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Bežné účtovné obdobie - Daň</w:t>
            </w:r>
          </w:p>
        </w:tc>
        <w:tc>
          <w:tcPr>
            <w:tcW w:w="509"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Bežné účtovné obdobie - Daň v %</w:t>
            </w:r>
          </w:p>
        </w:tc>
        <w:tc>
          <w:tcPr>
            <w:tcW w:w="87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Bezprostredne predchádzajúce účtovné obdobie - Základ dane</w:t>
            </w:r>
          </w:p>
        </w:tc>
        <w:tc>
          <w:tcPr>
            <w:tcW w:w="87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Bezprostredne predchádzajúce účtovné obdobie - Daň</w:t>
            </w:r>
          </w:p>
        </w:tc>
        <w:tc>
          <w:tcPr>
            <w:tcW w:w="87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Bezprostredne predchádzajúce účtovné obdobie - Daň v %</w:t>
            </w:r>
          </w:p>
        </w:tc>
      </w:tr>
      <w:tr w:rsidR="00CE4FC0" w:rsidRPr="00CE4FC0" w:rsidTr="00D60C0F">
        <w:tc>
          <w:tcPr>
            <w:tcW w:w="85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Výsledok hospodárenia pred  zdanením, z toho:</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2 500 750</w:t>
            </w:r>
          </w:p>
        </w:tc>
        <w:tc>
          <w:tcPr>
            <w:tcW w:w="509" w:type="pct"/>
          </w:tcPr>
          <w:p w:rsidR="00CE4FC0" w:rsidRPr="00CE4FC0" w:rsidRDefault="00CE4FC0" w:rsidP="00CE4FC0">
            <w:pPr>
              <w:jc w:val="right"/>
              <w:rPr>
                <w:rFonts w:ascii="Calibri" w:eastAsia="Times New Roman" w:hAnsi="Calibri" w:cs="Times New Roman"/>
                <w:sz w:val="20"/>
                <w:szCs w:val="20"/>
              </w:rPr>
            </w:pPr>
          </w:p>
        </w:tc>
        <w:tc>
          <w:tcPr>
            <w:tcW w:w="509" w:type="pct"/>
          </w:tcPr>
          <w:p w:rsidR="00CE4FC0" w:rsidRPr="00CE4FC0" w:rsidRDefault="00CE4FC0" w:rsidP="00CE4FC0">
            <w:pPr>
              <w:jc w:val="right"/>
              <w:rPr>
                <w:rFonts w:ascii="Calibri" w:eastAsia="Times New Roman" w:hAnsi="Calibri" w:cs="Times New Roman"/>
                <w:sz w:val="20"/>
                <w:szCs w:val="20"/>
              </w:rPr>
            </w:pPr>
          </w:p>
        </w:tc>
        <w:tc>
          <w:tcPr>
            <w:tcW w:w="87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4 908 993</w:t>
            </w:r>
          </w:p>
        </w:tc>
        <w:tc>
          <w:tcPr>
            <w:tcW w:w="873" w:type="pct"/>
          </w:tcPr>
          <w:p w:rsidR="00CE4FC0" w:rsidRPr="00CE4FC0" w:rsidRDefault="00CE4FC0" w:rsidP="00CE4FC0">
            <w:pPr>
              <w:jc w:val="right"/>
              <w:rPr>
                <w:rFonts w:ascii="Calibri" w:eastAsia="Times New Roman" w:hAnsi="Calibri" w:cs="Times New Roman"/>
                <w:sz w:val="20"/>
                <w:szCs w:val="20"/>
              </w:rPr>
            </w:pPr>
          </w:p>
        </w:tc>
        <w:tc>
          <w:tcPr>
            <w:tcW w:w="874"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5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teoretická daň</w:t>
            </w:r>
          </w:p>
        </w:tc>
        <w:tc>
          <w:tcPr>
            <w:tcW w:w="509" w:type="pct"/>
          </w:tcPr>
          <w:p w:rsidR="00CE4FC0" w:rsidRPr="00CE4FC0" w:rsidRDefault="00CE4FC0" w:rsidP="00CE4FC0">
            <w:pPr>
              <w:jc w:val="right"/>
              <w:rPr>
                <w:rFonts w:ascii="Calibri" w:eastAsia="Times New Roman" w:hAnsi="Calibri" w:cs="Times New Roman"/>
                <w:sz w:val="20"/>
                <w:szCs w:val="20"/>
              </w:rPr>
            </w:pP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525 158</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21,00</w:t>
            </w:r>
          </w:p>
        </w:tc>
        <w:tc>
          <w:tcPr>
            <w:tcW w:w="873" w:type="pct"/>
          </w:tcPr>
          <w:p w:rsidR="00CE4FC0" w:rsidRPr="00CE4FC0" w:rsidRDefault="00CE4FC0" w:rsidP="00CE4FC0">
            <w:pPr>
              <w:jc w:val="right"/>
              <w:rPr>
                <w:rFonts w:ascii="Calibri" w:eastAsia="Times New Roman" w:hAnsi="Calibri" w:cs="Times New Roman"/>
                <w:sz w:val="20"/>
                <w:szCs w:val="20"/>
              </w:rPr>
            </w:pPr>
          </w:p>
        </w:tc>
        <w:tc>
          <w:tcPr>
            <w:tcW w:w="87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1 079 978</w:t>
            </w:r>
          </w:p>
        </w:tc>
        <w:tc>
          <w:tcPr>
            <w:tcW w:w="87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22,00</w:t>
            </w:r>
          </w:p>
        </w:tc>
      </w:tr>
      <w:tr w:rsidR="00CE4FC0" w:rsidRPr="00CE4FC0" w:rsidTr="00D60C0F">
        <w:tc>
          <w:tcPr>
            <w:tcW w:w="85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Daňovo neuznané náklady</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115 031</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24 156</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0,96</w:t>
            </w:r>
          </w:p>
        </w:tc>
        <w:tc>
          <w:tcPr>
            <w:tcW w:w="87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349 120</w:t>
            </w:r>
          </w:p>
        </w:tc>
        <w:tc>
          <w:tcPr>
            <w:tcW w:w="87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76 806</w:t>
            </w:r>
          </w:p>
        </w:tc>
        <w:tc>
          <w:tcPr>
            <w:tcW w:w="87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1,56</w:t>
            </w:r>
          </w:p>
        </w:tc>
      </w:tr>
      <w:tr w:rsidR="00CE4FC0" w:rsidRPr="00CE4FC0" w:rsidTr="00D60C0F">
        <w:tc>
          <w:tcPr>
            <w:tcW w:w="85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Výnosy nepodliehajúce dani</w:t>
            </w:r>
          </w:p>
        </w:tc>
        <w:tc>
          <w:tcPr>
            <w:tcW w:w="509" w:type="pct"/>
          </w:tcPr>
          <w:p w:rsidR="00CE4FC0" w:rsidRPr="00CE4FC0" w:rsidRDefault="00CE4FC0" w:rsidP="00CE4FC0">
            <w:pPr>
              <w:jc w:val="right"/>
              <w:rPr>
                <w:rFonts w:ascii="Calibri" w:eastAsia="Times New Roman" w:hAnsi="Calibri" w:cs="Times New Roman"/>
                <w:sz w:val="20"/>
                <w:szCs w:val="20"/>
              </w:rPr>
            </w:pPr>
          </w:p>
        </w:tc>
        <w:tc>
          <w:tcPr>
            <w:tcW w:w="509" w:type="pct"/>
          </w:tcPr>
          <w:p w:rsidR="00CE4FC0" w:rsidRPr="00CE4FC0" w:rsidRDefault="00CE4FC0" w:rsidP="00CE4FC0">
            <w:pPr>
              <w:jc w:val="right"/>
              <w:rPr>
                <w:rFonts w:ascii="Calibri" w:eastAsia="Times New Roman" w:hAnsi="Calibri" w:cs="Times New Roman"/>
                <w:sz w:val="20"/>
                <w:szCs w:val="20"/>
              </w:rPr>
            </w:pPr>
          </w:p>
        </w:tc>
        <w:tc>
          <w:tcPr>
            <w:tcW w:w="509" w:type="pct"/>
          </w:tcPr>
          <w:p w:rsidR="00CE4FC0" w:rsidRPr="00CE4FC0" w:rsidRDefault="00CE4FC0" w:rsidP="00CE4FC0">
            <w:pPr>
              <w:jc w:val="right"/>
              <w:rPr>
                <w:rFonts w:ascii="Calibri" w:eastAsia="Times New Roman" w:hAnsi="Calibri" w:cs="Times New Roman"/>
                <w:sz w:val="20"/>
                <w:szCs w:val="20"/>
              </w:rPr>
            </w:pPr>
          </w:p>
        </w:tc>
        <w:tc>
          <w:tcPr>
            <w:tcW w:w="87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-200</w:t>
            </w:r>
          </w:p>
        </w:tc>
        <w:tc>
          <w:tcPr>
            <w:tcW w:w="87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-44</w:t>
            </w:r>
          </w:p>
        </w:tc>
        <w:tc>
          <w:tcPr>
            <w:tcW w:w="87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0,00</w:t>
            </w:r>
          </w:p>
        </w:tc>
      </w:tr>
      <w:tr w:rsidR="00CE4FC0" w:rsidRPr="00CE4FC0" w:rsidTr="00D60C0F">
        <w:tc>
          <w:tcPr>
            <w:tcW w:w="85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Vplyv nevykázanej odloženej daňovej pohľadávky</w:t>
            </w:r>
          </w:p>
        </w:tc>
        <w:tc>
          <w:tcPr>
            <w:tcW w:w="509" w:type="pct"/>
          </w:tcPr>
          <w:p w:rsidR="00CE4FC0" w:rsidRPr="00CE4FC0" w:rsidRDefault="00CE4FC0" w:rsidP="00CE4FC0">
            <w:pPr>
              <w:jc w:val="right"/>
              <w:rPr>
                <w:rFonts w:ascii="Calibri" w:eastAsia="Times New Roman" w:hAnsi="Calibri" w:cs="Times New Roman"/>
                <w:sz w:val="20"/>
                <w:szCs w:val="20"/>
              </w:rPr>
            </w:pPr>
          </w:p>
        </w:tc>
        <w:tc>
          <w:tcPr>
            <w:tcW w:w="509" w:type="pct"/>
          </w:tcPr>
          <w:p w:rsidR="00CE4FC0" w:rsidRPr="00CE4FC0" w:rsidRDefault="00CE4FC0" w:rsidP="00CE4FC0">
            <w:pPr>
              <w:jc w:val="right"/>
              <w:rPr>
                <w:rFonts w:ascii="Calibri" w:eastAsia="Times New Roman" w:hAnsi="Calibri" w:cs="Times New Roman"/>
                <w:sz w:val="20"/>
                <w:szCs w:val="20"/>
              </w:rPr>
            </w:pPr>
          </w:p>
        </w:tc>
        <w:tc>
          <w:tcPr>
            <w:tcW w:w="509" w:type="pct"/>
          </w:tcPr>
          <w:p w:rsidR="00CE4FC0" w:rsidRPr="00CE4FC0" w:rsidRDefault="00CE4FC0" w:rsidP="00CE4FC0">
            <w:pPr>
              <w:jc w:val="right"/>
              <w:rPr>
                <w:rFonts w:ascii="Calibri" w:eastAsia="Times New Roman" w:hAnsi="Calibri" w:cs="Times New Roman"/>
                <w:sz w:val="20"/>
                <w:szCs w:val="20"/>
              </w:rPr>
            </w:pPr>
          </w:p>
        </w:tc>
        <w:tc>
          <w:tcPr>
            <w:tcW w:w="873" w:type="pct"/>
          </w:tcPr>
          <w:p w:rsidR="00CE4FC0" w:rsidRPr="00CE4FC0" w:rsidRDefault="00CE4FC0" w:rsidP="00CE4FC0">
            <w:pPr>
              <w:jc w:val="right"/>
              <w:rPr>
                <w:rFonts w:ascii="Calibri" w:eastAsia="Times New Roman" w:hAnsi="Calibri" w:cs="Times New Roman"/>
                <w:sz w:val="20"/>
                <w:szCs w:val="20"/>
              </w:rPr>
            </w:pPr>
          </w:p>
        </w:tc>
        <w:tc>
          <w:tcPr>
            <w:tcW w:w="873" w:type="pct"/>
          </w:tcPr>
          <w:p w:rsidR="00CE4FC0" w:rsidRPr="00CE4FC0" w:rsidRDefault="00CE4FC0" w:rsidP="00CE4FC0">
            <w:pPr>
              <w:jc w:val="right"/>
              <w:rPr>
                <w:rFonts w:ascii="Calibri" w:eastAsia="Times New Roman" w:hAnsi="Calibri" w:cs="Times New Roman"/>
                <w:sz w:val="20"/>
                <w:szCs w:val="20"/>
              </w:rPr>
            </w:pPr>
          </w:p>
        </w:tc>
        <w:tc>
          <w:tcPr>
            <w:tcW w:w="874"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5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Umorenie daňovej straty</w:t>
            </w:r>
          </w:p>
        </w:tc>
        <w:tc>
          <w:tcPr>
            <w:tcW w:w="509" w:type="pct"/>
          </w:tcPr>
          <w:p w:rsidR="00CE4FC0" w:rsidRPr="00CE4FC0" w:rsidRDefault="00CE4FC0" w:rsidP="00CE4FC0">
            <w:pPr>
              <w:jc w:val="right"/>
              <w:rPr>
                <w:rFonts w:ascii="Calibri" w:eastAsia="Times New Roman" w:hAnsi="Calibri" w:cs="Times New Roman"/>
                <w:sz w:val="20"/>
                <w:szCs w:val="20"/>
              </w:rPr>
            </w:pPr>
          </w:p>
        </w:tc>
        <w:tc>
          <w:tcPr>
            <w:tcW w:w="509" w:type="pct"/>
          </w:tcPr>
          <w:p w:rsidR="00CE4FC0" w:rsidRPr="00CE4FC0" w:rsidRDefault="00CE4FC0" w:rsidP="00CE4FC0">
            <w:pPr>
              <w:jc w:val="right"/>
              <w:rPr>
                <w:rFonts w:ascii="Calibri" w:eastAsia="Times New Roman" w:hAnsi="Calibri" w:cs="Times New Roman"/>
                <w:sz w:val="20"/>
                <w:szCs w:val="20"/>
              </w:rPr>
            </w:pPr>
          </w:p>
        </w:tc>
        <w:tc>
          <w:tcPr>
            <w:tcW w:w="509" w:type="pct"/>
          </w:tcPr>
          <w:p w:rsidR="00CE4FC0" w:rsidRPr="00CE4FC0" w:rsidRDefault="00CE4FC0" w:rsidP="00CE4FC0">
            <w:pPr>
              <w:jc w:val="right"/>
              <w:rPr>
                <w:rFonts w:ascii="Calibri" w:eastAsia="Times New Roman" w:hAnsi="Calibri" w:cs="Times New Roman"/>
                <w:sz w:val="20"/>
                <w:szCs w:val="20"/>
              </w:rPr>
            </w:pPr>
          </w:p>
        </w:tc>
        <w:tc>
          <w:tcPr>
            <w:tcW w:w="873" w:type="pct"/>
          </w:tcPr>
          <w:p w:rsidR="00CE4FC0" w:rsidRPr="00CE4FC0" w:rsidRDefault="00CE4FC0" w:rsidP="00CE4FC0">
            <w:pPr>
              <w:jc w:val="right"/>
              <w:rPr>
                <w:rFonts w:ascii="Calibri" w:eastAsia="Times New Roman" w:hAnsi="Calibri" w:cs="Times New Roman"/>
                <w:sz w:val="20"/>
                <w:szCs w:val="20"/>
              </w:rPr>
            </w:pPr>
          </w:p>
        </w:tc>
        <w:tc>
          <w:tcPr>
            <w:tcW w:w="873" w:type="pct"/>
          </w:tcPr>
          <w:p w:rsidR="00CE4FC0" w:rsidRPr="00CE4FC0" w:rsidRDefault="00CE4FC0" w:rsidP="00CE4FC0">
            <w:pPr>
              <w:jc w:val="right"/>
              <w:rPr>
                <w:rFonts w:ascii="Calibri" w:eastAsia="Times New Roman" w:hAnsi="Calibri" w:cs="Times New Roman"/>
                <w:sz w:val="20"/>
                <w:szCs w:val="20"/>
              </w:rPr>
            </w:pPr>
          </w:p>
        </w:tc>
        <w:tc>
          <w:tcPr>
            <w:tcW w:w="874"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5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Zmena sadzby dane</w:t>
            </w:r>
          </w:p>
        </w:tc>
        <w:tc>
          <w:tcPr>
            <w:tcW w:w="509" w:type="pct"/>
          </w:tcPr>
          <w:p w:rsidR="00CE4FC0" w:rsidRPr="00CE4FC0" w:rsidRDefault="00CE4FC0" w:rsidP="00CE4FC0">
            <w:pPr>
              <w:jc w:val="right"/>
              <w:rPr>
                <w:rFonts w:ascii="Calibri" w:eastAsia="Times New Roman" w:hAnsi="Calibri" w:cs="Times New Roman"/>
                <w:sz w:val="20"/>
                <w:szCs w:val="20"/>
              </w:rPr>
            </w:pPr>
          </w:p>
        </w:tc>
        <w:tc>
          <w:tcPr>
            <w:tcW w:w="509" w:type="pct"/>
          </w:tcPr>
          <w:p w:rsidR="00CE4FC0" w:rsidRPr="00CE4FC0" w:rsidRDefault="00CE4FC0" w:rsidP="00CE4FC0">
            <w:pPr>
              <w:jc w:val="right"/>
              <w:rPr>
                <w:rFonts w:ascii="Calibri" w:eastAsia="Times New Roman" w:hAnsi="Calibri" w:cs="Times New Roman"/>
                <w:sz w:val="20"/>
                <w:szCs w:val="20"/>
              </w:rPr>
            </w:pPr>
          </w:p>
        </w:tc>
        <w:tc>
          <w:tcPr>
            <w:tcW w:w="509" w:type="pct"/>
          </w:tcPr>
          <w:p w:rsidR="00CE4FC0" w:rsidRPr="00CE4FC0" w:rsidRDefault="00CE4FC0" w:rsidP="00CE4FC0">
            <w:pPr>
              <w:jc w:val="right"/>
              <w:rPr>
                <w:rFonts w:ascii="Calibri" w:eastAsia="Times New Roman" w:hAnsi="Calibri" w:cs="Times New Roman"/>
                <w:sz w:val="20"/>
                <w:szCs w:val="20"/>
              </w:rPr>
            </w:pPr>
          </w:p>
        </w:tc>
        <w:tc>
          <w:tcPr>
            <w:tcW w:w="873" w:type="pct"/>
          </w:tcPr>
          <w:p w:rsidR="00CE4FC0" w:rsidRPr="00CE4FC0" w:rsidRDefault="00CE4FC0" w:rsidP="00CE4FC0">
            <w:pPr>
              <w:jc w:val="right"/>
              <w:rPr>
                <w:rFonts w:ascii="Calibri" w:eastAsia="Times New Roman" w:hAnsi="Calibri" w:cs="Times New Roman"/>
                <w:sz w:val="20"/>
                <w:szCs w:val="20"/>
              </w:rPr>
            </w:pPr>
          </w:p>
        </w:tc>
        <w:tc>
          <w:tcPr>
            <w:tcW w:w="873" w:type="pct"/>
          </w:tcPr>
          <w:p w:rsidR="00CE4FC0" w:rsidRPr="00CE4FC0" w:rsidRDefault="00CE4FC0" w:rsidP="00CE4FC0">
            <w:pPr>
              <w:jc w:val="right"/>
              <w:rPr>
                <w:rFonts w:ascii="Calibri" w:eastAsia="Times New Roman" w:hAnsi="Calibri" w:cs="Times New Roman"/>
                <w:sz w:val="20"/>
                <w:szCs w:val="20"/>
              </w:rPr>
            </w:pPr>
          </w:p>
        </w:tc>
        <w:tc>
          <w:tcPr>
            <w:tcW w:w="874"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5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Iné</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-14 407</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-3 026</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-0,12</w:t>
            </w:r>
          </w:p>
        </w:tc>
        <w:tc>
          <w:tcPr>
            <w:tcW w:w="87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-33 649</w:t>
            </w:r>
          </w:p>
        </w:tc>
        <w:tc>
          <w:tcPr>
            <w:tcW w:w="87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-7 403</w:t>
            </w:r>
          </w:p>
        </w:tc>
        <w:tc>
          <w:tcPr>
            <w:tcW w:w="87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-0,15</w:t>
            </w:r>
          </w:p>
        </w:tc>
      </w:tr>
      <w:tr w:rsidR="00CE4FC0" w:rsidRPr="00CE4FC0" w:rsidTr="00D60C0F">
        <w:tc>
          <w:tcPr>
            <w:tcW w:w="85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Spolu</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2 601 374</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546 289</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21,84</w:t>
            </w:r>
          </w:p>
        </w:tc>
        <w:tc>
          <w:tcPr>
            <w:tcW w:w="87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5 224 265</w:t>
            </w:r>
          </w:p>
        </w:tc>
        <w:tc>
          <w:tcPr>
            <w:tcW w:w="87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1 149 338</w:t>
            </w:r>
          </w:p>
        </w:tc>
        <w:tc>
          <w:tcPr>
            <w:tcW w:w="87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23,41</w:t>
            </w:r>
          </w:p>
        </w:tc>
      </w:tr>
      <w:tr w:rsidR="00CE4FC0" w:rsidRPr="00CE4FC0" w:rsidTr="00D60C0F">
        <w:tc>
          <w:tcPr>
            <w:tcW w:w="85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Splatná daň z príjmov</w:t>
            </w:r>
          </w:p>
        </w:tc>
        <w:tc>
          <w:tcPr>
            <w:tcW w:w="509" w:type="pct"/>
          </w:tcPr>
          <w:p w:rsidR="00CE4FC0" w:rsidRPr="00CE4FC0" w:rsidRDefault="00CE4FC0" w:rsidP="00CE4FC0">
            <w:pPr>
              <w:jc w:val="right"/>
              <w:rPr>
                <w:rFonts w:ascii="Calibri" w:eastAsia="Times New Roman" w:hAnsi="Calibri" w:cs="Times New Roman"/>
                <w:sz w:val="20"/>
                <w:szCs w:val="20"/>
              </w:rPr>
            </w:pP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546 289</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21,84</w:t>
            </w:r>
          </w:p>
        </w:tc>
        <w:tc>
          <w:tcPr>
            <w:tcW w:w="873" w:type="pct"/>
          </w:tcPr>
          <w:p w:rsidR="00CE4FC0" w:rsidRPr="00CE4FC0" w:rsidRDefault="00CE4FC0" w:rsidP="00CE4FC0">
            <w:pPr>
              <w:jc w:val="right"/>
              <w:rPr>
                <w:rFonts w:ascii="Calibri" w:eastAsia="Times New Roman" w:hAnsi="Calibri" w:cs="Times New Roman"/>
                <w:sz w:val="20"/>
                <w:szCs w:val="20"/>
              </w:rPr>
            </w:pPr>
          </w:p>
        </w:tc>
        <w:tc>
          <w:tcPr>
            <w:tcW w:w="87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1 149 338</w:t>
            </w:r>
          </w:p>
        </w:tc>
        <w:tc>
          <w:tcPr>
            <w:tcW w:w="87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23,41</w:t>
            </w:r>
          </w:p>
        </w:tc>
      </w:tr>
      <w:tr w:rsidR="00CE4FC0" w:rsidRPr="00CE4FC0" w:rsidTr="00D60C0F">
        <w:tc>
          <w:tcPr>
            <w:tcW w:w="85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Odložená daň z príjmov</w:t>
            </w:r>
          </w:p>
        </w:tc>
        <w:tc>
          <w:tcPr>
            <w:tcW w:w="509" w:type="pct"/>
          </w:tcPr>
          <w:p w:rsidR="00CE4FC0" w:rsidRPr="00CE4FC0" w:rsidRDefault="00CE4FC0" w:rsidP="00CE4FC0">
            <w:pPr>
              <w:jc w:val="right"/>
              <w:rPr>
                <w:rFonts w:ascii="Calibri" w:eastAsia="Times New Roman" w:hAnsi="Calibri" w:cs="Times New Roman"/>
                <w:sz w:val="20"/>
                <w:szCs w:val="20"/>
              </w:rPr>
            </w:pP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-3 488</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-0,13</w:t>
            </w:r>
          </w:p>
        </w:tc>
        <w:tc>
          <w:tcPr>
            <w:tcW w:w="873" w:type="pct"/>
          </w:tcPr>
          <w:p w:rsidR="00CE4FC0" w:rsidRPr="00CE4FC0" w:rsidRDefault="00CE4FC0" w:rsidP="00CE4FC0">
            <w:pPr>
              <w:jc w:val="right"/>
              <w:rPr>
                <w:rFonts w:ascii="Calibri" w:eastAsia="Times New Roman" w:hAnsi="Calibri" w:cs="Times New Roman"/>
                <w:sz w:val="20"/>
                <w:szCs w:val="20"/>
              </w:rPr>
            </w:pPr>
          </w:p>
        </w:tc>
        <w:tc>
          <w:tcPr>
            <w:tcW w:w="87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-36 941</w:t>
            </w:r>
          </w:p>
        </w:tc>
        <w:tc>
          <w:tcPr>
            <w:tcW w:w="87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-0,75</w:t>
            </w:r>
          </w:p>
        </w:tc>
      </w:tr>
      <w:tr w:rsidR="00CE4FC0" w:rsidRPr="00CE4FC0" w:rsidTr="00D60C0F">
        <w:tc>
          <w:tcPr>
            <w:tcW w:w="85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 xml:space="preserve">Celková daň z príjmov </w:t>
            </w:r>
          </w:p>
        </w:tc>
        <w:tc>
          <w:tcPr>
            <w:tcW w:w="509" w:type="pct"/>
          </w:tcPr>
          <w:p w:rsidR="00CE4FC0" w:rsidRPr="00CE4FC0" w:rsidRDefault="00CE4FC0" w:rsidP="00CE4FC0">
            <w:pPr>
              <w:jc w:val="right"/>
              <w:rPr>
                <w:rFonts w:ascii="Calibri" w:eastAsia="Times New Roman" w:hAnsi="Calibri" w:cs="Times New Roman"/>
                <w:sz w:val="20"/>
                <w:szCs w:val="20"/>
              </w:rPr>
            </w:pP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542 801</w:t>
            </w:r>
          </w:p>
        </w:tc>
        <w:tc>
          <w:tcPr>
            <w:tcW w:w="509"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21,70</w:t>
            </w:r>
          </w:p>
        </w:tc>
        <w:tc>
          <w:tcPr>
            <w:tcW w:w="873" w:type="pct"/>
          </w:tcPr>
          <w:p w:rsidR="00CE4FC0" w:rsidRPr="00CE4FC0" w:rsidRDefault="00CE4FC0" w:rsidP="00CE4FC0">
            <w:pPr>
              <w:jc w:val="right"/>
              <w:rPr>
                <w:rFonts w:ascii="Calibri" w:eastAsia="Times New Roman" w:hAnsi="Calibri" w:cs="Times New Roman"/>
                <w:sz w:val="20"/>
                <w:szCs w:val="20"/>
              </w:rPr>
            </w:pPr>
          </w:p>
        </w:tc>
        <w:tc>
          <w:tcPr>
            <w:tcW w:w="87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1 112 397</w:t>
            </w:r>
          </w:p>
        </w:tc>
        <w:tc>
          <w:tcPr>
            <w:tcW w:w="87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22,66</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r w:rsidRPr="00CE4FC0">
        <w:rPr>
          <w:rFonts w:ascii="Microsoft Sans Serif" w:eastAsia="Times New Roman" w:hAnsi="Microsoft Sans Serif" w:cs="Microsoft Sans Serif"/>
          <w:sz w:val="17"/>
          <w:szCs w:val="17"/>
          <w:lang w:eastAsia="sk-SK"/>
        </w:rPr>
        <w:t>V riadku "Daňovo neuznané náklady"  sú náklady na reprezentačné,  rezerva na prevádzkové náklady el.energia, spotr.vody-prenajaté priestory/</w:t>
      </w:r>
    </w:p>
    <w:p w:rsidR="00CE4FC0" w:rsidRPr="00CE4FC0" w:rsidRDefault="00CE4FC0" w:rsidP="00CE4FC0">
      <w:pPr>
        <w:autoSpaceDE w:val="0"/>
        <w:autoSpaceDN w:val="0"/>
        <w:adjustRightInd w:val="0"/>
        <w:rPr>
          <w:rFonts w:ascii="Microsoft Sans Serif" w:eastAsia="Times New Roman" w:hAnsi="Microsoft Sans Serif" w:cs="Microsoft Sans Serif"/>
          <w:sz w:val="17"/>
          <w:szCs w:val="17"/>
          <w:lang w:eastAsia="sk-SK"/>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32"/>
                <w:szCs w:val="32"/>
              </w:rPr>
            </w:pPr>
            <w:r w:rsidRPr="00CE4FC0">
              <w:rPr>
                <w:rFonts w:ascii="Calibri" w:eastAsia="Times New Roman" w:hAnsi="Calibri" w:cs="Times New Roman"/>
                <w:b/>
                <w:sz w:val="32"/>
                <w:szCs w:val="32"/>
              </w:rPr>
              <w:t>Článok IV - Informácie, ktoré vysvetľujú a dopĺňajú položky výkazu ziskov a strát</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28"/>
                <w:szCs w:val="28"/>
              </w:rPr>
            </w:pPr>
            <w:r w:rsidRPr="00CE4FC0">
              <w:rPr>
                <w:rFonts w:ascii="Calibri" w:eastAsia="Times New Roman" w:hAnsi="Calibri" w:cs="Times New Roman"/>
                <w:b/>
                <w:sz w:val="28"/>
                <w:szCs w:val="28"/>
              </w:rPr>
              <w:t>IV. 1) Výnosy a náklady z bežnej činnosti</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IV. 1 a) Výnosy za vlastné výkony a tovar podľa jednotlivých typov výrobkov a služieb</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Typ výrobku, tovaru alebo služby</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Suma výnosov Bežný rok</w:t>
            </w:r>
          </w:p>
        </w:tc>
        <w:tc>
          <w:tcPr>
            <w:tcW w:w="166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Suma výnosov Minulý rok</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Tržby z predaja tovaru</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Tržby z predaja služieb</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3 480 038</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2 967 482</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IV. 1 d) Opis a suma ostatných významných položiek výnosov z hospodárskej činnosti</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Opis účtovného prípadu</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Suma výnosov z hospodárskej činnosti Bežný rok</w:t>
            </w:r>
          </w:p>
        </w:tc>
        <w:tc>
          <w:tcPr>
            <w:tcW w:w="166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Suma výnosov z hospodárskej činnosti Minulý rok</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Tržby z predaja dlhodob.hmot.majet.</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327 598</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102 000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výnosy z hosp.činn./poistné plnenie, refundácia DPH/</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9 735</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6 118</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IV. 1 e) Osobné náklady</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Opis účtovného prípadu</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Suma osobných nákladov Bežný rok</w:t>
            </w:r>
          </w:p>
        </w:tc>
        <w:tc>
          <w:tcPr>
            <w:tcW w:w="166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Suma osobných nákladov Minulý rok</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Mzdové náklady</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165 269</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179 779</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osobné náklady na závislú činnosť</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159</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Sociálna poisťovňa</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29 997</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35 304</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Zdravotná poisťovňa</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19 998</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16 142</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Iné osobné a sociálne náklady</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4 614</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4 611</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SPOLU</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219 878</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235 995</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IV. 1 f) Opis a suma významných položiek finančných výnosov a celkovej sume kurzových ziskov</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Opis účtovného prípadu</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Suma finančných výnosov Bežný rok</w:t>
            </w:r>
          </w:p>
        </w:tc>
        <w:tc>
          <w:tcPr>
            <w:tcW w:w="166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Suma finančných výnosov Minulý rok</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Výnosy z predaja CP a podielov (661)</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9 762 850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Výnosové úroky (662)</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3 539</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4 620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Kurzové zisky počas roku (663.A)</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Kurzové zisky k závierkovému dňu (663.A)</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13</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finančné výnosy (66x)</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3 072 060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SPOLU</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3 539</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12 839 543</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IV. 1 g) Náklady na poskytnuté služby</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Opis účtovného prípadu</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Náklady na nákup služieb Bežný rok</w:t>
            </w:r>
          </w:p>
        </w:tc>
        <w:tc>
          <w:tcPr>
            <w:tcW w:w="166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Náklady na nákup služieb Minulý rok</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Spotreba materiálu, energie a ostat.nesklad.dodávok</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46 903</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90 404</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Oprava a údržba majetku</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29 395</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24 341</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Cestovné tuzem. a zahran.</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4 017</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3 164</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Poradenské a právne služby v oblasti podnikania</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155 755</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101 638</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režijné náklady /telefónne služby,poštovné, parkovné/</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88 940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48 674</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lastRenderedPageBreak/>
              <w:t>reprezentačné</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25 384</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136 595</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nájomné služby, prev.nákl.spoj.s nájmom</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281 647</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219 295</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SPOLU</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632 041</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624 111</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IV. 1 h) Ostatné významné položky nákladov z hospodárskej činnosti</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Opis účtovného prípadu</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náklady z hospodárskej činnosti Bežný rok</w:t>
            </w:r>
          </w:p>
        </w:tc>
        <w:tc>
          <w:tcPr>
            <w:tcW w:w="166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náklady z hospodárskej činnosti Minulý rok</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Odpisy dlhodob.hmot.majetku</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207 179</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241 002</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Zostatková cena predaného majetku</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186 031</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28 030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náklady na hosp. činnosť</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70 617</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102 015</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IV. 1 i) Opis a suma významných položiek finančných nákladov a celkovej sume kurzových strát</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Opis účtovného prípadu</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Suma finančných nákladov Bežný rok</w:t>
            </w:r>
          </w:p>
        </w:tc>
        <w:tc>
          <w:tcPr>
            <w:tcW w:w="166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Suma finančných nákladov Minulý rok</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Náklady z predaja CP a podielov (561)</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9 767 850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Nákladové úroky (562)</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120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Kurzové straty počas roku (563.A)</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Kurzové straty k závierkovému dňu (563.A)</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52</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33</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finančné náklady (56x)</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999</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929</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SPOLU</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1 051</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9 768 932</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IV. 3) Náklady na overenie účtovnej závierky audítorom</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Názov položky</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Bežné účtovné obdobie</w:t>
            </w:r>
          </w:p>
        </w:tc>
        <w:tc>
          <w:tcPr>
            <w:tcW w:w="166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Bezprostredne predchádzajúce účtovné obdobie</w:t>
            </w:r>
          </w:p>
        </w:tc>
      </w:tr>
      <w:tr w:rsidR="00CE4FC0" w:rsidRPr="00CE4FC0" w:rsidTr="00D60C0F">
        <w:tc>
          <w:tcPr>
            <w:tcW w:w="1666" w:type="pct"/>
          </w:tcPr>
          <w:p w:rsidR="00CE4FC0" w:rsidRPr="00CE4FC0" w:rsidRDefault="00CE4FC0" w:rsidP="00CE4FC0">
            <w:pPr>
              <w:rPr>
                <w:rFonts w:ascii="Calibri" w:eastAsia="Times New Roman" w:hAnsi="Calibri" w:cs="Times New Roman"/>
                <w:b/>
                <w:sz w:val="20"/>
                <w:szCs w:val="20"/>
              </w:rPr>
            </w:pPr>
            <w:r w:rsidRPr="00CE4FC0">
              <w:rPr>
                <w:rFonts w:ascii="Calibri" w:eastAsia="Times New Roman" w:hAnsi="Calibri" w:cs="Times New Roman"/>
                <w:b/>
                <w:sz w:val="20"/>
                <w:szCs w:val="20"/>
              </w:rPr>
              <w:t>Náklady voči audítorovi, audítorskej spoločnosti, z toho:</w:t>
            </w:r>
          </w:p>
        </w:tc>
        <w:tc>
          <w:tcPr>
            <w:tcW w:w="1666"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7 000</w:t>
            </w:r>
          </w:p>
        </w:tc>
        <w:tc>
          <w:tcPr>
            <w:tcW w:w="1668" w:type="pct"/>
          </w:tcPr>
          <w:p w:rsidR="00CE4FC0" w:rsidRPr="00CE4FC0" w:rsidRDefault="00CE4FC0" w:rsidP="00CE4FC0">
            <w:pPr>
              <w:jc w:val="right"/>
              <w:rPr>
                <w:rFonts w:ascii="Calibri" w:eastAsia="Times New Roman" w:hAnsi="Calibri" w:cs="Times New Roman"/>
                <w:b/>
                <w:sz w:val="20"/>
                <w:szCs w:val="20"/>
              </w:rPr>
            </w:pPr>
            <w:r w:rsidRPr="00CE4FC0">
              <w:rPr>
                <w:rFonts w:ascii="Calibri" w:eastAsia="Times New Roman" w:hAnsi="Calibri" w:cs="Times New Roman"/>
                <w:b/>
                <w:sz w:val="20"/>
                <w:szCs w:val="20"/>
              </w:rPr>
              <w:t>7 000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náklady za overenie individuálnej účtovnej závierky</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7 000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7 000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iné uisťovacie audítorské služby</w:t>
            </w:r>
          </w:p>
        </w:tc>
        <w:tc>
          <w:tcPr>
            <w:tcW w:w="1666" w:type="pct"/>
          </w:tcPr>
          <w:p w:rsidR="00CE4FC0" w:rsidRPr="00CE4FC0" w:rsidRDefault="00CE4FC0" w:rsidP="00CE4FC0">
            <w:pPr>
              <w:jc w:val="right"/>
              <w:rPr>
                <w:rFonts w:ascii="Calibri" w:eastAsia="Times New Roman" w:hAnsi="Calibri" w:cs="Times New Roman"/>
                <w:sz w:val="20"/>
                <w:szCs w:val="20"/>
              </w:rPr>
            </w:pPr>
          </w:p>
        </w:tc>
        <w:tc>
          <w:tcPr>
            <w:tcW w:w="1668"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súvisiace audítorské služby</w:t>
            </w:r>
          </w:p>
        </w:tc>
        <w:tc>
          <w:tcPr>
            <w:tcW w:w="1666" w:type="pct"/>
          </w:tcPr>
          <w:p w:rsidR="00CE4FC0" w:rsidRPr="00CE4FC0" w:rsidRDefault="00CE4FC0" w:rsidP="00CE4FC0">
            <w:pPr>
              <w:jc w:val="right"/>
              <w:rPr>
                <w:rFonts w:ascii="Calibri" w:eastAsia="Times New Roman" w:hAnsi="Calibri" w:cs="Times New Roman"/>
                <w:sz w:val="20"/>
                <w:szCs w:val="20"/>
              </w:rPr>
            </w:pPr>
          </w:p>
        </w:tc>
        <w:tc>
          <w:tcPr>
            <w:tcW w:w="1668"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daňové poradenstvo</w:t>
            </w:r>
          </w:p>
        </w:tc>
        <w:tc>
          <w:tcPr>
            <w:tcW w:w="1666" w:type="pct"/>
          </w:tcPr>
          <w:p w:rsidR="00CE4FC0" w:rsidRPr="00CE4FC0" w:rsidRDefault="00CE4FC0" w:rsidP="00CE4FC0">
            <w:pPr>
              <w:jc w:val="right"/>
              <w:rPr>
                <w:rFonts w:ascii="Calibri" w:eastAsia="Times New Roman" w:hAnsi="Calibri" w:cs="Times New Roman"/>
                <w:sz w:val="20"/>
                <w:szCs w:val="20"/>
              </w:rPr>
            </w:pPr>
          </w:p>
        </w:tc>
        <w:tc>
          <w:tcPr>
            <w:tcW w:w="1668"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neaudítorské služby</w:t>
            </w:r>
          </w:p>
        </w:tc>
        <w:tc>
          <w:tcPr>
            <w:tcW w:w="1666" w:type="pct"/>
          </w:tcPr>
          <w:p w:rsidR="00CE4FC0" w:rsidRPr="00CE4FC0" w:rsidRDefault="00CE4FC0" w:rsidP="00CE4FC0">
            <w:pPr>
              <w:jc w:val="right"/>
              <w:rPr>
                <w:rFonts w:ascii="Calibri" w:eastAsia="Times New Roman" w:hAnsi="Calibri" w:cs="Times New Roman"/>
                <w:sz w:val="20"/>
                <w:szCs w:val="20"/>
              </w:rPr>
            </w:pPr>
          </w:p>
        </w:tc>
        <w:tc>
          <w:tcPr>
            <w:tcW w:w="1668" w:type="pct"/>
          </w:tcPr>
          <w:p w:rsidR="00CE4FC0" w:rsidRPr="00CE4FC0" w:rsidRDefault="00CE4FC0" w:rsidP="00CE4FC0">
            <w:pPr>
              <w:jc w:val="right"/>
              <w:rPr>
                <w:rFonts w:ascii="Calibri" w:eastAsia="Times New Roman" w:hAnsi="Calibri" w:cs="Times New Roman"/>
                <w:sz w:val="20"/>
                <w:szCs w:val="20"/>
              </w:rPr>
            </w:pP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IV. 4 a) Čistý obrat - podľa typov produkcie a hlavných geografických oblastí odbytu</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Typ výrobku/služby/činnosti</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Čistý obrat v bežnom roku</w:t>
            </w:r>
          </w:p>
        </w:tc>
        <w:tc>
          <w:tcPr>
            <w:tcW w:w="166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Čistý obrat v minulom roku</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 xml:space="preserve">sprostredkovateľské služby </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3 000 000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2 380 141</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poradenské služby</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455 000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489 220</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služby spojené s nájmom</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25 038</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98 121</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predaj tovaru</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CE4FC0" w:rsidRPr="00CE4FC0" w:rsidTr="00D60C0F">
        <w:tc>
          <w:tcPr>
            <w:tcW w:w="5000" w:type="pct"/>
            <w:gridSpan w:val="3"/>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lastRenderedPageBreak/>
              <w:t>IV. 4 b) Čistý obrat - podľa typov produkcie a hlavných geografických oblastí odbytu</w:t>
            </w:r>
          </w:p>
        </w:tc>
      </w:tr>
      <w:tr w:rsidR="00CE4FC0" w:rsidRPr="00CE4FC0" w:rsidTr="00D60C0F">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Geografické oblasti odbytu</w:t>
            </w:r>
          </w:p>
        </w:tc>
        <w:tc>
          <w:tcPr>
            <w:tcW w:w="166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Bežné účtovné obdobie</w:t>
            </w:r>
          </w:p>
        </w:tc>
        <w:tc>
          <w:tcPr>
            <w:tcW w:w="1668"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Bezprostredne predchádzajúce účtovné obdobie</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Tuzemsko (typ - výrobky, tovar, služby)</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25 038</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587 341</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Európska únia (typ - výrobky, tovar, služby)</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3 455 000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2 380 141</w:t>
            </w:r>
          </w:p>
        </w:tc>
      </w:tr>
      <w:tr w:rsidR="00CE4FC0" w:rsidRPr="00CE4FC0" w:rsidTr="00D60C0F">
        <w:tc>
          <w:tcPr>
            <w:tcW w:w="166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Tretie štáty (typ - výrobky, tovar, služby)</w:t>
            </w:r>
          </w:p>
        </w:tc>
        <w:tc>
          <w:tcPr>
            <w:tcW w:w="1666"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c>
          <w:tcPr>
            <w:tcW w:w="1668"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0</w:t>
            </w: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32"/>
                <w:szCs w:val="32"/>
              </w:rPr>
            </w:pPr>
            <w:r w:rsidRPr="00CE4FC0">
              <w:rPr>
                <w:rFonts w:ascii="Calibri" w:eastAsia="Times New Roman" w:hAnsi="Calibri" w:cs="Times New Roman"/>
                <w:b/>
                <w:sz w:val="32"/>
                <w:szCs w:val="32"/>
              </w:rPr>
              <w:t>Článok IX - Prehľad o pohybe vlastného imania</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CE4FC0" w:rsidRPr="00CE4FC0" w:rsidTr="00D60C0F">
        <w:tc>
          <w:tcPr>
            <w:tcW w:w="5000" w:type="pct"/>
            <w:gridSpan w:val="6"/>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IX. 1-3 a) Prehľad zmien vlastného imania - Bežné účtovné obdobie -riadna/mimoriadna závierka</w:t>
            </w:r>
          </w:p>
        </w:tc>
      </w:tr>
      <w:tr w:rsidR="00CE4FC0" w:rsidRPr="00CE4FC0" w:rsidTr="00D60C0F">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Položka vlastného imania</w:t>
            </w:r>
          </w:p>
        </w:tc>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Stav na začiatku účtovného obdobia</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Prírastky</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Úbytky</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Presuny</w:t>
            </w:r>
          </w:p>
        </w:tc>
        <w:tc>
          <w:tcPr>
            <w:tcW w:w="832"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Stav na konci účtovného obdobia</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Základné imanie</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33 200</w:t>
            </w: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33 200</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Vlastné akcie a vlastné obchodné podiely</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Zmena základného imania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 za upísané vlastné imanie</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Emisné ážio</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kapitálové fondy</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Zákonný rezervný fond (nedeliteľný fond) z kapitálových vkladov</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9 960</w:t>
            </w: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9 960</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Oceňovacie rozdiely z precenenia majetku a záväzkov</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Oceňovacie rozdiely z kapitálových účastín</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Oceňovacie rozdiely z precenenia pri zlúčení, splynutí a rozdelení</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Zákonný rezervný fond</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Nedeliteľný fond</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lastRenderedPageBreak/>
              <w:t>Štatutárne fondy a ostatné fondy</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Nerozdelený zisk minulých rokov</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3 004</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558</w:t>
            </w: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3 562</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Neuhradená strata minulých rokov</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Výsledok hospodárenia bežného účtovného obdobia</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3 796 558</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1 957 949</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3 796 000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-558</w:t>
            </w: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1 957 949</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položky vlastného imania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Účet 491 - Vlastné imanie fyzickej osoby - podnikateľa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CE4FC0" w:rsidRPr="00CE4FC0" w:rsidTr="00D60C0F">
        <w:tc>
          <w:tcPr>
            <w:tcW w:w="5000" w:type="pct"/>
            <w:gridSpan w:val="6"/>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IX. 1-3 b) Prehľad zmien vlastného imania - Bezprostredne predchádzajúce účtovné obdobie - riadna závierka</w:t>
            </w:r>
          </w:p>
        </w:tc>
      </w:tr>
      <w:tr w:rsidR="00CE4FC0" w:rsidRPr="00CE4FC0" w:rsidTr="00D60C0F">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Položka vlastného imania</w:t>
            </w:r>
          </w:p>
        </w:tc>
        <w:tc>
          <w:tcPr>
            <w:tcW w:w="833"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Stav na začiatku účtovného obdobia</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Prírastky</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Úbytky</w:t>
            </w:r>
          </w:p>
        </w:tc>
        <w:tc>
          <w:tcPr>
            <w:tcW w:w="834"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Presuny</w:t>
            </w:r>
          </w:p>
        </w:tc>
        <w:tc>
          <w:tcPr>
            <w:tcW w:w="832"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Stav na konci účtovného obdobia</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Základné imanie</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33 200</w:t>
            </w: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33 200</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Vlastné akcie a vlastné obchodné podiely</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Zmena základného imania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Pohľadávky za upísané vlastné imanie</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Emisné ážio</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kapitálové fondy</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Zákonný rezervný fond (nedeliteľný fond) z kapitálových vkladov</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9 960</w:t>
            </w: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9 960</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Oceňovacie rozdiely z precenenia majetku a záväzkov</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Oceňovacie rozdiely z kapitálových účastín</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 xml:space="preserve">Oceňovacie rozdiely z precenenia pri </w:t>
            </w:r>
            <w:r w:rsidRPr="00CE4FC0">
              <w:rPr>
                <w:rFonts w:ascii="Calibri" w:eastAsia="Times New Roman" w:hAnsi="Calibri" w:cs="Times New Roman"/>
                <w:sz w:val="20"/>
                <w:szCs w:val="20"/>
              </w:rPr>
              <w:lastRenderedPageBreak/>
              <w:t>zlúčení, splynutí a rozdelení</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lastRenderedPageBreak/>
              <w:t>Zákonný rezervný fond</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Nedeliteľný fond</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Štatutárne fondy a ostatné fondy</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Nerozdelený zisk minulých rokov</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7 866 739</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265</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7 864 000</w:t>
            </w: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3 004</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Neuhradená strata minulých rokov</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Výsledok hospodárenia bežného účtovného obdobia</w:t>
            </w:r>
          </w:p>
        </w:tc>
        <w:tc>
          <w:tcPr>
            <w:tcW w:w="833"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3 328 265</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3 796 558</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3 328 000</w:t>
            </w:r>
          </w:p>
        </w:tc>
        <w:tc>
          <w:tcPr>
            <w:tcW w:w="834"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-265</w:t>
            </w:r>
          </w:p>
        </w:tc>
        <w:tc>
          <w:tcPr>
            <w:tcW w:w="832"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3 796 558</w:t>
            </w: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položky vlastného imania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833"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Účet 491 - Vlastné imanie fyzickej osoby - podnikateľa</w:t>
            </w:r>
          </w:p>
        </w:tc>
        <w:tc>
          <w:tcPr>
            <w:tcW w:w="833"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4" w:type="pct"/>
          </w:tcPr>
          <w:p w:rsidR="00CE4FC0" w:rsidRPr="00CE4FC0" w:rsidRDefault="00CE4FC0" w:rsidP="00CE4FC0">
            <w:pPr>
              <w:jc w:val="right"/>
              <w:rPr>
                <w:rFonts w:ascii="Calibri" w:eastAsia="Times New Roman" w:hAnsi="Calibri" w:cs="Times New Roman"/>
                <w:sz w:val="20"/>
                <w:szCs w:val="20"/>
              </w:rPr>
            </w:pPr>
          </w:p>
        </w:tc>
        <w:tc>
          <w:tcPr>
            <w:tcW w:w="832" w:type="pct"/>
          </w:tcPr>
          <w:p w:rsidR="00CE4FC0" w:rsidRPr="00CE4FC0" w:rsidRDefault="00CE4FC0" w:rsidP="00CE4FC0">
            <w:pPr>
              <w:jc w:val="right"/>
              <w:rPr>
                <w:rFonts w:ascii="Calibri" w:eastAsia="Times New Roman" w:hAnsi="Calibri" w:cs="Times New Roman"/>
                <w:sz w:val="20"/>
                <w:szCs w:val="20"/>
              </w:rPr>
            </w:pPr>
          </w:p>
        </w:tc>
      </w:tr>
    </w:tbl>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p>
    <w:p w:rsidR="00CE4FC0" w:rsidRPr="00CE4FC0" w:rsidRDefault="00CE4FC0" w:rsidP="00CE4FC0">
      <w:pPr>
        <w:spacing w:after="200" w:line="276" w:lineRule="auto"/>
        <w:rPr>
          <w:rFonts w:ascii="Calibri" w:eastAsia="Times New Roman" w:hAnsi="Calibri" w:cs="Times New Roman"/>
          <w:sz w:val="20"/>
          <w:szCs w:val="20"/>
        </w:rPr>
      </w:pPr>
      <w:bookmarkStart w:id="0" w:name="_GoBack"/>
      <w:bookmarkEnd w:id="0"/>
    </w:p>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854"/>
      </w:tblGrid>
      <w:tr w:rsidR="00CE4FC0" w:rsidRPr="00CE4FC0" w:rsidTr="00D60C0F">
        <w:tc>
          <w:tcPr>
            <w:tcW w:w="5000" w:type="pct"/>
            <w:tcBorders>
              <w:top w:val="single" w:sz="4" w:space="0" w:color="auto"/>
              <w:bottom w:val="single" w:sz="4" w:space="0" w:color="auto"/>
            </w:tcBorders>
            <w:shd w:val="clear" w:color="auto" w:fill="C0C0C0"/>
          </w:tcPr>
          <w:p w:rsidR="00CE4FC0" w:rsidRPr="00CE4FC0" w:rsidRDefault="00CE4FC0" w:rsidP="00CE4FC0">
            <w:pPr>
              <w:jc w:val="center"/>
              <w:rPr>
                <w:rFonts w:ascii="Calibri" w:eastAsia="Times New Roman" w:hAnsi="Calibri" w:cs="Times New Roman"/>
                <w:b/>
                <w:sz w:val="32"/>
                <w:szCs w:val="32"/>
              </w:rPr>
            </w:pPr>
            <w:r w:rsidRPr="00CE4FC0">
              <w:rPr>
                <w:rFonts w:ascii="Calibri" w:eastAsia="Times New Roman" w:hAnsi="Calibri" w:cs="Times New Roman"/>
                <w:b/>
                <w:sz w:val="32"/>
                <w:szCs w:val="32"/>
              </w:rPr>
              <w:t>Článok X - Prehľad peňažných tokov</w:t>
            </w:r>
          </w:p>
        </w:tc>
      </w:tr>
    </w:tbl>
    <w:p w:rsidR="00CE4FC0" w:rsidRPr="00CE4FC0" w:rsidRDefault="00CE4FC0" w:rsidP="00CE4FC0">
      <w:pPr>
        <w:spacing w:after="200" w:line="276" w:lineRule="auto"/>
        <w:rPr>
          <w:rFonts w:ascii="Calibri" w:eastAsia="Times New Roman" w:hAnsi="Calibri"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4"/>
        <w:gridCol w:w="5749"/>
        <w:gridCol w:w="1117"/>
        <w:gridCol w:w="1754"/>
      </w:tblGrid>
      <w:tr w:rsidR="00CE4FC0" w:rsidRPr="00CE4FC0" w:rsidTr="00D60C0F">
        <w:tc>
          <w:tcPr>
            <w:tcW w:w="5000" w:type="pct"/>
            <w:gridSpan w:val="4"/>
            <w:shd w:val="clear" w:color="auto" w:fill="C0C0C0"/>
          </w:tcPr>
          <w:p w:rsidR="00CE4FC0" w:rsidRPr="00CE4FC0" w:rsidRDefault="00CE4FC0" w:rsidP="00CE4FC0">
            <w:pPr>
              <w:jc w:val="center"/>
              <w:rPr>
                <w:rFonts w:ascii="Calibri" w:eastAsia="Times New Roman" w:hAnsi="Calibri" w:cs="Times New Roman"/>
                <w:b/>
                <w:sz w:val="20"/>
                <w:szCs w:val="20"/>
              </w:rPr>
            </w:pPr>
            <w:r w:rsidRPr="00CE4FC0">
              <w:rPr>
                <w:rFonts w:ascii="Calibri" w:eastAsia="Times New Roman" w:hAnsi="Calibri" w:cs="Times New Roman"/>
                <w:b/>
                <w:sz w:val="20"/>
                <w:szCs w:val="20"/>
              </w:rPr>
              <w:t>Cash Flow</w:t>
            </w:r>
          </w:p>
        </w:tc>
      </w:tr>
      <w:tr w:rsidR="00CE4FC0" w:rsidRPr="00CE4FC0" w:rsidTr="00D60C0F">
        <w:tc>
          <w:tcPr>
            <w:tcW w:w="626"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Označenie položky</w:t>
            </w:r>
          </w:p>
        </w:tc>
        <w:tc>
          <w:tcPr>
            <w:tcW w:w="2917"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Obsah položky</w:t>
            </w:r>
          </w:p>
        </w:tc>
        <w:tc>
          <w:tcPr>
            <w:tcW w:w="567"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Bežné účtovné obdobie</w:t>
            </w:r>
          </w:p>
        </w:tc>
        <w:tc>
          <w:tcPr>
            <w:tcW w:w="891" w:type="pct"/>
            <w:shd w:val="clear" w:color="auto" w:fill="E0E0E0"/>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Bezprostredne predchádzajúce účtovné obdobie</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Z/S</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Výsledok hospodárenia pred zdanením (+/-)</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2 500 750</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4 908 993</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A.1.</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Nepeňažné operácie ovplyvňujúce výsledok hospodárenia z bežnej činnosti pred zdanením daňou z príjmov (súčet A. 1. 1.až A. 1. 9.) (+/-)</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64 499</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-9 506 301</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lastRenderedPageBreak/>
              <w:t>A.1.1.</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Odpisy dlhodobého majetku (+)</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207 179</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241 002</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A.1.2.</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Zostatková cena likvidovaného alebo darovaného dlhodobého majetku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A.1.3.</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Rezervy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A.1.4.</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Opravné položky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A.1.5.</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Zmena stavu položiek časového rozlíšenia</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2 426</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94 017</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A.1.6.</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Zisk(-) / strata (+) z predaja dlhodobého majetku</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-141 567</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-9 836 820</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A.1.7.</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Výnosy z dlhodobého finančného majetku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A.1.8.</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Nákladové (+) a výnosové úroky (-)</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-3 539</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-4 500</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A.1.9</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Iné položky nepeňažného charakteru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A.2.</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1 123 199</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-1 210 148</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A.2.1.</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Zmena stavu pohľadávok z prevádzkovej činnosti (-/+)</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1 346 144</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-76 552</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A.2.2.</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Zmena stavu záväzkov z prevádzkovej činnosti (+/-)</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-222 945</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 xml:space="preserve">-1 133 596 </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A.2.3.</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Zmena stavu zásob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A.2.4.</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Zmena stavu krátkodobého finančného majetku, s výnimkou majetku, ktorý je súčasťou peňažných prostriedkov a peňažných ekvivalentov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A.3.</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Peňažné toky z prevádzkovej činnosti s výnimkou príjmov a výdavkov, ktoré sa uvádzajú osobitne v iných častiach prehľadu peňažných tokov (+/-), (súčet Z/S + A1 + A 2)</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3 688 448</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-5 807 456</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A.4.</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Prijaté úroky, s výnimkou tých, ktoré sa začleňujú do investičných činností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A.5.</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Výdavky na zaplatené úroky, s výnimkou tých, ktoré sa začleňujú do finančných činností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A.6.</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Výdavky na daň z príjmov účt. jednotky s výnimkou tých, ktoré sa začleňuje do investičných činností alebo finančných činností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 7.</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príjmy vzťahujúce sa na prevádzkovú činnosť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5 150 136</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A.8.</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výdavky vzťahujúce sa na prevádzkovú činnosť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A</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Čisté peňažné toky z prevádzkovej činnosti (súčet A.1. až 8.)</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3 688 448</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-657 144</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B.1.</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Výdavky na obstaranie dlhodobého hmotného a nehmotného majetku</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B.2.</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Príjmy z predaja dlhodobého majetku (+)</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327 598</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9 864 850</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B.3.</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Peňažné výdavky na obstaranie dlhod. CP a podielov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B.4.</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Peňažné príjmy z predaja dlhod. CP a podielov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B.5.</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Peňažné výdavky na  poskytnuté  pôžičky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B.6.</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Peňažné príjmy zo splácania poskytnutých pôžičiek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B.7.</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Peňažné výdavky súvisiace s derivátmi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B.8.</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Peňažné príjmy súvisiace s derivátmi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B.9.</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Prijaté úroky, s výnimkou tých, ktoré sa začleňujú do prevádzkových činností (+)</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3 539</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4 500</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B.10</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Príjmy z dividend a iných podielov na zisku, s výnimkou tých, ktoré sa začleňujú do prevádzkových činností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B.11.</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Výdavky na daň z príjmov ak je ju možné začleniť do investičnej činnosti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B.12.</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príjmy vzťahujúce sa na investičnú činnosť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B.13.</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výdavky vzťahujúce sa na investičnú činnosť (-)</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-814 466</w:t>
            </w: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B.</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Čisté peňažné toky z investičnej činnosti (súčet B. 1. až B. 13.)</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-483 329</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9 869 350</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C.1.</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Peňažné toky vo vlastnom imaní (+/-)</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-4 367 929</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-11 192 000</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C.2.</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Peňažné výdavky (úroky) na splácanie úverov a pôžičiek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C.3.</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Vyplatené dividendy a iné podiely na zisku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C.4.</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Výdavky na daň z príjmov ak je ich možné začleniť do finančných činností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C.5.</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Peňažné príjmy (splátky/istiny) z úverov a pôžičiek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lastRenderedPageBreak/>
              <w:t>C.6.</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Peňažné výdavky na splácanie úverov a pôžičiek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C.7.</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Peňažné príjmy z emisie dlhových cenných papierov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C.8.</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Peňažné výdavky na úhradu záväzkov z dlhových CP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C.9.</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Príjaté  výnosové úroky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C.10.</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príjmy vzťahujúce sa na finančnú činnosť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C.11.</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Ostatné výdavky vzťahujúce sa na finančnú činnosť (-)</w:t>
            </w:r>
          </w:p>
        </w:tc>
        <w:tc>
          <w:tcPr>
            <w:tcW w:w="567" w:type="pct"/>
          </w:tcPr>
          <w:p w:rsidR="00CE4FC0" w:rsidRPr="00CE4FC0" w:rsidRDefault="00CE4FC0" w:rsidP="00CE4FC0">
            <w:pPr>
              <w:jc w:val="right"/>
              <w:rPr>
                <w:rFonts w:ascii="Calibri" w:eastAsia="Times New Roman" w:hAnsi="Calibri" w:cs="Times New Roman"/>
                <w:sz w:val="20"/>
                <w:szCs w:val="20"/>
              </w:rPr>
            </w:pPr>
          </w:p>
        </w:tc>
        <w:tc>
          <w:tcPr>
            <w:tcW w:w="891" w:type="pct"/>
          </w:tcPr>
          <w:p w:rsidR="00CE4FC0" w:rsidRPr="00CE4FC0" w:rsidRDefault="00CE4FC0" w:rsidP="00CE4FC0">
            <w:pPr>
              <w:jc w:val="right"/>
              <w:rPr>
                <w:rFonts w:ascii="Calibri" w:eastAsia="Times New Roman" w:hAnsi="Calibri" w:cs="Times New Roman"/>
                <w:sz w:val="20"/>
                <w:szCs w:val="20"/>
              </w:rPr>
            </w:pP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C.</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Čisté peňažné toky z finančnej činnosti (súčet C. 1. až 11.)</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-4 367 929</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-11 192 120</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D.</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Čisté zvýšenie alebo čisté zníženie peňažných prostriedkov (+/-) (súčet A + B + C)</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-1 162 810</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-1 979 794</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E.</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Stav peňažných prostriedkov a peňažných ekvivalentov nazačiatku účtovného obdobia</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1 567 566</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3 547 360</w:t>
            </w:r>
          </w:p>
        </w:tc>
      </w:tr>
      <w:tr w:rsidR="00CE4FC0" w:rsidRPr="00CE4FC0" w:rsidTr="00D60C0F">
        <w:tc>
          <w:tcPr>
            <w:tcW w:w="626"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F</w:t>
            </w:r>
          </w:p>
        </w:tc>
        <w:tc>
          <w:tcPr>
            <w:tcW w:w="2917" w:type="pct"/>
          </w:tcPr>
          <w:p w:rsidR="00CE4FC0" w:rsidRPr="00CE4FC0" w:rsidRDefault="00CE4FC0" w:rsidP="00CE4FC0">
            <w:pPr>
              <w:rPr>
                <w:rFonts w:ascii="Calibri" w:eastAsia="Times New Roman" w:hAnsi="Calibri" w:cs="Times New Roman"/>
                <w:sz w:val="20"/>
                <w:szCs w:val="20"/>
              </w:rPr>
            </w:pPr>
            <w:r w:rsidRPr="00CE4FC0">
              <w:rPr>
                <w:rFonts w:ascii="Calibri" w:eastAsia="Times New Roman" w:hAnsi="Calibri" w:cs="Times New Roman"/>
                <w:sz w:val="20"/>
                <w:szCs w:val="20"/>
              </w:rPr>
              <w:t>Zostatok peňažných prostriedkov a peňažných ekvivalentov na konci účtovného obdobia</w:t>
            </w:r>
          </w:p>
        </w:tc>
        <w:tc>
          <w:tcPr>
            <w:tcW w:w="567"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404 756</w:t>
            </w:r>
          </w:p>
        </w:tc>
        <w:tc>
          <w:tcPr>
            <w:tcW w:w="891" w:type="pct"/>
          </w:tcPr>
          <w:p w:rsidR="00CE4FC0" w:rsidRPr="00CE4FC0" w:rsidRDefault="00CE4FC0" w:rsidP="00CE4FC0">
            <w:pPr>
              <w:jc w:val="right"/>
              <w:rPr>
                <w:rFonts w:ascii="Calibri" w:eastAsia="Times New Roman" w:hAnsi="Calibri" w:cs="Times New Roman"/>
                <w:sz w:val="20"/>
                <w:szCs w:val="20"/>
              </w:rPr>
            </w:pPr>
            <w:r w:rsidRPr="00CE4FC0">
              <w:rPr>
                <w:rFonts w:ascii="Calibri" w:eastAsia="Times New Roman" w:hAnsi="Calibri" w:cs="Times New Roman"/>
                <w:sz w:val="20"/>
                <w:szCs w:val="20"/>
              </w:rPr>
              <w:t>1 567 566</w:t>
            </w:r>
          </w:p>
        </w:tc>
      </w:tr>
    </w:tbl>
    <w:p w:rsidR="00CE4FC0" w:rsidRPr="00CE4FC0" w:rsidRDefault="00CE4FC0" w:rsidP="00CE4FC0">
      <w:pPr>
        <w:spacing w:after="200" w:line="276" w:lineRule="auto"/>
        <w:rPr>
          <w:rFonts w:ascii="Calibri" w:eastAsia="Times New Roman" w:hAnsi="Calibri" w:cs="Times New Roman"/>
          <w:sz w:val="20"/>
          <w:szCs w:val="20"/>
        </w:rPr>
      </w:pPr>
    </w:p>
    <w:p w:rsidR="00CA0362" w:rsidRDefault="00297BD4"/>
    <w:sectPr w:rsidR="00CA0362" w:rsidSect="006F5860">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BD4" w:rsidRDefault="00297BD4" w:rsidP="009C3A63">
      <w:r>
        <w:separator/>
      </w:r>
    </w:p>
  </w:endnote>
  <w:endnote w:type="continuationSeparator" w:id="1">
    <w:p w:rsidR="00297BD4" w:rsidRDefault="00297BD4" w:rsidP="009C3A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notTrueType/>
    <w:pitch w:val="variable"/>
    <w:sig w:usb0="00000007" w:usb1="00000000" w:usb2="00000000" w:usb3="00000000" w:csb0="00000003" w:csb1="00000000"/>
  </w:font>
  <w:font w:name="Microsoft Sans Serif">
    <w:panose1 w:val="020B0604020202020204"/>
    <w:charset w:val="EE"/>
    <w:family w:val="swiss"/>
    <w:pitch w:val="variable"/>
    <w:sig w:usb0="E1002AFF" w:usb1="C0000002" w:usb2="00000008"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792" w:rsidRDefault="009C3A63" w:rsidP="003306DF">
    <w:pPr>
      <w:pStyle w:val="Pta"/>
      <w:framePr w:wrap="around" w:vAnchor="text" w:hAnchor="margin" w:xAlign="right" w:y="1"/>
      <w:rPr>
        <w:rStyle w:val="slostrany"/>
      </w:rPr>
    </w:pPr>
    <w:r>
      <w:rPr>
        <w:rStyle w:val="slostrany"/>
      </w:rPr>
      <w:fldChar w:fldCharType="begin"/>
    </w:r>
    <w:r w:rsidR="00CE4FC0">
      <w:rPr>
        <w:rStyle w:val="slostrany"/>
      </w:rPr>
      <w:instrText xml:space="preserve">PAGE  </w:instrText>
    </w:r>
    <w:r>
      <w:rPr>
        <w:rStyle w:val="slostrany"/>
      </w:rPr>
      <w:fldChar w:fldCharType="end"/>
    </w:r>
  </w:p>
  <w:p w:rsidR="000F3792" w:rsidRDefault="00297BD4" w:rsidP="004E237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792" w:rsidRDefault="009C3A63" w:rsidP="003306DF">
    <w:pPr>
      <w:pStyle w:val="Pta"/>
      <w:framePr w:wrap="around" w:vAnchor="text" w:hAnchor="margin" w:xAlign="right" w:y="1"/>
      <w:rPr>
        <w:rStyle w:val="slostrany"/>
      </w:rPr>
    </w:pPr>
    <w:r>
      <w:rPr>
        <w:rStyle w:val="slostrany"/>
      </w:rPr>
      <w:fldChar w:fldCharType="begin"/>
    </w:r>
    <w:r w:rsidR="00CE4FC0">
      <w:rPr>
        <w:rStyle w:val="slostrany"/>
      </w:rPr>
      <w:instrText xml:space="preserve">PAGE  </w:instrText>
    </w:r>
    <w:r>
      <w:rPr>
        <w:rStyle w:val="slostrany"/>
      </w:rPr>
      <w:fldChar w:fldCharType="separate"/>
    </w:r>
    <w:r w:rsidR="001038F6">
      <w:rPr>
        <w:rStyle w:val="slostrany"/>
        <w:noProof/>
      </w:rPr>
      <w:t>1</w:t>
    </w:r>
    <w:r>
      <w:rPr>
        <w:rStyle w:val="slostrany"/>
      </w:rPr>
      <w:fldChar w:fldCharType="end"/>
    </w:r>
  </w:p>
  <w:p w:rsidR="000F3792" w:rsidRPr="004E2370" w:rsidRDefault="00CE4FC0" w:rsidP="004E2370">
    <w:pPr>
      <w:pStyle w:val="Pta"/>
      <w:ind w:right="360"/>
      <w:jc w:val="right"/>
      <w:rPr>
        <w:sz w:val="20"/>
      </w:rPr>
    </w:pPr>
    <w:r>
      <w:rPr>
        <w:sz w:val="20"/>
      </w:rPr>
      <w:t xml:space="preserve">Strana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792" w:rsidRDefault="00297BD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BD4" w:rsidRDefault="00297BD4" w:rsidP="009C3A63">
      <w:r>
        <w:separator/>
      </w:r>
    </w:p>
  </w:footnote>
  <w:footnote w:type="continuationSeparator" w:id="1">
    <w:p w:rsidR="00297BD4" w:rsidRDefault="00297BD4" w:rsidP="009C3A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792" w:rsidRDefault="00297BD4">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70" w:type="dxa"/>
        <w:right w:w="70" w:type="dxa"/>
      </w:tblCellMar>
      <w:tblLook w:val="0000"/>
    </w:tblPr>
    <w:tblGrid>
      <w:gridCol w:w="4889"/>
      <w:gridCol w:w="4889"/>
    </w:tblGrid>
    <w:tr w:rsidR="000F3792" w:rsidRPr="004E2370" w:rsidTr="004E2370">
      <w:tc>
        <w:tcPr>
          <w:tcW w:w="2500" w:type="pct"/>
        </w:tcPr>
        <w:p w:rsidR="000F3792" w:rsidRPr="004E2370" w:rsidRDefault="00CE4FC0" w:rsidP="004E2370">
          <w:pPr>
            <w:pStyle w:val="Hlavika"/>
            <w:rPr>
              <w:sz w:val="20"/>
            </w:rPr>
          </w:pPr>
          <w:r>
            <w:rPr>
              <w:sz w:val="20"/>
            </w:rPr>
            <w:t>Poznámky Úč POD 3-01</w:t>
          </w:r>
        </w:p>
      </w:tc>
      <w:tc>
        <w:tcPr>
          <w:tcW w:w="2500" w:type="pct"/>
        </w:tcPr>
        <w:p w:rsidR="000F3792" w:rsidRPr="004E2370" w:rsidRDefault="00CE4FC0" w:rsidP="00CD336F">
          <w:pPr>
            <w:pStyle w:val="Hlavika"/>
            <w:jc w:val="right"/>
            <w:rPr>
              <w:sz w:val="20"/>
            </w:rPr>
          </w:pPr>
          <w:r>
            <w:rPr>
              <w:sz w:val="20"/>
            </w:rPr>
            <w:t>IČO: 36766330, DIČ: 2022363607</w:t>
          </w:r>
        </w:p>
      </w:tc>
    </w:tr>
  </w:tbl>
  <w:p w:rsidR="000F3792" w:rsidRPr="004E2370" w:rsidRDefault="00297BD4">
    <w:pPr>
      <w:pStyle w:val="Hlavika"/>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792" w:rsidRDefault="00297BD4">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E4FC0"/>
    <w:rsid w:val="001038F6"/>
    <w:rsid w:val="00297BD4"/>
    <w:rsid w:val="004834D1"/>
    <w:rsid w:val="00712B63"/>
    <w:rsid w:val="009C3A63"/>
    <w:rsid w:val="00C047B9"/>
    <w:rsid w:val="00CE4FC0"/>
    <w:rsid w:val="00DE039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C3A63"/>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E4FC0"/>
    <w:pPr>
      <w:tabs>
        <w:tab w:val="center" w:pos="4536"/>
        <w:tab w:val="right" w:pos="9072"/>
      </w:tabs>
    </w:pPr>
    <w:rPr>
      <w:rFonts w:ascii="Calibri" w:eastAsia="Times New Roman" w:hAnsi="Calibri" w:cs="Times New Roman"/>
      <w:sz w:val="22"/>
      <w:szCs w:val="22"/>
    </w:rPr>
  </w:style>
  <w:style w:type="character" w:customStyle="1" w:styleId="HlavikaChar">
    <w:name w:val="Hlavička Char"/>
    <w:basedOn w:val="Predvolenpsmoodseku"/>
    <w:link w:val="Hlavika"/>
    <w:uiPriority w:val="99"/>
    <w:rsid w:val="00CE4FC0"/>
    <w:rPr>
      <w:rFonts w:ascii="Calibri" w:eastAsia="Times New Roman" w:hAnsi="Calibri" w:cs="Times New Roman"/>
      <w:sz w:val="22"/>
      <w:szCs w:val="22"/>
    </w:rPr>
  </w:style>
  <w:style w:type="paragraph" w:styleId="Pta">
    <w:name w:val="footer"/>
    <w:basedOn w:val="Normlny"/>
    <w:link w:val="PtaChar"/>
    <w:uiPriority w:val="99"/>
    <w:unhideWhenUsed/>
    <w:rsid w:val="00CE4FC0"/>
    <w:pPr>
      <w:tabs>
        <w:tab w:val="center" w:pos="4536"/>
        <w:tab w:val="right" w:pos="9072"/>
      </w:tabs>
    </w:pPr>
    <w:rPr>
      <w:rFonts w:ascii="Calibri" w:eastAsia="Times New Roman" w:hAnsi="Calibri" w:cs="Times New Roman"/>
      <w:sz w:val="22"/>
      <w:szCs w:val="22"/>
    </w:rPr>
  </w:style>
  <w:style w:type="character" w:customStyle="1" w:styleId="PtaChar">
    <w:name w:val="Päta Char"/>
    <w:basedOn w:val="Predvolenpsmoodseku"/>
    <w:link w:val="Pta"/>
    <w:uiPriority w:val="99"/>
    <w:rsid w:val="00CE4FC0"/>
    <w:rPr>
      <w:rFonts w:ascii="Calibri" w:eastAsia="Times New Roman" w:hAnsi="Calibri" w:cs="Times New Roman"/>
      <w:sz w:val="22"/>
      <w:szCs w:val="22"/>
    </w:rPr>
  </w:style>
  <w:style w:type="character" w:styleId="slostrany">
    <w:name w:val="page number"/>
    <w:basedOn w:val="Predvolenpsmoodseku"/>
    <w:uiPriority w:val="99"/>
    <w:semiHidden/>
    <w:unhideWhenUsed/>
    <w:rsid w:val="00CE4FC0"/>
    <w:rPr>
      <w:rFonts w:cs="Times New Roman"/>
    </w:rPr>
  </w:style>
  <w:style w:type="table" w:styleId="Mriekatabuky">
    <w:name w:val="Table Grid"/>
    <w:basedOn w:val="Normlnatabuka"/>
    <w:uiPriority w:val="59"/>
    <w:rsid w:val="00CE4FC0"/>
    <w:rPr>
      <w:rFonts w:ascii="Calibri" w:eastAsia="Times New Roman"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CE4FC0"/>
    <w:rPr>
      <w:rFonts w:ascii="Segoe UI" w:eastAsia="Times New Roman" w:hAnsi="Segoe UI" w:cs="Segoe UI"/>
      <w:sz w:val="18"/>
      <w:szCs w:val="18"/>
    </w:rPr>
  </w:style>
  <w:style w:type="character" w:customStyle="1" w:styleId="TextbublinyChar">
    <w:name w:val="Text bubliny Char"/>
    <w:basedOn w:val="Predvolenpsmoodseku"/>
    <w:link w:val="Textbubliny"/>
    <w:uiPriority w:val="99"/>
    <w:semiHidden/>
    <w:rsid w:val="00CE4FC0"/>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3780</Words>
  <Characters>21548</Characters>
  <Application>Microsoft Office Word</Application>
  <DocSecurity>0</DocSecurity>
  <Lines>179</Lines>
  <Paragraphs>50</Paragraphs>
  <ScaleCrop>false</ScaleCrop>
  <Company>Office2007</Company>
  <LinksUpToDate>false</LinksUpToDate>
  <CharactersWithSpaces>25278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Používateľ balíka Microsoft Office</dc:creator>
  <cp:lastModifiedBy>PC01</cp:lastModifiedBy>
  <cp:revision>2</cp:revision>
  <dcterms:created xsi:type="dcterms:W3CDTF">2018-03-29T08:20:00Z</dcterms:created>
  <dcterms:modified xsi:type="dcterms:W3CDTF">2018-03-29T08:20:00Z</dcterms:modified>
</cp:coreProperties>
</file>