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mbria" w:hAnsi="Cambria" w:cs="Cambria" w:eastAsia="Cambria"/>
          <w:i/>
          <w:color w:val="4F81BD"/>
          <w:spacing w:val="15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i/>
          <w:color w:val="4F81BD"/>
          <w:spacing w:val="15"/>
          <w:position w:val="0"/>
          <w:sz w:val="24"/>
          <w:shd w:fill="auto" w:val="clear"/>
        </w:rPr>
        <w:t xml:space="preserve">Inpress Creative Studio, s.r.o., Školská 533/37, 90024 Ve</w:t>
      </w:r>
      <w:r>
        <w:rPr>
          <w:rFonts w:ascii="Cambria" w:hAnsi="Cambria" w:cs="Cambria" w:eastAsia="Cambria"/>
          <w:i/>
          <w:color w:val="4F81BD"/>
          <w:spacing w:val="15"/>
          <w:position w:val="0"/>
          <w:sz w:val="24"/>
          <w:shd w:fill="auto" w:val="clear"/>
        </w:rPr>
        <w:t xml:space="preserve">ľký Biel</w:t>
      </w:r>
    </w:p>
    <w:p>
      <w:pPr>
        <w:spacing w:before="0" w:after="200" w:line="276"/>
        <w:ind w:right="0" w:left="0" w:firstLine="0"/>
        <w:jc w:val="left"/>
        <w:rPr>
          <w:rFonts w:ascii="Cambria" w:hAnsi="Cambria" w:cs="Cambria" w:eastAsia="Cambria"/>
          <w:i/>
          <w:color w:val="4F81BD"/>
          <w:spacing w:val="15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i/>
          <w:color w:val="4F81BD"/>
          <w:spacing w:val="15"/>
          <w:position w:val="0"/>
          <w:sz w:val="24"/>
          <w:shd w:fill="auto" w:val="clear"/>
        </w:rPr>
        <w:t xml:space="preserve">                       I</w:t>
      </w:r>
      <w:r>
        <w:rPr>
          <w:rFonts w:ascii="Cambria" w:hAnsi="Cambria" w:cs="Cambria" w:eastAsia="Cambria"/>
          <w:i/>
          <w:color w:val="4F81BD"/>
          <w:spacing w:val="15"/>
          <w:position w:val="0"/>
          <w:sz w:val="24"/>
          <w:shd w:fill="auto" w:val="clear"/>
        </w:rPr>
        <w:t xml:space="preserve">ČO 47336650, DIČ 2023829005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mbria" w:hAnsi="Cambria" w:cs="Cambria" w:eastAsia="Cambria"/>
          <w:i/>
          <w:color w:val="4F81BD"/>
          <w:spacing w:val="15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i/>
          <w:color w:val="4F81BD"/>
          <w:spacing w:val="15"/>
          <w:position w:val="0"/>
          <w:sz w:val="24"/>
          <w:shd w:fill="auto" w:val="clear"/>
        </w:rPr>
        <w:t xml:space="preserve">        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 poznámkach sa uvádzaju informácie ustanovené opatrením o obsahu poznámok k individualnej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závierke, pre ktoré má účtovná jednotka obsahovú náplň. Všetky údaje a informácie uvedené v týchto poznámkach vychádzjú z účtovníctva a nadväzujú na účtovné výkazy. Hodnotové údaje sú uvedené v celých eurách.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5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5"/>
          <w:position w:val="0"/>
          <w:sz w:val="22"/>
          <w:shd w:fill="auto" w:val="clear"/>
        </w:rPr>
        <w:t xml:space="preserve">VŠEOBECNÉ INFORMÁCIE</w:t>
      </w:r>
    </w:p>
    <w:p>
      <w:pPr>
        <w:numPr>
          <w:ilvl w:val="0"/>
          <w:numId w:val="3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Obchodné meno a sídlo   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Inpress Creative Studio s.r.o., Školská 533/37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    90024 Ve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ľký Biel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Hospodárska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činnosť        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Reklamné a marketingové služby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čítačové služby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 Fotografické služby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Služby súvisiace s produkciou filmov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 podnikateľských  poradcov                     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Služby súvisiace so spracovaním údajov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Polygrafická výroba, sadzba a úprava tla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čovín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5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Kúpa tovaru za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čelom  jeho predaja </w:t>
      </w:r>
      <w:r>
        <w:rPr>
          <w:rFonts w:ascii="Calibri" w:hAnsi="Calibri" w:cs="Calibri" w:eastAsia="Calibri"/>
          <w:b/>
          <w:color w:val="auto"/>
          <w:spacing w:val="5"/>
          <w:position w:val="0"/>
          <w:sz w:val="22"/>
          <w:shd w:fill="auto" w:val="clear"/>
        </w:rPr>
        <w:t xml:space="preserve">                                                                           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5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5"/>
          <w:position w:val="0"/>
          <w:sz w:val="22"/>
          <w:shd w:fill="auto" w:val="clear"/>
        </w:rPr>
        <w:t xml:space="preserve">                                                                             Vykonávanie mimoškolskej </w:t>
      </w:r>
      <w:r>
        <w:rPr>
          <w:rFonts w:ascii="Calibri" w:hAnsi="Calibri" w:cs="Calibri" w:eastAsia="Calibri"/>
          <w:color w:val="auto"/>
          <w:spacing w:val="5"/>
          <w:position w:val="0"/>
          <w:sz w:val="22"/>
          <w:shd w:fill="auto" w:val="clear"/>
        </w:rPr>
        <w:t xml:space="preserve">činnosti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5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5"/>
          <w:position w:val="0"/>
          <w:sz w:val="22"/>
          <w:shd w:fill="auto" w:val="clear"/>
        </w:rPr>
        <w:t xml:space="preserve">                                                                           Sprostredkovate</w:t>
      </w:r>
      <w:r>
        <w:rPr>
          <w:rFonts w:ascii="Calibri" w:hAnsi="Calibri" w:cs="Calibri" w:eastAsia="Calibri"/>
          <w:color w:val="auto"/>
          <w:spacing w:val="5"/>
          <w:position w:val="0"/>
          <w:sz w:val="22"/>
          <w:shd w:fill="auto" w:val="clear"/>
        </w:rPr>
        <w:t xml:space="preserve">ľská činnosť v oblasti služieb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5"/>
          <w:position w:val="0"/>
          <w:sz w:val="22"/>
          <w:shd w:fill="auto" w:val="clear"/>
        </w:rPr>
      </w:pPr>
    </w:p>
    <w:p>
      <w:pPr>
        <w:numPr>
          <w:ilvl w:val="0"/>
          <w:numId w:val="8"/>
        </w:numPr>
        <w:spacing w:before="0" w:after="200" w:line="276"/>
        <w:ind w:right="0" w:left="1440" w:hanging="360"/>
        <w:jc w:val="left"/>
        <w:rPr>
          <w:rFonts w:ascii="Calibri" w:hAnsi="Calibri" w:cs="Calibri" w:eastAsia="Calibri"/>
          <w:b/>
          <w:color w:val="auto"/>
          <w:spacing w:val="5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5"/>
          <w:position w:val="0"/>
          <w:sz w:val="22"/>
          <w:shd w:fill="auto" w:val="clear"/>
        </w:rPr>
        <w:t xml:space="preserve">Zamestnanci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5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5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5"/>
          <w:position w:val="0"/>
          <w:sz w:val="22"/>
          <w:shd w:fill="auto" w:val="clear"/>
        </w:rPr>
        <w:t xml:space="preserve">čnosť nemá zamestnancov</w:t>
      </w:r>
    </w:p>
    <w:p>
      <w:pPr>
        <w:numPr>
          <w:ilvl w:val="0"/>
          <w:numId w:val="10"/>
        </w:numPr>
        <w:spacing w:before="0" w:after="200" w:line="276"/>
        <w:ind w:right="0" w:left="1440" w:hanging="360"/>
        <w:jc w:val="left"/>
        <w:rPr>
          <w:rFonts w:ascii="Calibri" w:hAnsi="Calibri" w:cs="Calibri" w:eastAsia="Calibri"/>
          <w:b/>
          <w:color w:val="auto"/>
          <w:spacing w:val="5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5"/>
          <w:position w:val="0"/>
          <w:sz w:val="22"/>
          <w:shd w:fill="auto" w:val="clear"/>
        </w:rPr>
        <w:t xml:space="preserve">Právny dôvod zostavenia ú</w:t>
      </w:r>
      <w:r>
        <w:rPr>
          <w:rFonts w:ascii="Calibri" w:hAnsi="Calibri" w:cs="Calibri" w:eastAsia="Calibri"/>
          <w:b/>
          <w:color w:val="auto"/>
          <w:spacing w:val="5"/>
          <w:position w:val="0"/>
          <w:sz w:val="22"/>
          <w:shd w:fill="auto" w:val="clear"/>
        </w:rPr>
        <w:t xml:space="preserve">čtovnej uzávierky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5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5"/>
          <w:position w:val="0"/>
          <w:sz w:val="22"/>
          <w:shd w:fill="auto" w:val="clear"/>
        </w:rPr>
        <w:t xml:space="preserve">Táto ú</w:t>
      </w:r>
      <w:r>
        <w:rPr>
          <w:rFonts w:ascii="Calibri" w:hAnsi="Calibri" w:cs="Calibri" w:eastAsia="Calibri"/>
          <w:color w:val="auto"/>
          <w:spacing w:val="5"/>
          <w:position w:val="0"/>
          <w:sz w:val="22"/>
          <w:shd w:fill="auto" w:val="clear"/>
        </w:rPr>
        <w:t xml:space="preserve">čtovná závierka je riadna individuálna účtovná závierka spoločnosti Inpress Creative Studio s.r.o. Bola zostavená za účtovné obdobie od 1. januára do 31. decembra 2017 podľa slovenských právnych predpisov.</w:t>
      </w:r>
    </w:p>
    <w:p>
      <w:pPr>
        <w:numPr>
          <w:ilvl w:val="0"/>
          <w:numId w:val="12"/>
        </w:numPr>
        <w:spacing w:before="0" w:after="200" w:line="276"/>
        <w:ind w:right="0" w:left="1440" w:hanging="360"/>
        <w:jc w:val="left"/>
        <w:rPr>
          <w:rFonts w:ascii="Calibri" w:hAnsi="Calibri" w:cs="Calibri" w:eastAsia="Calibri"/>
          <w:color w:val="auto"/>
          <w:spacing w:val="5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5"/>
          <w:position w:val="0"/>
          <w:sz w:val="22"/>
          <w:shd w:fill="auto" w:val="clear"/>
        </w:rPr>
        <w:t xml:space="preserve">Schválenie ú</w:t>
      </w:r>
      <w:r>
        <w:rPr>
          <w:rFonts w:ascii="Calibri" w:hAnsi="Calibri" w:cs="Calibri" w:eastAsia="Calibri"/>
          <w:b/>
          <w:color w:val="auto"/>
          <w:spacing w:val="5"/>
          <w:position w:val="0"/>
          <w:sz w:val="22"/>
          <w:shd w:fill="auto" w:val="clear"/>
        </w:rPr>
        <w:t xml:space="preserve">čtovnej závierky za rok 2016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5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5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5"/>
          <w:position w:val="0"/>
          <w:sz w:val="22"/>
          <w:shd w:fill="auto" w:val="clear"/>
        </w:rPr>
        <w:t xml:space="preserve">čtovnú závierku spoločnosti Inpress Creative Studio s.r.o. za rok 2016 schválilo valné zhromaždenie 29.6.2017.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5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5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5"/>
          <w:position w:val="0"/>
          <w:sz w:val="22"/>
          <w:shd w:fill="auto" w:val="clear"/>
        </w:rPr>
        <w:t xml:space="preserve">čnosť Inpress Creative Studio s.r.o. nemá materskú spoločnosť ani dcérske spoločnosti a konsolidovanú účtovnú závierku nezostavuje.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5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5"/>
          <w:position w:val="0"/>
          <w:sz w:val="22"/>
          <w:shd w:fill="auto" w:val="clear"/>
        </w:rPr>
        <w:t xml:space="preserve">        POUŽITÉ Ú</w:t>
      </w:r>
      <w:r>
        <w:rPr>
          <w:rFonts w:ascii="Calibri" w:hAnsi="Calibri" w:cs="Calibri" w:eastAsia="Calibri"/>
          <w:color w:val="auto"/>
          <w:spacing w:val="5"/>
          <w:position w:val="0"/>
          <w:sz w:val="22"/>
          <w:shd w:fill="auto" w:val="clear"/>
        </w:rPr>
        <w:t xml:space="preserve">ČTOVNÉ ZÁSADY A ÚČTOVNÉ METÓDY</w:t>
      </w:r>
    </w:p>
    <w:p>
      <w:pPr>
        <w:numPr>
          <w:ilvl w:val="0"/>
          <w:numId w:val="14"/>
        </w:numPr>
        <w:spacing w:before="0" w:after="200" w:line="276"/>
        <w:ind w:right="0" w:left="1440" w:hanging="360"/>
        <w:jc w:val="left"/>
        <w:rPr>
          <w:rFonts w:ascii="Calibri" w:hAnsi="Calibri" w:cs="Calibri" w:eastAsia="Calibri"/>
          <w:color w:val="auto"/>
          <w:spacing w:val="5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5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5"/>
          <w:position w:val="0"/>
          <w:sz w:val="22"/>
          <w:shd w:fill="auto" w:val="clear"/>
        </w:rPr>
        <w:t xml:space="preserve">čnosť uplatňuje účtovné princípy a postupy účtovania v súlade so zákonom o účtovníctve a postupmi účtovania pre podnikateľov, ktoré platia v Slovenskej republike. Účtovníctvo sa vedie v peňažných jednotkách slovenskej meny, t. j. v eurách.</w:t>
      </w:r>
    </w:p>
    <w:p>
      <w:pPr>
        <w:numPr>
          <w:ilvl w:val="0"/>
          <w:numId w:val="14"/>
        </w:numPr>
        <w:spacing w:before="0" w:after="200" w:line="276"/>
        <w:ind w:right="0" w:left="1440" w:hanging="360"/>
        <w:jc w:val="left"/>
        <w:rPr>
          <w:rFonts w:ascii="Calibri" w:hAnsi="Calibri" w:cs="Calibri" w:eastAsia="Calibri"/>
          <w:color w:val="auto"/>
          <w:spacing w:val="5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5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5"/>
          <w:position w:val="0"/>
          <w:sz w:val="22"/>
          <w:shd w:fill="auto" w:val="clear"/>
        </w:rPr>
        <w:t xml:space="preserve">čtovná závierka za rok 2017 bola spracovaná za predpokladu nepretržitého pokračovania činnosti.</w:t>
      </w:r>
    </w:p>
    <w:p>
      <w:pPr>
        <w:numPr>
          <w:ilvl w:val="0"/>
          <w:numId w:val="14"/>
        </w:numPr>
        <w:spacing w:before="0" w:after="200" w:line="276"/>
        <w:ind w:right="0" w:left="1440" w:hanging="360"/>
        <w:jc w:val="left"/>
        <w:rPr>
          <w:rFonts w:ascii="Calibri" w:hAnsi="Calibri" w:cs="Calibri" w:eastAsia="Calibri"/>
          <w:color w:val="auto"/>
          <w:spacing w:val="5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5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5"/>
          <w:position w:val="0"/>
          <w:sz w:val="22"/>
          <w:shd w:fill="auto" w:val="clear"/>
        </w:rPr>
        <w:t xml:space="preserve">čtovníctvo sa vedie na základe dodržania časovej a vecnej súvislosti nákladov a výnosov. Za základ sa berú všetky náklady a výnosy, ktoré sa vzťahujú  na účtovné obdobie bez ohľadu na dátum ich platenia.</w:t>
      </w:r>
    </w:p>
    <w:p>
      <w:pPr>
        <w:numPr>
          <w:ilvl w:val="0"/>
          <w:numId w:val="14"/>
        </w:numPr>
        <w:spacing w:before="0" w:after="200" w:line="276"/>
        <w:ind w:right="0" w:left="1440" w:hanging="360"/>
        <w:jc w:val="left"/>
        <w:rPr>
          <w:rFonts w:ascii="Calibri" w:hAnsi="Calibri" w:cs="Calibri" w:eastAsia="Calibri"/>
          <w:color w:val="auto"/>
          <w:spacing w:val="5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5"/>
          <w:position w:val="0"/>
          <w:sz w:val="22"/>
          <w:shd w:fill="auto" w:val="clear"/>
        </w:rPr>
        <w:t xml:space="preserve">Pri oce</w:t>
      </w:r>
      <w:r>
        <w:rPr>
          <w:rFonts w:ascii="Calibri" w:hAnsi="Calibri" w:cs="Calibri" w:eastAsia="Calibri"/>
          <w:color w:val="auto"/>
          <w:spacing w:val="5"/>
          <w:position w:val="0"/>
          <w:sz w:val="22"/>
          <w:shd w:fill="auto" w:val="clear"/>
        </w:rPr>
        <w:t xml:space="preserve">ňovaní majetku a záväzkov sa uplatňuje zásada opatrnosti.</w:t>
      </w:r>
    </w:p>
    <w:p>
      <w:pPr>
        <w:numPr>
          <w:ilvl w:val="0"/>
          <w:numId w:val="14"/>
        </w:numPr>
        <w:spacing w:before="0" w:after="200" w:line="276"/>
        <w:ind w:right="0" w:left="1440" w:hanging="360"/>
        <w:jc w:val="left"/>
        <w:rPr>
          <w:rFonts w:ascii="Calibri" w:hAnsi="Calibri" w:cs="Calibri" w:eastAsia="Calibri"/>
          <w:color w:val="auto"/>
          <w:spacing w:val="5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5"/>
          <w:position w:val="0"/>
          <w:sz w:val="22"/>
          <w:shd w:fill="auto" w:val="clear"/>
        </w:rPr>
        <w:t xml:space="preserve">Moment zaú</w:t>
      </w:r>
      <w:r>
        <w:rPr>
          <w:rFonts w:ascii="Calibri" w:hAnsi="Calibri" w:cs="Calibri" w:eastAsia="Calibri"/>
          <w:color w:val="auto"/>
          <w:spacing w:val="5"/>
          <w:position w:val="0"/>
          <w:sz w:val="22"/>
          <w:shd w:fill="auto" w:val="clear"/>
        </w:rPr>
        <w:t xml:space="preserve">čtovania  výnosov - výnosy sa účtujú pri splnení dodacích podmienok, nakoľko v tomto okamihu prechádzajú na odberateľa významné riziká a vlastnícke práva.</w:t>
      </w:r>
    </w:p>
    <w:p>
      <w:pPr>
        <w:numPr>
          <w:ilvl w:val="0"/>
          <w:numId w:val="14"/>
        </w:numPr>
        <w:spacing w:before="0" w:after="200" w:line="276"/>
        <w:ind w:right="0" w:left="1440" w:hanging="360"/>
        <w:jc w:val="left"/>
        <w:rPr>
          <w:rFonts w:ascii="Calibri" w:hAnsi="Calibri" w:cs="Calibri" w:eastAsia="Calibri"/>
          <w:color w:val="auto"/>
          <w:spacing w:val="5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5"/>
          <w:position w:val="0"/>
          <w:sz w:val="22"/>
          <w:shd w:fill="auto" w:val="clear"/>
        </w:rPr>
        <w:t xml:space="preserve">Spôsob ocenenia jednotlivých zložiek majetku a záväzkov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5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5"/>
          <w:position w:val="0"/>
          <w:sz w:val="22"/>
          <w:shd w:fill="auto" w:val="clear"/>
        </w:rPr>
        <w:t xml:space="preserve">Pri obstarávaní majetku sa uplat</w:t>
      </w:r>
      <w:r>
        <w:rPr>
          <w:rFonts w:ascii="Calibri" w:hAnsi="Calibri" w:cs="Calibri" w:eastAsia="Calibri"/>
          <w:color w:val="auto"/>
          <w:spacing w:val="5"/>
          <w:position w:val="0"/>
          <w:sz w:val="22"/>
          <w:shd w:fill="auto" w:val="clear"/>
        </w:rPr>
        <w:t xml:space="preserve">ňuje princíp obstarávacích cien. Obstarávacia cena je cena, za ktorú sa majetok obstaral, a náklady súvisiace s jeho obstaraním (prepravné a clo).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5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5"/>
          <w:position w:val="0"/>
          <w:sz w:val="22"/>
          <w:shd w:fill="auto" w:val="clear"/>
        </w:rPr>
        <w:t xml:space="preserve">Da</w:t>
      </w:r>
      <w:r>
        <w:rPr>
          <w:rFonts w:ascii="Calibri" w:hAnsi="Calibri" w:cs="Calibri" w:eastAsia="Calibri"/>
          <w:color w:val="auto"/>
          <w:spacing w:val="5"/>
          <w:position w:val="0"/>
          <w:sz w:val="22"/>
          <w:shd w:fill="auto" w:val="clear"/>
        </w:rPr>
        <w:t xml:space="preserve">ň z príjmov splatná - podľa slovenského zákona o dani z príjmov sa splatné dane účtujú z účtovného zisku pred zdanením pri sadzbe 21 percent.</w:t>
      </w:r>
    </w:p>
    <w:p>
      <w:pPr>
        <w:numPr>
          <w:ilvl w:val="0"/>
          <w:numId w:val="16"/>
        </w:numPr>
        <w:spacing w:before="0" w:after="200" w:line="276"/>
        <w:ind w:right="0" w:left="1440" w:hanging="360"/>
        <w:jc w:val="left"/>
        <w:rPr>
          <w:rFonts w:ascii="Calibri" w:hAnsi="Calibri" w:cs="Calibri" w:eastAsia="Calibri"/>
          <w:color w:val="auto"/>
          <w:spacing w:val="5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5"/>
          <w:position w:val="0"/>
          <w:sz w:val="22"/>
          <w:shd w:fill="auto" w:val="clear"/>
        </w:rPr>
        <w:t xml:space="preserve">Prepo</w:t>
      </w:r>
      <w:r>
        <w:rPr>
          <w:rFonts w:ascii="Calibri" w:hAnsi="Calibri" w:cs="Calibri" w:eastAsia="Calibri"/>
          <w:b/>
          <w:color w:val="auto"/>
          <w:spacing w:val="5"/>
          <w:position w:val="0"/>
          <w:sz w:val="22"/>
          <w:shd w:fill="auto" w:val="clear"/>
        </w:rPr>
        <w:t xml:space="preserve">čet údajov v cudzích menách na slovenskú menu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5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5"/>
          <w:position w:val="0"/>
          <w:sz w:val="22"/>
          <w:shd w:fill="auto" w:val="clear"/>
        </w:rPr>
        <w:t xml:space="preserve">Majetok a záväzky vyjadrené v cudzích menách sa prepo</w:t>
      </w:r>
      <w:r>
        <w:rPr>
          <w:rFonts w:ascii="Calibri" w:hAnsi="Calibri" w:cs="Calibri" w:eastAsia="Calibri"/>
          <w:color w:val="auto"/>
          <w:spacing w:val="5"/>
          <w:position w:val="0"/>
          <w:sz w:val="22"/>
          <w:shd w:fill="auto" w:val="clear"/>
        </w:rPr>
        <w:t xml:space="preserve">čítajú na eurá referenčným výmenným kurzom určeným a vyhláseným Európskou centrálnou bankou (ECB) alebo Národnou bankou Slovenska(NBS) v deň predchádzajúci dňu uskutočneného účtovného prípadu.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5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5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5"/>
          <w:position w:val="0"/>
          <w:sz w:val="22"/>
          <w:shd w:fill="auto" w:val="clear"/>
        </w:rPr>
        <w:t xml:space="preserve">INFORMÁCIE, KTORÉ DOP</w:t>
      </w:r>
      <w:r>
        <w:rPr>
          <w:rFonts w:ascii="Calibri" w:hAnsi="Calibri" w:cs="Calibri" w:eastAsia="Calibri"/>
          <w:b/>
          <w:color w:val="auto"/>
          <w:spacing w:val="5"/>
          <w:position w:val="0"/>
          <w:sz w:val="22"/>
          <w:shd w:fill="auto" w:val="clear"/>
        </w:rPr>
        <w:t xml:space="preserve">ĹŇAJÚ SÚVAHU A VÝKAZ ZISKOV A STRÁT                        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9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zostatkovej doby splatnosti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nemá dlhodobé záväzky so zostatkovou dabou splatnosti jeden až päť rokov.</w:t>
      </w:r>
    </w:p>
    <w:p>
      <w:pPr>
        <w:numPr>
          <w:ilvl w:val="0"/>
          <w:numId w:val="21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Podsúvahové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neúčtuje o prenajatom majetku, nemá záväzky z leasingu.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SKUTO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ČNOSTI, KTORÉ NASTALI PO DNI, KU KTORÉMU SA ZOSTAVUJE ÚČTOVNÁ ZÁVIERKA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 31. decembri 2017 a do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 zostavenia účtovnej závierky nenastali žiadne také udalosti, ktoré by významným spôsobom ovplyvnili aktíva, pasíva alebo výsledky hospodárenia spoločnosti, okrem tých, ktoré sú uvedené vyššie a ktoré sú výsledkom bežnej činnosti.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mbria" w:hAnsi="Cambria" w:cs="Cambria" w:eastAsia="Cambria"/>
          <w:i/>
          <w:color w:val="4F81BD"/>
          <w:spacing w:val="15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i/>
          <w:color w:val="4F81BD"/>
          <w:spacing w:val="15"/>
          <w:position w:val="0"/>
          <w:sz w:val="24"/>
          <w:shd w:fill="auto" w:val="clear"/>
        </w:rPr>
        <w:t xml:space="preserve">Inpress Creative Studio, s.r.o., Školská 533/37, 90024 Ve</w:t>
      </w:r>
      <w:r>
        <w:rPr>
          <w:rFonts w:ascii="Cambria" w:hAnsi="Cambria" w:cs="Cambria" w:eastAsia="Cambria"/>
          <w:i/>
          <w:color w:val="4F81BD"/>
          <w:spacing w:val="15"/>
          <w:position w:val="0"/>
          <w:sz w:val="24"/>
          <w:shd w:fill="auto" w:val="clear"/>
        </w:rPr>
        <w:t xml:space="preserve">ľký Biel</w:t>
      </w:r>
    </w:p>
    <w:p>
      <w:pPr>
        <w:spacing w:before="0" w:after="200" w:line="276"/>
        <w:ind w:right="0" w:left="0" w:firstLine="0"/>
        <w:jc w:val="left"/>
        <w:rPr>
          <w:rFonts w:ascii="Cambria" w:hAnsi="Cambria" w:cs="Cambria" w:eastAsia="Cambria"/>
          <w:i/>
          <w:color w:val="4F81BD"/>
          <w:spacing w:val="15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i/>
          <w:color w:val="4F81BD"/>
          <w:spacing w:val="15"/>
          <w:position w:val="0"/>
          <w:sz w:val="24"/>
          <w:shd w:fill="auto" w:val="clear"/>
        </w:rPr>
        <w:t xml:space="preserve">                       I</w:t>
      </w:r>
      <w:r>
        <w:rPr>
          <w:rFonts w:ascii="Cambria" w:hAnsi="Cambria" w:cs="Cambria" w:eastAsia="Cambria"/>
          <w:i/>
          <w:color w:val="4F81BD"/>
          <w:spacing w:val="15"/>
          <w:position w:val="0"/>
          <w:sz w:val="24"/>
          <w:shd w:fill="auto" w:val="clear"/>
        </w:rPr>
        <w:t xml:space="preserve">ČO 47336650, DIČ 2023829005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mbria" w:hAnsi="Cambria" w:cs="Cambria" w:eastAsia="Cambria"/>
          <w:i/>
          <w:color w:val="4F81BD"/>
          <w:spacing w:val="15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i/>
          <w:color w:val="4F81BD"/>
          <w:spacing w:val="15"/>
          <w:position w:val="0"/>
          <w:sz w:val="24"/>
          <w:shd w:fill="auto" w:val="clear"/>
        </w:rPr>
        <w:t xml:space="preserve">Inpress Creative Studio, s.r.o., Školská 533/37, 90024 Ve</w:t>
      </w:r>
      <w:r>
        <w:rPr>
          <w:rFonts w:ascii="Cambria" w:hAnsi="Cambria" w:cs="Cambria" w:eastAsia="Cambria"/>
          <w:i/>
          <w:color w:val="4F81BD"/>
          <w:spacing w:val="15"/>
          <w:position w:val="0"/>
          <w:sz w:val="24"/>
          <w:shd w:fill="auto" w:val="clear"/>
        </w:rPr>
        <w:t xml:space="preserve">ľký Biel</w:t>
      </w:r>
    </w:p>
    <w:p>
      <w:pPr>
        <w:spacing w:before="0" w:after="200" w:line="276"/>
        <w:ind w:right="0" w:left="0" w:firstLine="0"/>
        <w:jc w:val="left"/>
        <w:rPr>
          <w:rFonts w:ascii="Cambria" w:hAnsi="Cambria" w:cs="Cambria" w:eastAsia="Cambria"/>
          <w:i/>
          <w:color w:val="4F81BD"/>
          <w:spacing w:val="15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i/>
          <w:color w:val="4F81BD"/>
          <w:spacing w:val="15"/>
          <w:position w:val="0"/>
          <w:sz w:val="24"/>
          <w:shd w:fill="auto" w:val="clear"/>
        </w:rPr>
        <w:t xml:space="preserve">                       I</w:t>
      </w:r>
      <w:r>
        <w:rPr>
          <w:rFonts w:ascii="Cambria" w:hAnsi="Cambria" w:cs="Cambria" w:eastAsia="Cambria"/>
          <w:i/>
          <w:color w:val="4F81BD"/>
          <w:spacing w:val="15"/>
          <w:position w:val="0"/>
          <w:sz w:val="24"/>
          <w:shd w:fill="auto" w:val="clear"/>
        </w:rPr>
        <w:t xml:space="preserve">ČO 47336650, DIČ 2023829005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num w:numId="3">
    <w:abstractNumId w:val="48"/>
  </w:num>
  <w:num w:numId="5">
    <w:abstractNumId w:val="42"/>
  </w:num>
  <w:num w:numId="8">
    <w:abstractNumId w:val="36"/>
  </w:num>
  <w:num w:numId="10">
    <w:abstractNumId w:val="30"/>
  </w:num>
  <w:num w:numId="12">
    <w:abstractNumId w:val="24"/>
  </w:num>
  <w:num w:numId="14">
    <w:abstractNumId w:val="18"/>
  </w:num>
  <w:num w:numId="16">
    <w:abstractNumId w:val="12"/>
  </w:num>
  <w:num w:numId="19">
    <w:abstractNumId w:val="6"/>
  </w:num>
  <w:num w:numId="2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