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A31" w:rsidRPr="00FA7A31" w:rsidRDefault="00FA7A31" w:rsidP="00FA7A31">
      <w:pPr>
        <w:spacing w:after="120" w:line="240" w:lineRule="auto"/>
        <w:ind w:right="-6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7A31">
        <w:rPr>
          <w:rFonts w:ascii="Times New Roman" w:eastAsia="Times New Roman" w:hAnsi="Times New Roman" w:cs="Times New Roman"/>
          <w:sz w:val="28"/>
          <w:szCs w:val="28"/>
        </w:rPr>
        <w:t>Poznámky k účtovnej závierke zostavenej k 31.12.201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</w:p>
    <w:p w:rsidR="00FA7A31" w:rsidRPr="00FA7A31" w:rsidRDefault="00FA7A31" w:rsidP="00FA7A31">
      <w:pPr>
        <w:spacing w:after="0" w:line="240" w:lineRule="auto"/>
        <w:ind w:right="-6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Za obdobie:  01.01.201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r w:rsidRPr="00FA7A31">
        <w:rPr>
          <w:rFonts w:ascii="Times New Roman" w:eastAsia="Times New Roman" w:hAnsi="Times New Roman" w:cs="Times New Roman"/>
          <w:sz w:val="24"/>
          <w:szCs w:val="24"/>
        </w:rPr>
        <w:t xml:space="preserve"> - 31.12.201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</w:p>
    <w:p w:rsidR="00FA7A31" w:rsidRPr="00FA7A31" w:rsidRDefault="00FA7A31" w:rsidP="00FA7A31">
      <w:pPr>
        <w:keepNext/>
        <w:spacing w:before="120" w:after="60" w:line="240" w:lineRule="auto"/>
        <w:ind w:right="-61"/>
        <w:outlineLvl w:val="0"/>
        <w:rPr>
          <w:rFonts w:ascii="Times New Roman" w:eastAsia="Times New Roman" w:hAnsi="Times New Roman" w:cs="Times New Roman"/>
          <w:b/>
          <w:bCs/>
          <w:iCs/>
          <w:kern w:val="32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rPr>
          <w:rFonts w:ascii="Arial Narrow" w:eastAsia="Times New Roman" w:hAnsi="Arial Narrow" w:cs="Arial Narrow"/>
        </w:rPr>
      </w:pPr>
    </w:p>
    <w:p w:rsidR="00FA7A31" w:rsidRPr="00FA7A31" w:rsidRDefault="00FA7A31" w:rsidP="00FA7A31">
      <w:pPr>
        <w:keepNext/>
        <w:numPr>
          <w:ilvl w:val="0"/>
          <w:numId w:val="1"/>
        </w:numPr>
        <w:spacing w:before="120" w:after="60" w:line="240" w:lineRule="auto"/>
        <w:ind w:right="-61"/>
        <w:jc w:val="center"/>
        <w:outlineLvl w:val="0"/>
        <w:rPr>
          <w:rFonts w:ascii="Times New Roman" w:eastAsia="Times New Roman" w:hAnsi="Times New Roman" w:cs="Times New Roman"/>
          <w:b/>
          <w:bCs/>
          <w:iCs/>
          <w:kern w:val="32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bCs/>
          <w:iCs/>
          <w:kern w:val="32"/>
          <w:sz w:val="24"/>
          <w:szCs w:val="24"/>
        </w:rPr>
        <w:t>Všeobecné údaje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(1)  Názov právnickej osoby a jej sídlo alebo meno a priezvisko fyzickej osoby: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AU CONSULTING, s.r.o.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Žlkovce 74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920 42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FA7A3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(2)  Údaje o konsolidovanom celku: 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 w:rsidRPr="00FA7A31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Účtovná jednotka nie je súčasťou konsolidovaného celku.  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</w:pPr>
      <w:r w:rsidRPr="00FA7A31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(3)  Priemerný prepočítaný počet zamestnancov: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FA7A31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Spoločnosť nezamestnáva žiadnych zamestnancov.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keepNext/>
        <w:numPr>
          <w:ilvl w:val="0"/>
          <w:numId w:val="1"/>
        </w:numPr>
        <w:spacing w:before="120" w:after="60" w:line="240" w:lineRule="auto"/>
        <w:ind w:right="-61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</w:rPr>
        <w:t>Informácie o prijatých postupoch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FA7A31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(1) Informácia, či je účtovná závierka zostavená za splnenia predpokladu, že účtovná jednotka 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FA7A31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bude nepretržite pokračovať vo svojej činnosti: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A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bola zostavená za predpokladu nepretržitého trvania spoločnosti. K zmenám účtovných zásad a metód nedošlo. Dodržuje sa zásada časovej a vecnej súvislosti nákladov a výnosov.  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(2) Spôsob oceňovania jednotlivých zložiek majetku a záväzkov v členení na:  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a) dlhodobý nehmotný, hmotný majetok, zásoby obstarané kúpou: obstarávacou cenou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b) dlhodobý nehmotný, hmotný majetok, zásoby obstarané vlastnou činnosťou: vlastnými nákladmi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c) pohľadávky: menovitou hodnotou pri ich vzniku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d) krátkodobý finančný majetok: nominálnou cenou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e) záväzky, pôžičky a úvery, rezervy : menovitou hodnotou pri ich vzniku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f) derivátové operácie: účtovná jednotka nevykazuje deriváty.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A7A3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(3) pôsob zostavenia odpisového plánu pre jednotlivé druhy dlhodobého hmotného majetku a dlhodobého  nehmotného  majetku,  pričom  sa  uvádza  doba  odpisovania,  použité  sadzby odpisov a odpisové metódy pri určení odpisov:</w:t>
      </w:r>
    </w:p>
    <w:p w:rsidR="00FA7A31" w:rsidRPr="00FA7A31" w:rsidRDefault="00FA7A31" w:rsidP="00FA7A31">
      <w:pPr>
        <w:numPr>
          <w:ilvl w:val="0"/>
          <w:numId w:val="2"/>
        </w:numPr>
        <w:spacing w:after="12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 xml:space="preserve">účtovná jednotka neodpisuje majetok </w:t>
      </w:r>
    </w:p>
    <w:p w:rsidR="00FA7A31" w:rsidRPr="00FA7A31" w:rsidRDefault="00FA7A31" w:rsidP="00FA7A31">
      <w:pPr>
        <w:numPr>
          <w:ilvl w:val="0"/>
          <w:numId w:val="2"/>
        </w:numPr>
        <w:spacing w:after="12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ÚJ nepoužíva kategóriu drobného dlhodobého nehmotného majetku - položky pod 2 400 eur jednotkovej ceny (§ 13/2 PU).</w:t>
      </w:r>
    </w:p>
    <w:p w:rsidR="00FA7A31" w:rsidRPr="00FA7A31" w:rsidRDefault="00FA7A31" w:rsidP="00FA7A31">
      <w:pPr>
        <w:numPr>
          <w:ilvl w:val="0"/>
          <w:numId w:val="2"/>
        </w:numPr>
        <w:spacing w:after="12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ÚJ nepoužíva kategóriu drobného dlhodobého hmotného majetku - položky pod 1 700 eur jednotkovej ceny (§ 13/6 PU).</w:t>
      </w:r>
    </w:p>
    <w:p w:rsidR="00FA7A31" w:rsidRPr="00FA7A31" w:rsidRDefault="00FA7A31" w:rsidP="00FA7A31">
      <w:pPr>
        <w:numPr>
          <w:ilvl w:val="0"/>
          <w:numId w:val="2"/>
        </w:numPr>
        <w:spacing w:after="12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lastRenderedPageBreak/>
        <w:t>ÚJ nepoužíva dobrovoľné účtovanie podlimitného technického zhodnotenia do odpisovaného dlhodobého majetku (§ 21/3 PU).</w:t>
      </w:r>
    </w:p>
    <w:p w:rsidR="00FA7A31" w:rsidRPr="00FA7A31" w:rsidRDefault="00FA7A31" w:rsidP="00FA7A31">
      <w:pPr>
        <w:numPr>
          <w:ilvl w:val="0"/>
          <w:numId w:val="2"/>
        </w:numPr>
        <w:spacing w:after="12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ÚJ nepoužíva dobrovoľnú kapitalizáciu úrokov do obstarávacej ceny odpisovaného dlhodobého majetku (§ 34/1 PU; § 35/2/h PU).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(4) Zmeny účtovných zásad a zmeny účtovných metód, s uvedením dôvodu týchto zmien a vyčíslením ich vplyvu na finančnú hodnotu majetku, záväzkov, základného imania a výsledku hospodárenia účtovnej jednotky:  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- účtovná jednotka nezmenila účtovné zásady a metódy počas účtovného obdobia.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A31" w:rsidRPr="00FA7A31" w:rsidRDefault="00FA7A31" w:rsidP="00FA7A31">
      <w:pPr>
        <w:keepNext/>
        <w:spacing w:after="0" w:line="240" w:lineRule="auto"/>
        <w:ind w:right="-61"/>
        <w:jc w:val="both"/>
        <w:outlineLvl w:val="1"/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>(5)  Informácie o dotáciách a ich oceňovanie v účtovníctve</w:t>
      </w:r>
    </w:p>
    <w:p w:rsidR="00FA7A31" w:rsidRPr="00FA7A31" w:rsidRDefault="00FA7A31" w:rsidP="00FA7A31">
      <w:pPr>
        <w:keepNext/>
        <w:spacing w:after="0" w:line="240" w:lineRule="auto"/>
        <w:ind w:right="-61"/>
        <w:jc w:val="both"/>
        <w:outlineLvl w:val="1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Cs/>
          <w:iCs/>
          <w:sz w:val="24"/>
          <w:szCs w:val="24"/>
        </w:rPr>
        <w:t>- neboli poskytnuté.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i/>
          <w:sz w:val="24"/>
          <w:szCs w:val="24"/>
        </w:rPr>
        <w:t>(6) Informácie  o  účtovaní  významných  opráv  chýb  minulých  účtovných  období  v bežnom účtovnom  období  s uvedením   vplyvu  na  nerozdelený  zisk  minulých  rokov  alebo neuhradenú  stratu  minulých  rokov;  súčasne  sa  môže  uviesť  aj  účtovanie  nevýznamných chýb  minulých  účtovných  období  v bežnom  účtovnom  období  s uvedením  vplyvu  na výsledok hospodárenia bežného účtovného obdobia: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- v účtovnom období nebolo účtované o oprave minulých chýb.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sz w:val="24"/>
          <w:szCs w:val="24"/>
        </w:rPr>
        <w:t>III. Informácie, ktoré vysvetľujú a dopĺňajú súvahu a výkaz ziskov a strát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i/>
          <w:sz w:val="24"/>
          <w:szCs w:val="24"/>
        </w:rPr>
        <w:t>(1) Informácia  o sume  a dôvodoch  vzniku  jednotlivých  položiek  nákladov  alebo  výnosov, ktoré  majú  výnimočný  rozsah  alebo  výskyt,  napríklad  výnosy  z predaja  podniku  alebo časti  podniku,  náklady  z dôvodu  predaja  podniku  alebo  časti  podniku,  škody  z dôvodu živelných pohrôm: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 xml:space="preserve">- účtovná jednotka nemá položky nákladov ani výnosov, ktoré majú výnimočný rozsah alebo výskyt . 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keepNext/>
        <w:spacing w:after="0" w:line="240" w:lineRule="auto"/>
        <w:ind w:right="-61"/>
        <w:jc w:val="both"/>
        <w:outlineLvl w:val="0"/>
        <w:rPr>
          <w:rFonts w:ascii="Times New Roman" w:eastAsia="Times New Roman" w:hAnsi="Times New Roman" w:cs="Times New Roman"/>
          <w:b/>
          <w:bCs/>
          <w:i/>
          <w:kern w:val="28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bCs/>
          <w:i/>
          <w:kern w:val="28"/>
          <w:sz w:val="24"/>
          <w:szCs w:val="24"/>
        </w:rPr>
        <w:t>(2) Informácie 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43"/>
        <w:gridCol w:w="3068"/>
        <w:gridCol w:w="2740"/>
      </w:tblGrid>
      <w:tr w:rsidR="00FA7A31" w:rsidRPr="00FA7A31" w:rsidTr="00B0460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FA7A3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FA7A3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Bežné účtovné obdobie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2017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FA7A3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Bezprostredne predchádzajúce účtovné obdobie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2016</w:t>
            </w:r>
            <w:bookmarkStart w:id="0" w:name="_GoBack"/>
            <w:bookmarkEnd w:id="0"/>
          </w:p>
        </w:tc>
      </w:tr>
      <w:tr w:rsidR="00FA7A31" w:rsidRPr="00FA7A31" w:rsidTr="00B0460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A7A3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FA7A31" w:rsidRPr="00FA7A31" w:rsidTr="00B0460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A7A31">
              <w:rPr>
                <w:rFonts w:ascii="Times New Roman" w:eastAsia="Times New Roman" w:hAnsi="Times New Roman" w:cs="Times New Roman"/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A7A31" w:rsidRPr="00FA7A31" w:rsidTr="00B0460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A7A31">
              <w:rPr>
                <w:rFonts w:ascii="Times New Roman" w:eastAsia="Times New Roman" w:hAnsi="Times New Roman" w:cs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A7A31" w:rsidRPr="00FA7A31" w:rsidTr="00B0460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FA7A3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260</w:t>
            </w:r>
          </w:p>
        </w:tc>
      </w:tr>
      <w:tr w:rsidR="00FA7A31" w:rsidRPr="00FA7A31" w:rsidTr="00B0460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A7A31">
              <w:rPr>
                <w:rFonts w:ascii="Times New Roman" w:eastAsia="Times New Roman" w:hAnsi="Times New Roman" w:cs="Times New Roman"/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260</w:t>
            </w:r>
          </w:p>
        </w:tc>
      </w:tr>
      <w:tr w:rsidR="00FA7A31" w:rsidRPr="00FA7A31" w:rsidTr="00B0460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A7A3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7A31" w:rsidRPr="00FA7A31" w:rsidRDefault="00FA7A31" w:rsidP="00FA7A31">
            <w:pPr>
              <w:spacing w:after="0" w:line="240" w:lineRule="auto"/>
              <w:ind w:right="-61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:rsidR="00FA7A31" w:rsidRPr="00FA7A31" w:rsidRDefault="00FA7A31" w:rsidP="00FA7A31">
      <w:pPr>
        <w:widowControl w:val="0"/>
        <w:spacing w:after="0" w:line="240" w:lineRule="auto"/>
        <w:ind w:right="-61"/>
        <w:jc w:val="both"/>
        <w:outlineLvl w:val="0"/>
        <w:rPr>
          <w:rFonts w:ascii="Times New Roman" w:eastAsia="Times New Roman" w:hAnsi="Times New Roman" w:cs="Times New Roman"/>
          <w:bCs/>
          <w:kern w:val="28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i/>
          <w:sz w:val="24"/>
          <w:szCs w:val="24"/>
        </w:rPr>
        <w:t>(3)  Informácie o vlastných akciách: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 xml:space="preserve">- účtovná jednotka nenadobudla vlastné akcie. 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A7A31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(4)  Informácie o orgánoch účtovnej jednotky: 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sk-SK"/>
        </w:rPr>
      </w:pPr>
      <w:r w:rsidRPr="00FA7A3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sk-SK"/>
        </w:rPr>
        <w:t xml:space="preserve">a)  výške  jednotlivých  druhov  záruk  alebo  iných  zabezpečení  poskytnutých  pre  členov štatutárneho  orgánu,  dozorného  orgánu  a  iného  orgánu  účtovnej  jednotky,  a to v členení za jednotlivé orgány: </w:t>
      </w:r>
    </w:p>
    <w:p w:rsidR="00FA7A31" w:rsidRPr="00FA7A31" w:rsidRDefault="00FA7A31" w:rsidP="00FA7A31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neboli poskytnuté jednotlivé druhy  záruk  alebo  iných  zabezpečení  pre  orgány  účtovnej  jednotky </w:t>
      </w: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autoSpaceDE w:val="0"/>
        <w:autoSpaceDN w:val="0"/>
        <w:adjustRightInd w:val="0"/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i/>
          <w:sz w:val="24"/>
          <w:szCs w:val="24"/>
        </w:rPr>
        <w:t>b)  pôžičkách  poskytnutých  členom  štatutárneho  orgánu,  dozorného  orgánu  a iného orgánu účtovnej jednotky: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 xml:space="preserve">- neboli poskytnuté pôžičky orgánom účtovnej jednotky. 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i/>
          <w:sz w:val="24"/>
          <w:szCs w:val="24"/>
        </w:rPr>
        <w:t>c)  hlavných podmienkach,  na  základe ktorých im boli záruky alebo iné zabezpečenie a pôžičky poskytnuté; pri pôžičkách sa uvádzajú úrokové sadzby: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- neboli poskytnuté.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i/>
          <w:sz w:val="24"/>
          <w:szCs w:val="24"/>
        </w:rPr>
        <w:t>d)  celkovej  sume  použitých  finančných  prostriedkov  alebo  iného  plnenia  na  súkromné účely  členmi  štatutárneho  orgánu,  dozorného  orgánu  a iného  orgánu  účtovnej jednotky, ktoré je potrebné vyúčtovať: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- neboli použité finančné prostriedky na súkromné účely orgánov účtovnej jednotky.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b/>
          <w:i/>
          <w:sz w:val="24"/>
          <w:szCs w:val="24"/>
        </w:rPr>
        <w:t>(5)  Informácie o povinnostiach účtovnej jednotky: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i/>
          <w:sz w:val="24"/>
          <w:szCs w:val="24"/>
        </w:rPr>
        <w:t>a)  celkovej  sume  finančných  povinností,  ktoré  sa  nevykazujú  v súvahe,  ale  sú významné  na  posúdenie  finančnej  situácie  účtovnej  jednotky,  napríklad  povinnosti nájomcu  vyplývajúce  z operatívneho  prenájmu,  z uzatvorených  zmlúv  na poskytnutie úveru alebo pôžičky, ktoré ešte neboli poskytnuté, finančné povinnosti  vyplývajúce  z licenčných  a koncesionárskych  zmlúv  s vedením  sumy  poplatku  za celé zostávajúce obdobie platnosti zmluvy: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- účtovná jednotka nemá významné finančné povinnosti, ktoré sa nevykazujú v súvahe.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i/>
          <w:sz w:val="24"/>
          <w:szCs w:val="24"/>
        </w:rPr>
        <w:t>b)  celkovej sume významných podmienených záväzkov: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 xml:space="preserve"> - účtovná jednotka nemá významné podmienené záväzky.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i/>
          <w:sz w:val="24"/>
          <w:szCs w:val="24"/>
        </w:rPr>
        <w:t>c)  opise významných finančných povinností a významných podmienených záväzkov,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- účtovná jednotka nemá významné finančné povinnosti a významné podmienené záväzky.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i/>
          <w:sz w:val="24"/>
          <w:szCs w:val="24"/>
        </w:rPr>
        <w:lastRenderedPageBreak/>
        <w:t>d)  celkovej  sume  významných  finančných  povinností  a významných  podmienených záväzkoch  voči  dcérskej  účtovnej  jednotke  a účtovnej  jednotke  s podstatným vplyvom: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>- účtovná jednotka nie je súčasťou dcérskej účtovnej jednotky a účtovnej jednotky s podstatným vplyvom.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i/>
          <w:sz w:val="24"/>
          <w:szCs w:val="24"/>
        </w:rPr>
        <w:t>e)  opise  významných  povinností  účtovnej  jednotky  vyplývajúcich  z dôchodkových programov pre zamestnancov:</w:t>
      </w: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A7A31">
        <w:rPr>
          <w:rFonts w:ascii="Times New Roman" w:eastAsia="Times New Roman" w:hAnsi="Times New Roman" w:cs="Times New Roman"/>
          <w:sz w:val="24"/>
          <w:szCs w:val="24"/>
        </w:rPr>
        <w:t xml:space="preserve">- účtovná jednotka nemá významné povinnosti vyplývajúce z dôchodkových programov pre zamestnancov, nezamestnáva žiadneho zamestnanca. </w:t>
      </w: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 Žlkovciach, 29.03.2018</w:t>
      </w: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A7A31" w:rsidRPr="00FA7A31" w:rsidRDefault="00FA7A31" w:rsidP="00FA7A31">
      <w:pPr>
        <w:spacing w:after="0" w:line="240" w:lineRule="auto"/>
        <w:rPr>
          <w:rFonts w:ascii="Arial Narrow" w:eastAsia="Times New Roman" w:hAnsi="Arial Narrow" w:cs="Arial Narrow"/>
        </w:rPr>
      </w:pPr>
    </w:p>
    <w:p w:rsidR="004328DD" w:rsidRDefault="004328DD"/>
    <w:sectPr w:rsidR="004328DD" w:rsidSect="007641C0">
      <w:headerReference w:type="default" r:id="rId5"/>
      <w:footerReference w:type="default" r:id="rId6"/>
      <w:pgSz w:w="11907" w:h="16839" w:code="9"/>
      <w:pgMar w:top="993" w:right="992" w:bottom="993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38E9" w:rsidRPr="00D26E73" w:rsidRDefault="00FA7A3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2F38E9" w:rsidRPr="00D26E73" w:rsidRDefault="00FA7A31">
    <w:pPr>
      <w:pStyle w:val="Pta"/>
      <w:rPr>
        <w:sz w:val="19"/>
        <w:szCs w:val="19"/>
      </w:rPr>
    </w:pPr>
  </w:p>
  <w:p w:rsidR="002F38E9" w:rsidRPr="00D26E73" w:rsidRDefault="00FA7A31">
    <w:pPr>
      <w:rPr>
        <w:sz w:val="21"/>
        <w:szCs w:val="21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919" w:rsidRDefault="00FA7A31" w:rsidP="003F6919"/>
  <w:tbl>
    <w:tblPr>
      <w:tblW w:w="10295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622"/>
      <w:gridCol w:w="709"/>
      <w:gridCol w:w="389"/>
      <w:gridCol w:w="389"/>
      <w:gridCol w:w="389"/>
      <w:gridCol w:w="389"/>
      <w:gridCol w:w="389"/>
      <w:gridCol w:w="389"/>
      <w:gridCol w:w="389"/>
      <w:gridCol w:w="389"/>
      <w:gridCol w:w="656"/>
      <w:gridCol w:w="319"/>
      <w:gridCol w:w="320"/>
      <w:gridCol w:w="319"/>
      <w:gridCol w:w="320"/>
      <w:gridCol w:w="320"/>
      <w:gridCol w:w="319"/>
      <w:gridCol w:w="320"/>
      <w:gridCol w:w="319"/>
      <w:gridCol w:w="320"/>
      <w:gridCol w:w="320"/>
    </w:tblGrid>
    <w:tr w:rsidR="003F6919" w:rsidTr="00A4316E">
      <w:tc>
        <w:tcPr>
          <w:tcW w:w="2622" w:type="dxa"/>
          <w:vAlign w:val="bottom"/>
        </w:tcPr>
        <w:p w:rsidR="003F6919" w:rsidRPr="003F6919" w:rsidRDefault="00FA7A31" w:rsidP="00A4316E">
          <w:r w:rsidRPr="003F6919">
            <w:rPr>
              <w:rFonts w:ascii="Times New Roman" w:hAnsi="Times New Roman" w:cs="Times New Roman"/>
              <w:iCs/>
            </w:rPr>
            <w:t xml:space="preserve">Poznámky Úč MÚJ 3 - 01                                    </w:t>
          </w:r>
        </w:p>
      </w:tc>
      <w:tc>
        <w:tcPr>
          <w:tcW w:w="709" w:type="dxa"/>
          <w:tcBorders>
            <w:top w:val="nil"/>
            <w:bottom w:val="nil"/>
          </w:tcBorders>
          <w:vAlign w:val="bottom"/>
        </w:tcPr>
        <w:p w:rsidR="003F6919" w:rsidRDefault="00FA7A31" w:rsidP="00A4316E">
          <w:r>
            <w:t>IČO:</w:t>
          </w:r>
        </w:p>
      </w:tc>
      <w:tc>
        <w:tcPr>
          <w:tcW w:w="389" w:type="dxa"/>
          <w:vAlign w:val="bottom"/>
        </w:tcPr>
        <w:p w:rsidR="003F6919" w:rsidRDefault="00FA7A31" w:rsidP="00A135D0">
          <w:r>
            <w:t>5</w:t>
          </w:r>
        </w:p>
      </w:tc>
      <w:tc>
        <w:tcPr>
          <w:tcW w:w="389" w:type="dxa"/>
          <w:vAlign w:val="bottom"/>
        </w:tcPr>
        <w:p w:rsidR="003F6919" w:rsidRDefault="00FA7A31" w:rsidP="00A4316E">
          <w:r>
            <w:t>0</w:t>
          </w:r>
        </w:p>
      </w:tc>
      <w:tc>
        <w:tcPr>
          <w:tcW w:w="389" w:type="dxa"/>
          <w:vAlign w:val="bottom"/>
        </w:tcPr>
        <w:p w:rsidR="003F6919" w:rsidRDefault="00FA7A31" w:rsidP="00A4316E">
          <w:r>
            <w:t>3</w:t>
          </w:r>
        </w:p>
      </w:tc>
      <w:tc>
        <w:tcPr>
          <w:tcW w:w="389" w:type="dxa"/>
          <w:vAlign w:val="bottom"/>
        </w:tcPr>
        <w:p w:rsidR="003F6919" w:rsidRDefault="00FA7A31" w:rsidP="00BB3556">
          <w:r>
            <w:t>5</w:t>
          </w:r>
        </w:p>
      </w:tc>
      <w:tc>
        <w:tcPr>
          <w:tcW w:w="389" w:type="dxa"/>
          <w:vAlign w:val="bottom"/>
        </w:tcPr>
        <w:p w:rsidR="003F6919" w:rsidRDefault="00FA7A31" w:rsidP="00A4316E">
          <w:r>
            <w:t>0</w:t>
          </w:r>
        </w:p>
      </w:tc>
      <w:tc>
        <w:tcPr>
          <w:tcW w:w="389" w:type="dxa"/>
          <w:vAlign w:val="bottom"/>
        </w:tcPr>
        <w:p w:rsidR="003F6919" w:rsidRDefault="00FA7A31" w:rsidP="00A4316E">
          <w:r>
            <w:t>4</w:t>
          </w:r>
        </w:p>
      </w:tc>
      <w:tc>
        <w:tcPr>
          <w:tcW w:w="389" w:type="dxa"/>
          <w:vAlign w:val="bottom"/>
        </w:tcPr>
        <w:p w:rsidR="003F6919" w:rsidRDefault="00FA7A31" w:rsidP="00A4316E">
          <w:r>
            <w:t>3</w:t>
          </w:r>
        </w:p>
      </w:tc>
      <w:tc>
        <w:tcPr>
          <w:tcW w:w="389" w:type="dxa"/>
          <w:vAlign w:val="bottom"/>
        </w:tcPr>
        <w:p w:rsidR="003F6919" w:rsidRDefault="00FA7A31" w:rsidP="00A4316E">
          <w:r>
            <w:t>9</w:t>
          </w:r>
        </w:p>
      </w:tc>
      <w:tc>
        <w:tcPr>
          <w:tcW w:w="656" w:type="dxa"/>
          <w:tcBorders>
            <w:top w:val="nil"/>
            <w:bottom w:val="nil"/>
          </w:tcBorders>
          <w:vAlign w:val="bottom"/>
        </w:tcPr>
        <w:p w:rsidR="003F6919" w:rsidRDefault="00FA7A31" w:rsidP="00A4316E">
          <w:r>
            <w:t xml:space="preserve"> DIČ:</w:t>
          </w:r>
        </w:p>
      </w:tc>
      <w:tc>
        <w:tcPr>
          <w:tcW w:w="319" w:type="dxa"/>
          <w:vAlign w:val="bottom"/>
        </w:tcPr>
        <w:p w:rsidR="003F6919" w:rsidRDefault="00FA7A31" w:rsidP="00A4316E">
          <w:r>
            <w:t>2</w:t>
          </w:r>
        </w:p>
      </w:tc>
      <w:tc>
        <w:tcPr>
          <w:tcW w:w="320" w:type="dxa"/>
          <w:vAlign w:val="bottom"/>
        </w:tcPr>
        <w:p w:rsidR="003F6919" w:rsidRDefault="00FA7A31" w:rsidP="00A4316E">
          <w:r>
            <w:t>1</w:t>
          </w:r>
        </w:p>
      </w:tc>
      <w:tc>
        <w:tcPr>
          <w:tcW w:w="319" w:type="dxa"/>
          <w:vAlign w:val="bottom"/>
        </w:tcPr>
        <w:p w:rsidR="003F6919" w:rsidRDefault="00FA7A31" w:rsidP="00A4316E">
          <w:r>
            <w:t>2</w:t>
          </w:r>
        </w:p>
      </w:tc>
      <w:tc>
        <w:tcPr>
          <w:tcW w:w="320" w:type="dxa"/>
          <w:vAlign w:val="bottom"/>
        </w:tcPr>
        <w:p w:rsidR="003F6919" w:rsidRDefault="00FA7A31" w:rsidP="00A4316E">
          <w:r>
            <w:t>0</w:t>
          </w:r>
        </w:p>
      </w:tc>
      <w:tc>
        <w:tcPr>
          <w:tcW w:w="320" w:type="dxa"/>
          <w:vAlign w:val="bottom"/>
        </w:tcPr>
        <w:p w:rsidR="003F6919" w:rsidRDefault="00FA7A31" w:rsidP="00A4316E">
          <w:r>
            <w:t>2</w:t>
          </w:r>
        </w:p>
      </w:tc>
      <w:tc>
        <w:tcPr>
          <w:tcW w:w="319" w:type="dxa"/>
          <w:vAlign w:val="bottom"/>
        </w:tcPr>
        <w:p w:rsidR="003F6919" w:rsidRDefault="00FA7A31" w:rsidP="00A4316E">
          <w:r>
            <w:t>8</w:t>
          </w:r>
        </w:p>
      </w:tc>
      <w:tc>
        <w:tcPr>
          <w:tcW w:w="320" w:type="dxa"/>
          <w:vAlign w:val="bottom"/>
        </w:tcPr>
        <w:p w:rsidR="003F6919" w:rsidRDefault="00FA7A31" w:rsidP="00A4316E">
          <w:r>
            <w:t>5</w:t>
          </w:r>
        </w:p>
      </w:tc>
      <w:tc>
        <w:tcPr>
          <w:tcW w:w="319" w:type="dxa"/>
          <w:vAlign w:val="bottom"/>
        </w:tcPr>
        <w:p w:rsidR="003F6919" w:rsidRDefault="00FA7A31" w:rsidP="00A4316E">
          <w:r>
            <w:t>4</w:t>
          </w:r>
        </w:p>
      </w:tc>
      <w:tc>
        <w:tcPr>
          <w:tcW w:w="320" w:type="dxa"/>
          <w:vAlign w:val="bottom"/>
        </w:tcPr>
        <w:p w:rsidR="003F6919" w:rsidRDefault="00FA7A31" w:rsidP="00A4316E">
          <w:r>
            <w:t>7</w:t>
          </w:r>
        </w:p>
      </w:tc>
      <w:tc>
        <w:tcPr>
          <w:tcW w:w="320" w:type="dxa"/>
          <w:vAlign w:val="bottom"/>
        </w:tcPr>
        <w:p w:rsidR="003F6919" w:rsidRDefault="00FA7A31" w:rsidP="00A4316E">
          <w:r>
            <w:t>5</w:t>
          </w:r>
        </w:p>
      </w:tc>
    </w:tr>
  </w:tbl>
  <w:p w:rsidR="003F6919" w:rsidRPr="007641C0" w:rsidRDefault="00FA7A31" w:rsidP="003F6919"/>
  <w:p w:rsidR="00E52F9A" w:rsidRDefault="00FA7A31">
    <w:pPr>
      <w:pStyle w:val="Hlavika"/>
    </w:pPr>
  </w:p>
  <w:p w:rsidR="00E52F9A" w:rsidRDefault="00FA7A3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2E441ABB"/>
    <w:multiLevelType w:val="hybridMultilevel"/>
    <w:tmpl w:val="8FE0EB76"/>
    <w:lvl w:ilvl="0" w:tplc="C90C4466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862139"/>
    <w:multiLevelType w:val="hybridMultilevel"/>
    <w:tmpl w:val="152CAF82"/>
    <w:lvl w:ilvl="0" w:tplc="3656D3B2">
      <w:start w:val="1"/>
      <w:numFmt w:val="upperRoman"/>
      <w:lvlText w:val="%1."/>
      <w:lvlJc w:val="left"/>
      <w:pPr>
        <w:ind w:left="1004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2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A31"/>
    <w:rsid w:val="004328DD"/>
    <w:rsid w:val="00FA7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FD19D2-DB77-49D9-833B-98591D409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semiHidden/>
    <w:unhideWhenUsed/>
    <w:rsid w:val="00FA7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A7A31"/>
  </w:style>
  <w:style w:type="paragraph" w:styleId="Hlavika">
    <w:name w:val="header"/>
    <w:basedOn w:val="Normlny"/>
    <w:link w:val="HlavikaChar"/>
    <w:uiPriority w:val="99"/>
    <w:semiHidden/>
    <w:unhideWhenUsed/>
    <w:rsid w:val="00FA7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A7A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934</Words>
  <Characters>5330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Administrátor</dc:creator>
  <cp:keywords/>
  <dc:description/>
  <cp:lastModifiedBy>Administrátor</cp:lastModifiedBy>
  <cp:revision>1</cp:revision>
  <dcterms:created xsi:type="dcterms:W3CDTF">2018-03-29T20:13:00Z</dcterms:created>
  <dcterms:modified xsi:type="dcterms:W3CDTF">2018-03-29T20:22:00Z</dcterms:modified>
</cp:coreProperties>
</file>