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19A" w:rsidRPr="009E6B72" w:rsidRDefault="009A119A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Čl. I</w:t>
      </w:r>
    </w:p>
    <w:p w:rsidR="009A119A" w:rsidRPr="009E6B72" w:rsidRDefault="009A119A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Všeobecné informácie</w:t>
      </w:r>
    </w:p>
    <w:p w:rsidR="009E6B72" w:rsidRPr="009E6B72" w:rsidRDefault="009E6B72" w:rsidP="002911C8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703D" w:rsidRPr="009E6B72" w:rsidRDefault="002B703D" w:rsidP="002B703D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B5895" w:rsidRPr="009E6B72" w:rsidRDefault="000B5895" w:rsidP="000B5895">
      <w:pPr>
        <w:pStyle w:val="Odsekzoznamu"/>
        <w:numPr>
          <w:ilvl w:val="0"/>
          <w:numId w:val="3"/>
        </w:numPr>
        <w:spacing w:after="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 xml:space="preserve">Spoločnosť </w:t>
      </w:r>
      <w:proofErr w:type="spellStart"/>
      <w:r w:rsidR="00142F52">
        <w:rPr>
          <w:rFonts w:ascii="Times New Roman" w:hAnsi="Times New Roman" w:cs="Times New Roman"/>
          <w:sz w:val="20"/>
          <w:szCs w:val="20"/>
        </w:rPr>
        <w:t>Kolonel</w:t>
      </w:r>
      <w:proofErr w:type="spellEnd"/>
      <w:r w:rsidR="00142F52">
        <w:rPr>
          <w:rFonts w:ascii="Times New Roman" w:hAnsi="Times New Roman" w:cs="Times New Roman"/>
          <w:sz w:val="20"/>
          <w:szCs w:val="20"/>
        </w:rPr>
        <w:t xml:space="preserve"> spol. s r.o.</w:t>
      </w:r>
      <w:r w:rsidRPr="009E6B72">
        <w:rPr>
          <w:rFonts w:ascii="Times New Roman" w:hAnsi="Times New Roman" w:cs="Times New Roman"/>
          <w:sz w:val="20"/>
          <w:szCs w:val="20"/>
        </w:rPr>
        <w:t xml:space="preserve"> (ďalej len Spoločnosť), bola založená </w:t>
      </w:r>
      <w:r w:rsidR="00277C7D">
        <w:rPr>
          <w:rFonts w:ascii="Times New Roman" w:hAnsi="Times New Roman" w:cs="Times New Roman"/>
          <w:sz w:val="20"/>
          <w:szCs w:val="20"/>
        </w:rPr>
        <w:t xml:space="preserve">17. Decembra </w:t>
      </w:r>
      <w:r w:rsidRPr="009E6B72">
        <w:rPr>
          <w:rFonts w:ascii="Times New Roman" w:hAnsi="Times New Roman" w:cs="Times New Roman"/>
          <w:sz w:val="20"/>
          <w:szCs w:val="20"/>
        </w:rPr>
        <w:t>20</w:t>
      </w:r>
      <w:r>
        <w:rPr>
          <w:rFonts w:ascii="Times New Roman" w:hAnsi="Times New Roman" w:cs="Times New Roman"/>
          <w:sz w:val="20"/>
          <w:szCs w:val="20"/>
        </w:rPr>
        <w:t>07</w:t>
      </w:r>
      <w:r w:rsidRPr="009E6B72">
        <w:rPr>
          <w:rFonts w:ascii="Times New Roman" w:hAnsi="Times New Roman" w:cs="Times New Roman"/>
          <w:sz w:val="20"/>
          <w:szCs w:val="20"/>
        </w:rPr>
        <w:t xml:space="preserve"> a do obchodného registra bola zapísaná </w:t>
      </w:r>
      <w:r w:rsidR="00277C7D">
        <w:rPr>
          <w:rFonts w:ascii="Times New Roman" w:hAnsi="Times New Roman" w:cs="Times New Roman"/>
          <w:sz w:val="20"/>
          <w:szCs w:val="20"/>
        </w:rPr>
        <w:t>03 januára</w:t>
      </w:r>
      <w:r>
        <w:rPr>
          <w:rFonts w:ascii="Times New Roman" w:hAnsi="Times New Roman" w:cs="Times New Roman"/>
          <w:sz w:val="20"/>
          <w:szCs w:val="20"/>
        </w:rPr>
        <w:t xml:space="preserve"> 2</w:t>
      </w:r>
      <w:r w:rsidRPr="009E6B72">
        <w:rPr>
          <w:rFonts w:ascii="Times New Roman" w:hAnsi="Times New Roman" w:cs="Times New Roman"/>
          <w:sz w:val="20"/>
          <w:szCs w:val="20"/>
        </w:rPr>
        <w:t>0</w:t>
      </w:r>
      <w:r w:rsidR="00277C7D">
        <w:rPr>
          <w:rFonts w:ascii="Times New Roman" w:hAnsi="Times New Roman" w:cs="Times New Roman"/>
          <w:sz w:val="20"/>
          <w:szCs w:val="20"/>
        </w:rPr>
        <w:t>08</w:t>
      </w:r>
      <w:r w:rsidRPr="009E6B72">
        <w:rPr>
          <w:rFonts w:ascii="Times New Roman" w:hAnsi="Times New Roman" w:cs="Times New Roman"/>
          <w:sz w:val="20"/>
          <w:szCs w:val="20"/>
        </w:rPr>
        <w:t xml:space="preserve"> (Obchodný register Okresného súdu Bratislava I v Bratislave, oddiel </w:t>
      </w:r>
      <w:proofErr w:type="spellStart"/>
      <w:r w:rsidRPr="009E6B72">
        <w:rPr>
          <w:rFonts w:ascii="Times New Roman" w:hAnsi="Times New Roman" w:cs="Times New Roman"/>
          <w:sz w:val="20"/>
          <w:szCs w:val="20"/>
        </w:rPr>
        <w:t>S</w:t>
      </w:r>
      <w:r w:rsidR="00277C7D">
        <w:rPr>
          <w:rFonts w:ascii="Times New Roman" w:hAnsi="Times New Roman" w:cs="Times New Roman"/>
          <w:sz w:val="20"/>
          <w:szCs w:val="20"/>
        </w:rPr>
        <w:t>Ro</w:t>
      </w:r>
      <w:proofErr w:type="spellEnd"/>
      <w:r w:rsidRPr="009E6B72">
        <w:rPr>
          <w:rFonts w:ascii="Times New Roman" w:hAnsi="Times New Roman" w:cs="Times New Roman"/>
          <w:sz w:val="20"/>
          <w:szCs w:val="20"/>
        </w:rPr>
        <w:t xml:space="preserve">, vložka </w:t>
      </w:r>
      <w:r w:rsidR="00277C7D">
        <w:rPr>
          <w:rFonts w:ascii="Times New Roman" w:hAnsi="Times New Roman" w:cs="Times New Roman"/>
          <w:sz w:val="20"/>
          <w:szCs w:val="20"/>
        </w:rPr>
        <w:t>49860</w:t>
      </w:r>
      <w:r w:rsidRPr="009E6B72">
        <w:rPr>
          <w:rFonts w:ascii="Times New Roman" w:hAnsi="Times New Roman" w:cs="Times New Roman"/>
          <w:sz w:val="20"/>
          <w:szCs w:val="20"/>
        </w:rPr>
        <w:t xml:space="preserve">/B). </w:t>
      </w:r>
    </w:p>
    <w:p w:rsidR="000B5895" w:rsidRDefault="000B5895" w:rsidP="000B5895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Hlavnými činnosťami Spoločnosti sú:</w:t>
      </w:r>
    </w:p>
    <w:p w:rsidR="00277C7D" w:rsidRDefault="00277C7D" w:rsidP="000B5895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277C7D" w:rsidRPr="00277C7D" w:rsidRDefault="00277C7D" w:rsidP="00277C7D">
      <w:pPr>
        <w:pStyle w:val="Odsekzoznamu"/>
        <w:numPr>
          <w:ilvl w:val="0"/>
          <w:numId w:val="12"/>
        </w:numPr>
        <w:tabs>
          <w:tab w:val="left" w:pos="283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77C7D">
        <w:rPr>
          <w:rFonts w:ascii="Times New Roman" w:hAnsi="Times New Roman" w:cs="Times New Roman"/>
          <w:sz w:val="20"/>
          <w:szCs w:val="20"/>
        </w:rPr>
        <w:t>technické služby súvisiace s produkciou filmov alebo videozáznamov</w:t>
      </w:r>
    </w:p>
    <w:p w:rsidR="00277C7D" w:rsidRPr="00277C7D" w:rsidRDefault="00277C7D" w:rsidP="00277C7D">
      <w:pPr>
        <w:pStyle w:val="Odsekzoznamu"/>
        <w:numPr>
          <w:ilvl w:val="0"/>
          <w:numId w:val="12"/>
        </w:numPr>
        <w:tabs>
          <w:tab w:val="left" w:pos="283"/>
        </w:tabs>
        <w:suppressAutoHyphens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277C7D">
        <w:rPr>
          <w:rFonts w:ascii="Times New Roman" w:hAnsi="Times New Roman" w:cs="Times New Roman"/>
          <w:sz w:val="20"/>
          <w:szCs w:val="20"/>
        </w:rPr>
        <w:t>producentská činnosť v oblasti audiovízie</w:t>
      </w:r>
    </w:p>
    <w:p w:rsidR="00277C7D" w:rsidRPr="009E6B72" w:rsidRDefault="00277C7D" w:rsidP="000B5895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280D89" w:rsidRPr="00280D89" w:rsidRDefault="00280D89" w:rsidP="00867921">
      <w:pPr>
        <w:pStyle w:val="Odsekzoznamu"/>
        <w:numPr>
          <w:ilvl w:val="0"/>
          <w:numId w:val="3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280D89">
        <w:rPr>
          <w:rFonts w:ascii="Times New Roman" w:hAnsi="Times New Roman" w:cs="Times New Roman"/>
          <w:sz w:val="20"/>
          <w:szCs w:val="20"/>
        </w:rPr>
        <w:t>Údaje o konsolidovanom celku:</w:t>
      </w:r>
    </w:p>
    <w:p w:rsidR="007A2CC1" w:rsidRDefault="00280D89" w:rsidP="00280D89">
      <w:pPr>
        <w:pStyle w:val="Odsekzoznamu"/>
        <w:numPr>
          <w:ilvl w:val="0"/>
          <w:numId w:val="10"/>
        </w:num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sa nezahŕňa do žiadneho konsolidovaného celku</w:t>
      </w:r>
      <w:r w:rsidR="009A119A" w:rsidRPr="00280D89">
        <w:rPr>
          <w:rFonts w:ascii="Times New Roman" w:hAnsi="Times New Roman" w:cs="Times New Roman"/>
          <w:sz w:val="20"/>
          <w:szCs w:val="20"/>
        </w:rPr>
        <w:t>.</w:t>
      </w:r>
    </w:p>
    <w:p w:rsidR="00280D89" w:rsidRPr="00280D89" w:rsidRDefault="00280D89" w:rsidP="00280D89">
      <w:pPr>
        <w:pStyle w:val="Odsekzoznamu"/>
        <w:numPr>
          <w:ilvl w:val="0"/>
          <w:numId w:val="10"/>
        </w:num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Spoločnosť nie je materskou účtovnou jednotkou.</w:t>
      </w:r>
    </w:p>
    <w:p w:rsidR="002B703D" w:rsidRDefault="002B703D" w:rsidP="00277C7D">
      <w:pPr>
        <w:pStyle w:val="Zkladntext"/>
        <w:numPr>
          <w:ilvl w:val="0"/>
          <w:numId w:val="3"/>
        </w:numPr>
        <w:rPr>
          <w:sz w:val="20"/>
        </w:rPr>
      </w:pPr>
      <w:r w:rsidRPr="002B703D">
        <w:rPr>
          <w:sz w:val="20"/>
        </w:rPr>
        <w:t>Údaje o počte zamestnancov za bežné účtovné obdobie a bezprostredne predchádzajúce účtovné obdobie sú uvedené v nasledujúcom prehľade:</w:t>
      </w:r>
      <w:bookmarkStart w:id="0" w:name="_MON_1432987785"/>
      <w:bookmarkStart w:id="1" w:name="_MON_1453457529"/>
      <w:bookmarkStart w:id="2" w:name="_MON_1390732644"/>
      <w:bookmarkStart w:id="3" w:name="_MON_1394573083"/>
      <w:bookmarkStart w:id="4" w:name="_GoBack"/>
      <w:bookmarkEnd w:id="0"/>
      <w:bookmarkEnd w:id="1"/>
      <w:bookmarkEnd w:id="2"/>
      <w:bookmarkEnd w:id="3"/>
      <w:bookmarkEnd w:id="4"/>
    </w:p>
    <w:p w:rsidR="00277C7D" w:rsidRPr="00277C7D" w:rsidRDefault="00277C7D" w:rsidP="00277C7D">
      <w:pPr>
        <w:pStyle w:val="Odsekzoznamu"/>
        <w:rPr>
          <w:rFonts w:ascii="Arial" w:hAnsi="Arial" w:cs="Aria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94"/>
        <w:gridCol w:w="2709"/>
        <w:gridCol w:w="2709"/>
      </w:tblGrid>
      <w:tr w:rsidR="00277C7D" w:rsidRPr="002E10BE" w:rsidTr="002F5BE0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277C7D" w:rsidRPr="002E10BE" w:rsidTr="002F5BE0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77C7D" w:rsidRPr="002E10BE" w:rsidTr="002F5BE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277C7D" w:rsidRPr="002E10BE" w:rsidTr="002F5BE0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77C7D" w:rsidRPr="002E10BE" w:rsidRDefault="00277C7D" w:rsidP="002F5BE0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</w:tbl>
    <w:p w:rsidR="00277C7D" w:rsidRPr="009E6B72" w:rsidRDefault="00277C7D" w:rsidP="00277C7D">
      <w:pPr>
        <w:pStyle w:val="Zkladntext"/>
        <w:ind w:left="720"/>
        <w:rPr>
          <w:sz w:val="20"/>
        </w:rPr>
      </w:pPr>
    </w:p>
    <w:p w:rsidR="0079593A" w:rsidRDefault="0079593A" w:rsidP="002B703D">
      <w:pPr>
        <w:pStyle w:val="Zkladntext"/>
        <w:ind w:left="709" w:hanging="709"/>
        <w:rPr>
          <w:b/>
          <w:sz w:val="20"/>
        </w:rPr>
      </w:pPr>
    </w:p>
    <w:p w:rsidR="00EE5223" w:rsidRPr="009E6B72" w:rsidRDefault="0053531B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>Čl. I</w:t>
      </w:r>
      <w:r w:rsidR="0078376F">
        <w:rPr>
          <w:rFonts w:ascii="Times New Roman" w:hAnsi="Times New Roman" w:cs="Times New Roman"/>
          <w:b/>
          <w:sz w:val="20"/>
          <w:szCs w:val="20"/>
        </w:rPr>
        <w:t>I</w:t>
      </w:r>
    </w:p>
    <w:p w:rsidR="00EE5223" w:rsidRPr="009E6B72" w:rsidRDefault="00EE5223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Informácie o prijatých postupoch</w:t>
      </w:r>
    </w:p>
    <w:p w:rsidR="009E6B72" w:rsidRPr="009E6B72" w:rsidRDefault="009E6B7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B2333" w:rsidRPr="009E6B72" w:rsidRDefault="00EE5223" w:rsidP="009E6B72">
      <w:pPr>
        <w:pStyle w:val="Zkladn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Účtovná závierka bola zostavená za predpokladu nepretržitého trvania Spoločnosti (going concern).</w:t>
      </w:r>
      <w:r w:rsidR="002B2333" w:rsidRPr="009E6B72">
        <w:rPr>
          <w:sz w:val="20"/>
        </w:rPr>
        <w:t xml:space="preserve"> </w:t>
      </w:r>
    </w:p>
    <w:p w:rsidR="002B2333" w:rsidRPr="009E6B72" w:rsidRDefault="00DC3C22" w:rsidP="009E6B72">
      <w:pPr>
        <w:pStyle w:val="Zkladntext"/>
        <w:numPr>
          <w:ilvl w:val="0"/>
          <w:numId w:val="7"/>
        </w:numPr>
        <w:spacing w:after="120"/>
        <w:ind w:left="709" w:hanging="709"/>
        <w:rPr>
          <w:sz w:val="20"/>
        </w:rPr>
      </w:pPr>
      <w:r w:rsidRPr="009E6B72">
        <w:rPr>
          <w:sz w:val="20"/>
        </w:rPr>
        <w:t>Spôsob oceňovania jednotlivých položiek majetku a</w:t>
      </w:r>
      <w:r w:rsidR="00E821E1" w:rsidRPr="009E6B72">
        <w:rPr>
          <w:sz w:val="20"/>
        </w:rPr>
        <w:t> </w:t>
      </w:r>
      <w:r w:rsidRPr="009E6B72">
        <w:rPr>
          <w:sz w:val="20"/>
        </w:rPr>
        <w:t>záväzkov</w:t>
      </w:r>
      <w:r w:rsidR="00E821E1" w:rsidRPr="009E6B72">
        <w:rPr>
          <w:sz w:val="20"/>
        </w:rPr>
        <w:t xml:space="preserve"> a spôsob zostavenia odpisového plánu</w:t>
      </w:r>
      <w:r w:rsidRPr="009E6B72">
        <w:rPr>
          <w:sz w:val="20"/>
        </w:rPr>
        <w:t>: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Dlhodobý nehmotný majetok a dlhodobý hmotný majetok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867921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Dlhodobý majetok vlastnou činnosťou Spoločnosť nevytvárala. </w:t>
      </w:r>
    </w:p>
    <w:p w:rsidR="00DC3C22" w:rsidRPr="00867921" w:rsidRDefault="00DC3C22" w:rsidP="00867921">
      <w:pPr>
        <w:pStyle w:val="Zkladntext"/>
        <w:ind w:left="709"/>
        <w:rPr>
          <w:b/>
          <w:sz w:val="20"/>
        </w:rPr>
      </w:pPr>
      <w:r w:rsidRPr="00867921">
        <w:rPr>
          <w:b/>
          <w:sz w:val="20"/>
        </w:rPr>
        <w:t>Cenné papiere a podiely</w:t>
      </w:r>
    </w:p>
    <w:p w:rsidR="00867921" w:rsidRPr="009E6B72" w:rsidRDefault="00DC3C22" w:rsidP="00867921">
      <w:pPr>
        <w:pStyle w:val="Zkladntext"/>
        <w:spacing w:line="360" w:lineRule="auto"/>
        <w:ind w:left="709"/>
        <w:rPr>
          <w:sz w:val="20"/>
        </w:rPr>
      </w:pPr>
      <w:r w:rsidRPr="009E6B72">
        <w:rPr>
          <w:sz w:val="20"/>
        </w:rPr>
        <w:t xml:space="preserve">Spoločnosť nevlastní žiadne cenné papiere a podiely.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 xml:space="preserve">Zásoby 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Zásoby nakupované sa oceňujú cenou obstarania a osobitne sa účtujú náklady súvisiace s obstaraním (clo, preprava, poistné, provízie, skonto ap.). Nakupované zásoby sa pri výdaji zo skladu oceňujú váženým aritmetickým priemerom cien obstarania.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zásoby vlastnou činnosťou netvorila.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Zníženie hodnoty zásob sa upravuje vytvorením opravnej položky.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Zákazková výroba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neuskutočňovala zákazkovú výrobu.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Zákazková výstavba nehnuteľnosti</w:t>
      </w:r>
    </w:p>
    <w:p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Spoločnosť neuskutočňovala zákazkovú výstavbu nehnuteľností.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Pohľadávky</w:t>
      </w:r>
    </w:p>
    <w:p w:rsidR="00DC3C2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Pohľadávky pri ich vzniku sa oceňujú ich menovitou hodnotou. Toto ocenenie sa znižuje o pochybné a nevymožiteľné pohľadávky tvorbou opravnej položky k pohľadávkam.</w:t>
      </w:r>
    </w:p>
    <w:p w:rsidR="00BE6374" w:rsidRDefault="00BE6374" w:rsidP="009E6B72">
      <w:pPr>
        <w:pStyle w:val="Zkladntext"/>
        <w:spacing w:after="120"/>
        <w:ind w:left="709"/>
        <w:rPr>
          <w:sz w:val="20"/>
        </w:rPr>
      </w:pPr>
    </w:p>
    <w:p w:rsidR="00BE6374" w:rsidRPr="009E6B72" w:rsidRDefault="00BE6374" w:rsidP="009E6B72">
      <w:pPr>
        <w:pStyle w:val="Zkladntext"/>
        <w:spacing w:after="120"/>
        <w:ind w:left="709"/>
        <w:rPr>
          <w:sz w:val="20"/>
        </w:rPr>
      </w:pP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lastRenderedPageBreak/>
        <w:t>Peňažné prostriedky a ceniny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Peňažné prostriedky a ceniny sa oceňujú ich menovitou hodnotou. 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Náklady budúcich období a príjmy budúcich období</w:t>
      </w:r>
    </w:p>
    <w:p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Rezervy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Rezervy sú záväzky s neurčitým časovým vymedzením alebo výškou; tvoria sa na krytie známych rizík alebo strát z podnikania. Oceňujú sa v očakávanej výške záväzku.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Záväzky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Záväzky pri ich vzniku sa oceňujú menovitou hodnotou.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Odložené dane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Odložené dane (odložená daňová pohľadávka a odložený daňový záväzok) sa vzťahujú na: </w:t>
      </w:r>
    </w:p>
    <w:p w:rsidR="00DC3C22" w:rsidRPr="009E6B72" w:rsidRDefault="00DC3C22" w:rsidP="00867921">
      <w:pPr>
        <w:pStyle w:val="Zkladntext"/>
        <w:numPr>
          <w:ilvl w:val="0"/>
          <w:numId w:val="5"/>
        </w:numPr>
        <w:ind w:left="709" w:firstLine="0"/>
        <w:rPr>
          <w:sz w:val="20"/>
        </w:rPr>
      </w:pPr>
      <w:r w:rsidRPr="009E6B72">
        <w:rPr>
          <w:sz w:val="20"/>
        </w:rPr>
        <w:t>tvorbu opravnej položky k zásobám a pohľadávkam,</w:t>
      </w:r>
    </w:p>
    <w:p w:rsidR="00DC3C22" w:rsidRPr="009E6B72" w:rsidRDefault="00DC3C22" w:rsidP="00867921">
      <w:pPr>
        <w:pStyle w:val="Zkladntext"/>
        <w:numPr>
          <w:ilvl w:val="0"/>
          <w:numId w:val="5"/>
        </w:numPr>
        <w:ind w:left="709" w:firstLine="0"/>
        <w:rPr>
          <w:sz w:val="20"/>
        </w:rPr>
      </w:pPr>
      <w:r w:rsidRPr="009E6B72">
        <w:rPr>
          <w:sz w:val="20"/>
        </w:rPr>
        <w:t>nezaplatené zmluvné pokuty,</w:t>
      </w:r>
    </w:p>
    <w:p w:rsidR="009E6B72" w:rsidRPr="009E6B72" w:rsidRDefault="00DC3C22" w:rsidP="00867921">
      <w:pPr>
        <w:pStyle w:val="Zkladntext"/>
        <w:numPr>
          <w:ilvl w:val="0"/>
          <w:numId w:val="5"/>
        </w:numPr>
        <w:ind w:left="709" w:firstLine="0"/>
        <w:rPr>
          <w:sz w:val="20"/>
        </w:rPr>
      </w:pPr>
      <w:r w:rsidRPr="009E6B72">
        <w:rPr>
          <w:sz w:val="20"/>
        </w:rPr>
        <w:t>vytvorené rezervy na trovy exekúcie.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Výdavky budúcich období a výnosy budúcich období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Výdavky budúcich období a výnosy budúcich období sa vykazujú vo výške, ktorá je potrebná na dodržanie zásady vecnej a časovej súvislosti s účtovným obdobím.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Emisné kvóty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Spoločnosť nemá povinnosť evidovať emisné kvóty. 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Dotácie zo štátneho rozpočtu</w:t>
      </w:r>
    </w:p>
    <w:p w:rsidR="00DC3C22" w:rsidRPr="009E6B72" w:rsidRDefault="00DC3C22" w:rsidP="00867921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Spoločnosť nedostáva dotácie zo štátneho rozpočtu.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Prenájom (lízing)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Operatívny prenájom. Majetok prenajatý na základe operatívneho prenájmu vykazuje ako svoj majetok jeho vlastník, nie nájomca.</w:t>
      </w:r>
    </w:p>
    <w:p w:rsidR="00DC3C22" w:rsidRPr="009E6B72" w:rsidRDefault="00DC3C22" w:rsidP="00867921">
      <w:pPr>
        <w:pStyle w:val="Pismenka"/>
        <w:tabs>
          <w:tab w:val="clear" w:pos="426"/>
        </w:tabs>
        <w:spacing w:before="240"/>
        <w:ind w:left="709" w:hanging="425"/>
        <w:rPr>
          <w:sz w:val="20"/>
        </w:rPr>
      </w:pPr>
      <w:r w:rsidRPr="009E6B72">
        <w:rPr>
          <w:sz w:val="20"/>
        </w:rPr>
        <w:t>Deriváty</w:t>
      </w:r>
    </w:p>
    <w:p w:rsidR="00DC3C22" w:rsidRPr="009E6B72" w:rsidRDefault="00DC3C22" w:rsidP="00867921">
      <w:pPr>
        <w:pStyle w:val="Zkladntext"/>
        <w:ind w:left="709"/>
        <w:rPr>
          <w:sz w:val="20"/>
        </w:rPr>
      </w:pPr>
      <w:r w:rsidRPr="009E6B72">
        <w:rPr>
          <w:sz w:val="20"/>
        </w:rPr>
        <w:t>Spoločnosť o derivátoch neúčtuje.</w:t>
      </w:r>
    </w:p>
    <w:p w:rsidR="00DC3C22" w:rsidRPr="009E6B72" w:rsidRDefault="00DC3C22" w:rsidP="00867921">
      <w:pPr>
        <w:pStyle w:val="Pismenka"/>
        <w:numPr>
          <w:ilvl w:val="0"/>
          <w:numId w:val="0"/>
        </w:numPr>
        <w:ind w:left="709"/>
        <w:rPr>
          <w:sz w:val="20"/>
        </w:rPr>
      </w:pPr>
      <w:r w:rsidRPr="009E6B72">
        <w:rPr>
          <w:sz w:val="20"/>
        </w:rPr>
        <w:t>Majetok a záväzky zabezpečené derivátmi</w:t>
      </w:r>
    </w:p>
    <w:p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Spoločnosť nevlastní majetok ani neeviduje záväzky zabezpečené derivátmi.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Cudzia mena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C3C22" w:rsidRPr="009E6B72" w:rsidRDefault="00DC3C22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Prijaté a poskytnuté preddavky sa ku dňu, ku ktorému sa zostavuje účtovná závierka, na menu euro už neprepočítavajú. </w:t>
      </w:r>
    </w:p>
    <w:p w:rsidR="00DC3C22" w:rsidRPr="009E6B72" w:rsidRDefault="00DC3C22" w:rsidP="009E6B72">
      <w:pPr>
        <w:pStyle w:val="Pismenka"/>
        <w:tabs>
          <w:tab w:val="clear" w:pos="426"/>
        </w:tabs>
        <w:ind w:left="709" w:hanging="425"/>
        <w:rPr>
          <w:sz w:val="20"/>
        </w:rPr>
      </w:pPr>
      <w:r w:rsidRPr="009E6B72">
        <w:rPr>
          <w:sz w:val="20"/>
        </w:rPr>
        <w:t>Výnosy</w:t>
      </w:r>
    </w:p>
    <w:p w:rsidR="00DC3C22" w:rsidRPr="009E6B72" w:rsidRDefault="00DC3C22" w:rsidP="009E6B72">
      <w:pPr>
        <w:pStyle w:val="Zkladntext"/>
        <w:ind w:left="709"/>
        <w:rPr>
          <w:sz w:val="20"/>
        </w:rPr>
      </w:pPr>
      <w:r w:rsidRPr="009E6B72">
        <w:rPr>
          <w:sz w:val="2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E5223" w:rsidRDefault="00EE5223" w:rsidP="009E6B72">
      <w:pPr>
        <w:pStyle w:val="Zkladntext"/>
        <w:spacing w:after="120"/>
        <w:ind w:left="709"/>
        <w:rPr>
          <w:sz w:val="20"/>
        </w:rPr>
      </w:pPr>
      <w:r w:rsidRPr="009E6B72">
        <w:rPr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BE6374" w:rsidRPr="009E6B72" w:rsidRDefault="00BE6374" w:rsidP="009E6B72">
      <w:pPr>
        <w:pStyle w:val="Zkladntext"/>
        <w:spacing w:after="120"/>
        <w:ind w:left="709"/>
        <w:rPr>
          <w:sz w:val="20"/>
        </w:rPr>
      </w:pPr>
    </w:p>
    <w:p w:rsidR="00BE6374" w:rsidRDefault="00BE6374" w:rsidP="00BE6374">
      <w:pPr>
        <w:pStyle w:val="Zkladntext"/>
        <w:ind w:left="644"/>
        <w:rPr>
          <w:sz w:val="20"/>
        </w:rPr>
      </w:pPr>
    </w:p>
    <w:p w:rsidR="00BE6374" w:rsidRDefault="00BE6374" w:rsidP="00BE6374">
      <w:pPr>
        <w:pStyle w:val="Zkladntext"/>
        <w:ind w:left="644"/>
        <w:rPr>
          <w:sz w:val="20"/>
        </w:rPr>
      </w:pPr>
    </w:p>
    <w:p w:rsidR="00BE6374" w:rsidRDefault="00BE6374" w:rsidP="00BE6374">
      <w:pPr>
        <w:pStyle w:val="Zkladntext"/>
        <w:ind w:left="644"/>
        <w:rPr>
          <w:sz w:val="20"/>
        </w:rPr>
      </w:pPr>
    </w:p>
    <w:p w:rsidR="00BE6374" w:rsidRDefault="00BE6374" w:rsidP="00BE6374">
      <w:pPr>
        <w:pStyle w:val="Zkladntext"/>
        <w:ind w:left="644"/>
        <w:rPr>
          <w:sz w:val="20"/>
        </w:rPr>
      </w:pPr>
    </w:p>
    <w:p w:rsidR="00BE6374" w:rsidRDefault="00BE6374" w:rsidP="00BE6374">
      <w:pPr>
        <w:pStyle w:val="Zkladntext"/>
        <w:ind w:left="644"/>
        <w:rPr>
          <w:sz w:val="20"/>
        </w:rPr>
      </w:pPr>
    </w:p>
    <w:p w:rsidR="00BE6374" w:rsidRDefault="00BE6374" w:rsidP="00BE6374">
      <w:pPr>
        <w:pStyle w:val="Zkladntext"/>
        <w:ind w:left="644"/>
        <w:rPr>
          <w:sz w:val="20"/>
        </w:rPr>
      </w:pPr>
    </w:p>
    <w:p w:rsidR="00BE6374" w:rsidRDefault="00BE6374" w:rsidP="00BE6374">
      <w:pPr>
        <w:pStyle w:val="Zkladntext"/>
        <w:ind w:left="644"/>
        <w:rPr>
          <w:sz w:val="20"/>
        </w:rPr>
      </w:pPr>
    </w:p>
    <w:p w:rsidR="00BE6374" w:rsidRDefault="00BE6374" w:rsidP="00BE6374">
      <w:pPr>
        <w:pStyle w:val="Zkladntext"/>
        <w:ind w:left="644"/>
        <w:rPr>
          <w:sz w:val="20"/>
        </w:rPr>
      </w:pPr>
    </w:p>
    <w:p w:rsidR="00A4222F" w:rsidRPr="009E6B72" w:rsidRDefault="00A4222F" w:rsidP="00BE6374">
      <w:pPr>
        <w:pStyle w:val="Zkladntext"/>
        <w:ind w:left="644"/>
        <w:rPr>
          <w:sz w:val="20"/>
        </w:rPr>
      </w:pPr>
      <w:r w:rsidRPr="009E6B72">
        <w:rPr>
          <w:sz w:val="20"/>
        </w:rPr>
        <w:lastRenderedPageBreak/>
        <w:t>Spôsob zostavenia odpisového plánu</w:t>
      </w:r>
    </w:p>
    <w:p w:rsidR="00A4222F" w:rsidRPr="009E6B72" w:rsidRDefault="00A4222F" w:rsidP="00867921">
      <w:pPr>
        <w:pStyle w:val="Zkladntext"/>
        <w:ind w:left="644"/>
        <w:rPr>
          <w:sz w:val="20"/>
        </w:rPr>
      </w:pPr>
      <w:r w:rsidRPr="009E6B72">
        <w:rPr>
          <w:sz w:val="20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 a Spoločnosť ho účtuje priamo pri obstaraní do nákladov na účet 518. Predpokladaná doba používania, metóda odpisovania a odpisová sadzba sú uvedené v nasledujúcej tabuľke:</w:t>
      </w:r>
    </w:p>
    <w:tbl>
      <w:tblPr>
        <w:tblW w:w="8890" w:type="dxa"/>
        <w:tblInd w:w="456" w:type="dxa"/>
        <w:tblCellMar>
          <w:left w:w="30" w:type="dxa"/>
          <w:right w:w="30" w:type="dxa"/>
        </w:tblCellMar>
        <w:tblLook w:val="0000"/>
      </w:tblPr>
      <w:tblGrid>
        <w:gridCol w:w="2786"/>
        <w:gridCol w:w="400"/>
        <w:gridCol w:w="1825"/>
        <w:gridCol w:w="214"/>
        <w:gridCol w:w="1790"/>
        <w:gridCol w:w="214"/>
        <w:gridCol w:w="1661"/>
      </w:tblGrid>
      <w:tr w:rsidR="0099553C" w:rsidRPr="009E6B72" w:rsidTr="0099553C">
        <w:trPr>
          <w:trHeight w:val="195"/>
        </w:trPr>
        <w:tc>
          <w:tcPr>
            <w:tcW w:w="3186" w:type="dxa"/>
            <w:gridSpan w:val="2"/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br w:type="page"/>
            </w:r>
          </w:p>
        </w:tc>
        <w:tc>
          <w:tcPr>
            <w:tcW w:w="1825" w:type="dxa"/>
          </w:tcPr>
          <w:p w:rsidR="00A4222F" w:rsidRPr="009E6B72" w:rsidRDefault="00A4222F" w:rsidP="0099553C">
            <w:pPr>
              <w:pStyle w:val="Tabulka"/>
              <w:ind w:left="709" w:hanging="523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214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214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99553C" w:rsidRPr="009E6B72" w:rsidTr="0099553C">
        <w:trPr>
          <w:trHeight w:val="250"/>
        </w:trPr>
        <w:tc>
          <w:tcPr>
            <w:tcW w:w="2786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rPr>
                <w:sz w:val="20"/>
              </w:rPr>
            </w:pPr>
          </w:p>
        </w:tc>
        <w:tc>
          <w:tcPr>
            <w:tcW w:w="400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</w:tcPr>
          <w:p w:rsidR="00A4222F" w:rsidRPr="009E6B72" w:rsidRDefault="0099553C" w:rsidP="0099553C">
            <w:pPr>
              <w:pStyle w:val="Tabulka"/>
              <w:ind w:left="611" w:hanging="327"/>
              <w:rPr>
                <w:sz w:val="20"/>
              </w:rPr>
            </w:pPr>
            <w:r>
              <w:rPr>
                <w:sz w:val="20"/>
              </w:rPr>
              <w:t xml:space="preserve">doba  </w:t>
            </w:r>
            <w:r w:rsidR="00A4222F" w:rsidRPr="009E6B72">
              <w:rPr>
                <w:sz w:val="20"/>
              </w:rPr>
              <w:t>používania</w:t>
            </w:r>
            <w:r w:rsidR="00A4222F" w:rsidRPr="009E6B72">
              <w:rPr>
                <w:sz w:val="20"/>
              </w:rPr>
              <w:br/>
              <w:t>v rokoch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214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99553C" w:rsidRPr="009E6B72" w:rsidTr="0099553C">
        <w:trPr>
          <w:trHeight w:val="314"/>
        </w:trPr>
        <w:tc>
          <w:tcPr>
            <w:tcW w:w="3186" w:type="dxa"/>
            <w:gridSpan w:val="2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Softvér</w:t>
            </w:r>
          </w:p>
        </w:tc>
        <w:tc>
          <w:tcPr>
            <w:tcW w:w="1825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</w:t>
            </w:r>
          </w:p>
        </w:tc>
        <w:tc>
          <w:tcPr>
            <w:tcW w:w="214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90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214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661" w:type="dxa"/>
          </w:tcPr>
          <w:p w:rsidR="00A4222F" w:rsidRPr="009E6B72" w:rsidRDefault="00A4222F" w:rsidP="009E6B72">
            <w:pPr>
              <w:pStyle w:val="Tabulka"/>
              <w:spacing w:after="120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</w:t>
            </w:r>
          </w:p>
        </w:tc>
      </w:tr>
    </w:tbl>
    <w:p w:rsidR="00A4222F" w:rsidRPr="009E6B72" w:rsidRDefault="00A4222F" w:rsidP="0099553C">
      <w:pPr>
        <w:pStyle w:val="Zkladntext"/>
        <w:ind w:left="644"/>
        <w:rPr>
          <w:sz w:val="20"/>
        </w:rPr>
      </w:pPr>
      <w:r w:rsidRPr="009E6B72">
        <w:rPr>
          <w:sz w:val="20"/>
        </w:rPr>
        <w:t>Odpisy dlhodobého hmotného majetku sú stanovené vychádzajúc z predpokladanej doby jeho používania a predpokladaného priebehu jeho opotrebenia. Drobný dlhodobý hmotný majetok, ktorého obstarávacia cena (resp. vlastné náklady) je 1 700 EUR a nižšia, sa odpisuje jednorazovo pri uvedení do používania a Spoločnosť ho účtuje pri obstaraní na účet materiálu na sklade 112 a následne na účet 501.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A4222F" w:rsidRPr="009E6B72" w:rsidTr="009E6B72">
        <w:trPr>
          <w:trHeight w:val="250"/>
        </w:trPr>
        <w:tc>
          <w:tcPr>
            <w:tcW w:w="3118" w:type="dxa"/>
            <w:gridSpan w:val="2"/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Predpokladaná</w:t>
            </w:r>
          </w:p>
        </w:tc>
        <w:tc>
          <w:tcPr>
            <w:tcW w:w="14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Metóda</w:t>
            </w:r>
          </w:p>
        </w:tc>
        <w:tc>
          <w:tcPr>
            <w:tcW w:w="142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Ročná odpisová</w:t>
            </w:r>
          </w:p>
        </w:tc>
      </w:tr>
      <w:tr w:rsidR="00A4222F" w:rsidRPr="009E6B72" w:rsidTr="009E6B7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rPr>
                <w:sz w:val="20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254" w:firstLine="30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sadzba v %</w:t>
            </w:r>
          </w:p>
        </w:tc>
      </w:tr>
      <w:tr w:rsidR="00A4222F" w:rsidRPr="009E6B72" w:rsidTr="009E6B72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A4222F" w:rsidRPr="009E6B72" w:rsidRDefault="00A4222F" w:rsidP="00867921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A4222F" w:rsidRPr="009E6B72" w:rsidRDefault="0086333B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A4222F" w:rsidRPr="009E6B72">
              <w:rPr>
                <w:sz w:val="20"/>
              </w:rPr>
              <w:t>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A4222F" w:rsidRPr="009E6B72" w:rsidRDefault="0086333B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1/4</w:t>
            </w:r>
            <w:r w:rsidR="00A4222F" w:rsidRPr="009E6B72">
              <w:rPr>
                <w:sz w:val="20"/>
              </w:rPr>
              <w:t>0</w:t>
            </w:r>
          </w:p>
        </w:tc>
      </w:tr>
      <w:tr w:rsidR="00A4222F" w:rsidRPr="009E6B72" w:rsidTr="009E6B72">
        <w:trPr>
          <w:trHeight w:val="250"/>
        </w:trPr>
        <w:tc>
          <w:tcPr>
            <w:tcW w:w="3118" w:type="dxa"/>
            <w:gridSpan w:val="2"/>
          </w:tcPr>
          <w:p w:rsidR="00A4222F" w:rsidRPr="009E6B72" w:rsidRDefault="00A4222F" w:rsidP="00867921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Stroje, prístroje a zariadenia</w:t>
            </w:r>
          </w:p>
        </w:tc>
        <w:tc>
          <w:tcPr>
            <w:tcW w:w="1985" w:type="dxa"/>
          </w:tcPr>
          <w:p w:rsidR="00A4222F" w:rsidRPr="009E6B72" w:rsidRDefault="000B5895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>
              <w:rPr>
                <w:sz w:val="20"/>
              </w:rPr>
              <w:t>4 až 12</w:t>
            </w:r>
          </w:p>
        </w:tc>
        <w:tc>
          <w:tcPr>
            <w:tcW w:w="141" w:type="dxa"/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4222F" w:rsidRPr="009E6B72" w:rsidRDefault="00A4222F" w:rsidP="00867921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0B5895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 a 1/</w:t>
            </w:r>
            <w:r w:rsidR="000B5895">
              <w:rPr>
                <w:sz w:val="20"/>
              </w:rPr>
              <w:t>12</w:t>
            </w:r>
          </w:p>
        </w:tc>
      </w:tr>
      <w:tr w:rsidR="00A4222F" w:rsidRPr="009E6B72" w:rsidTr="009E6B72">
        <w:trPr>
          <w:trHeight w:val="250"/>
        </w:trPr>
        <w:tc>
          <w:tcPr>
            <w:tcW w:w="3118" w:type="dxa"/>
            <w:gridSpan w:val="2"/>
          </w:tcPr>
          <w:p w:rsidR="00A4222F" w:rsidRPr="009E6B72" w:rsidRDefault="00A4222F" w:rsidP="00867921">
            <w:pPr>
              <w:pStyle w:val="Tabulka"/>
              <w:ind w:left="709" w:hanging="425"/>
              <w:rPr>
                <w:sz w:val="20"/>
              </w:rPr>
            </w:pPr>
            <w:r w:rsidRPr="009E6B72">
              <w:rPr>
                <w:sz w:val="20"/>
              </w:rPr>
              <w:t>Dopravné prostriedky</w:t>
            </w:r>
          </w:p>
        </w:tc>
        <w:tc>
          <w:tcPr>
            <w:tcW w:w="1985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4 až 6</w:t>
            </w:r>
          </w:p>
        </w:tc>
        <w:tc>
          <w:tcPr>
            <w:tcW w:w="14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lineárna</w:t>
            </w:r>
          </w:p>
        </w:tc>
        <w:tc>
          <w:tcPr>
            <w:tcW w:w="142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  <w:tc>
          <w:tcPr>
            <w:tcW w:w="1701" w:type="dxa"/>
          </w:tcPr>
          <w:p w:rsidR="00A4222F" w:rsidRPr="009E6B72" w:rsidRDefault="00A4222F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  <w:r w:rsidRPr="009E6B72">
              <w:rPr>
                <w:sz w:val="20"/>
              </w:rPr>
              <w:t>1/4 a 1/6</w:t>
            </w:r>
          </w:p>
          <w:p w:rsidR="009E6B72" w:rsidRPr="009E6B72" w:rsidRDefault="009E6B72" w:rsidP="0099553C">
            <w:pPr>
              <w:pStyle w:val="Tabulka"/>
              <w:ind w:left="709" w:hanging="425"/>
              <w:jc w:val="center"/>
              <w:rPr>
                <w:sz w:val="20"/>
              </w:rPr>
            </w:pPr>
          </w:p>
        </w:tc>
      </w:tr>
    </w:tbl>
    <w:p w:rsidR="004E3596" w:rsidRPr="009E6B72" w:rsidRDefault="00BE6374" w:rsidP="00BE6374">
      <w:pPr>
        <w:pStyle w:val="Zkladntext"/>
        <w:spacing w:after="120"/>
        <w:ind w:left="284"/>
        <w:rPr>
          <w:sz w:val="20"/>
        </w:rPr>
      </w:pPr>
      <w:r>
        <w:rPr>
          <w:sz w:val="20"/>
        </w:rPr>
        <w:t xml:space="preserve">       </w:t>
      </w:r>
      <w:r w:rsidR="004E3596" w:rsidRPr="009E6B72">
        <w:rPr>
          <w:sz w:val="20"/>
        </w:rPr>
        <w:t>Účtovné metódy a všeobecné účtovné zásady boli účtovnou jednotkou konzistentne aplikované.</w:t>
      </w:r>
    </w:p>
    <w:p w:rsidR="004E3596" w:rsidRPr="009E6B72" w:rsidRDefault="00BE6374" w:rsidP="00BE6374">
      <w:pPr>
        <w:pStyle w:val="Zkladntext"/>
        <w:spacing w:after="120"/>
        <w:ind w:left="644"/>
        <w:rPr>
          <w:sz w:val="20"/>
        </w:rPr>
      </w:pPr>
      <w:r>
        <w:rPr>
          <w:sz w:val="20"/>
        </w:rPr>
        <w:t>Spoloč</w:t>
      </w:r>
      <w:r w:rsidR="004E3596" w:rsidRPr="009E6B72">
        <w:rPr>
          <w:sz w:val="20"/>
        </w:rPr>
        <w:t>nosti neboli poskytnuté žiadne dotácie.</w:t>
      </w:r>
    </w:p>
    <w:p w:rsidR="004E3596" w:rsidRPr="009E6B72" w:rsidRDefault="00BE6374" w:rsidP="00BE6374">
      <w:pPr>
        <w:pStyle w:val="Zkladntext"/>
        <w:spacing w:after="120"/>
        <w:ind w:left="644"/>
        <w:rPr>
          <w:sz w:val="20"/>
        </w:rPr>
      </w:pPr>
      <w:r>
        <w:rPr>
          <w:rFonts w:eastAsiaTheme="minorHAnsi"/>
          <w:sz w:val="20"/>
        </w:rPr>
        <w:t>Spoloč</w:t>
      </w:r>
      <w:r w:rsidR="004E3596" w:rsidRPr="009E6B72">
        <w:rPr>
          <w:rFonts w:eastAsiaTheme="minorHAnsi"/>
          <w:sz w:val="20"/>
        </w:rPr>
        <w:t>nosti nevznikli žiadne opravy chýb minulých účtovných období.</w:t>
      </w:r>
    </w:p>
    <w:p w:rsidR="00292406" w:rsidRPr="009E6B72" w:rsidRDefault="00292406" w:rsidP="009E6B72">
      <w:pPr>
        <w:pStyle w:val="Odsekzoznamu"/>
        <w:spacing w:after="120"/>
        <w:rPr>
          <w:rFonts w:ascii="Times New Roman" w:hAnsi="Times New Roman" w:cs="Times New Roman"/>
          <w:sz w:val="20"/>
          <w:szCs w:val="20"/>
        </w:rPr>
      </w:pPr>
    </w:p>
    <w:p w:rsidR="00292406" w:rsidRPr="009E6B72" w:rsidRDefault="00292406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Čl. IIL</w:t>
      </w:r>
    </w:p>
    <w:p w:rsidR="00292406" w:rsidRPr="009E6B72" w:rsidRDefault="00292406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9E6B72">
        <w:rPr>
          <w:rFonts w:ascii="Times New Roman" w:hAnsi="Times New Roman" w:cs="Times New Roman"/>
          <w:b/>
          <w:sz w:val="20"/>
          <w:szCs w:val="20"/>
        </w:rPr>
        <w:t>Informácie, ktoré vysvetľujú a dopĺňajú súvahu a výkaz ziskov a</w:t>
      </w:r>
      <w:r w:rsidR="009E6B72" w:rsidRPr="009E6B72">
        <w:rPr>
          <w:rFonts w:ascii="Times New Roman" w:hAnsi="Times New Roman" w:cs="Times New Roman"/>
          <w:b/>
          <w:sz w:val="20"/>
          <w:szCs w:val="20"/>
        </w:rPr>
        <w:t> </w:t>
      </w:r>
      <w:r w:rsidRPr="009E6B72">
        <w:rPr>
          <w:rFonts w:ascii="Times New Roman" w:hAnsi="Times New Roman" w:cs="Times New Roman"/>
          <w:b/>
          <w:sz w:val="20"/>
          <w:szCs w:val="20"/>
        </w:rPr>
        <w:t>strát</w:t>
      </w:r>
    </w:p>
    <w:p w:rsidR="009E6B72" w:rsidRPr="009E6B72" w:rsidRDefault="009E6B72" w:rsidP="009E6B72">
      <w:pPr>
        <w:spacing w:after="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92406" w:rsidRPr="009E6B72" w:rsidRDefault="002924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Spoločnosti nevznikli žiadne položky nákladov alebo výnosov, ktoré majú výnimočný rozsah alebo výskyt.</w:t>
      </w:r>
    </w:p>
    <w:p w:rsidR="00292406" w:rsidRPr="009E6B72" w:rsidRDefault="00292406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 xml:space="preserve">Spoločnosť neeviduje žiadne záväzky so zostatkovou dobou splatnosti dlhšou ako </w:t>
      </w:r>
      <w:r w:rsidR="0079593A" w:rsidRPr="009E6B72">
        <w:rPr>
          <w:rFonts w:ascii="Times New Roman" w:hAnsi="Times New Roman" w:cs="Times New Roman"/>
          <w:sz w:val="20"/>
          <w:szCs w:val="20"/>
        </w:rPr>
        <w:t>päť rokov.</w:t>
      </w:r>
    </w:p>
    <w:p w:rsidR="0079593A" w:rsidRPr="009E6B72" w:rsidRDefault="0079593A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 w:rsidRPr="009E6B72">
        <w:rPr>
          <w:rFonts w:ascii="Times New Roman" w:hAnsi="Times New Roman" w:cs="Times New Roman"/>
          <w:sz w:val="20"/>
          <w:szCs w:val="20"/>
        </w:rPr>
        <w:t>Spoločnosť neeviduje žiadne vlastné akcie.</w:t>
      </w:r>
    </w:p>
    <w:p w:rsidR="0079593A" w:rsidRDefault="00FC19A1" w:rsidP="009E6B72">
      <w:pPr>
        <w:pStyle w:val="Odsekzoznamu"/>
        <w:numPr>
          <w:ilvl w:val="0"/>
          <w:numId w:val="8"/>
        </w:numPr>
        <w:spacing w:after="120"/>
        <w:ind w:hanging="72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Poskytnuté </w:t>
      </w:r>
      <w:r w:rsidR="0079593A" w:rsidRPr="009E6B72">
        <w:rPr>
          <w:rFonts w:ascii="Times New Roman" w:hAnsi="Times New Roman" w:cs="Times New Roman"/>
          <w:sz w:val="20"/>
          <w:szCs w:val="20"/>
        </w:rPr>
        <w:t xml:space="preserve"> pôž</w:t>
      </w:r>
      <w:r>
        <w:rPr>
          <w:rFonts w:ascii="Times New Roman" w:hAnsi="Times New Roman" w:cs="Times New Roman"/>
          <w:sz w:val="20"/>
          <w:szCs w:val="20"/>
        </w:rPr>
        <w:t>ičky,  záruky ani iné zábezpeky orgánom spoločnosti.</w:t>
      </w:r>
    </w:p>
    <w:p w:rsidR="00FC19A1" w:rsidRPr="00BB0CD4" w:rsidRDefault="00FC19A1" w:rsidP="00FC19A1">
      <w:pPr>
        <w:ind w:left="1276"/>
        <w:jc w:val="both"/>
        <w:rPr>
          <w:rFonts w:ascii="Arial" w:eastAsia="Calibri" w:hAnsi="Arial" w:cs="Arial"/>
          <w:bCs/>
          <w:kern w:val="28"/>
          <w:sz w:val="20"/>
        </w:rPr>
      </w:pPr>
    </w:p>
    <w:tbl>
      <w:tblPr>
        <w:tblW w:w="953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537"/>
        <w:gridCol w:w="831"/>
        <w:gridCol w:w="1383"/>
      </w:tblGrid>
      <w:tr w:rsidR="00FC19A1" w:rsidRPr="00FC19A1" w:rsidTr="00BE6374">
        <w:tblPrEx>
          <w:tblCellMar>
            <w:top w:w="0" w:type="dxa"/>
            <w:bottom w:w="0" w:type="dxa"/>
          </w:tblCellMar>
        </w:tblPrEx>
        <w:trPr>
          <w:trHeight w:val="258"/>
        </w:trPr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</w:tcPr>
          <w:p w:rsidR="00FC19A1" w:rsidRPr="00FC19A1" w:rsidRDefault="00FC19A1" w:rsidP="00FC19A1">
            <w:pPr>
              <w:spacing w:after="0" w:line="240" w:lineRule="auto"/>
              <w:ind w:left="709"/>
              <w:jc w:val="both"/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  <w:tc>
          <w:tcPr>
            <w:tcW w:w="8971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FC19A1" w:rsidRPr="00FC19A1" w:rsidRDefault="00FC19A1" w:rsidP="002F5BE0">
            <w:pPr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FC19A1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Informácie o orgánoch účtovnej jednotky</w:t>
            </w:r>
          </w:p>
        </w:tc>
      </w:tr>
      <w:tr w:rsidR="00FC19A1" w:rsidRPr="00FC19A1" w:rsidTr="00BE637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538" w:type="dxa"/>
            <w:gridSpan w:val="5"/>
            <w:vAlign w:val="center"/>
          </w:tcPr>
          <w:p w:rsidR="00FC19A1" w:rsidRPr="00FC19A1" w:rsidRDefault="00FC19A1" w:rsidP="002F5BE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C19A1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pôžičky poskytnuté členom štatutárneho orgánu, dozorného orgánu a iného orgánu ÚJ</w:t>
            </w:r>
          </w:p>
        </w:tc>
      </w:tr>
      <w:tr w:rsidR="00FC19A1" w:rsidRPr="00FC19A1" w:rsidTr="00BE637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283"/>
        </w:trPr>
        <w:tc>
          <w:tcPr>
            <w:tcW w:w="5787" w:type="dxa"/>
            <w:gridSpan w:val="2"/>
            <w:tcBorders>
              <w:bottom w:val="single" w:sz="4" w:space="0" w:color="000000"/>
              <w:right w:val="single" w:sz="4" w:space="0" w:color="auto"/>
            </w:tcBorders>
            <w:vAlign w:val="center"/>
          </w:tcPr>
          <w:p w:rsidR="00FC19A1" w:rsidRPr="00FC19A1" w:rsidRDefault="00FC19A1" w:rsidP="002F5BE0">
            <w:pPr>
              <w:tabs>
                <w:tab w:val="left" w:pos="851"/>
              </w:tabs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C19A1">
              <w:rPr>
                <w:rFonts w:ascii="Times New Roman" w:eastAsia="Calibri" w:hAnsi="Times New Roman" w:cs="Times New Roman"/>
                <w:sz w:val="20"/>
                <w:szCs w:val="20"/>
              </w:rPr>
              <w:t>Celková suma poskytnutých pôžičiek k poslednému dňu ÚO. obdobia</w:t>
            </w:r>
          </w:p>
        </w:tc>
        <w:tc>
          <w:tcPr>
            <w:tcW w:w="1537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C19A1" w:rsidRPr="00FC19A1" w:rsidRDefault="00FC19A1" w:rsidP="002F5BE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C19A1">
              <w:rPr>
                <w:rFonts w:ascii="Times New Roman" w:eastAsia="Calibri" w:hAnsi="Times New Roman" w:cs="Times New Roman"/>
                <w:sz w:val="20"/>
                <w:szCs w:val="20"/>
              </w:rPr>
              <w:t>Štatutárny orgán</w:t>
            </w:r>
          </w:p>
        </w:tc>
        <w:tc>
          <w:tcPr>
            <w:tcW w:w="831" w:type="dxa"/>
            <w:tcBorders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C19A1" w:rsidRPr="00FC19A1" w:rsidRDefault="00FC19A1" w:rsidP="002F5BE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C19A1">
              <w:rPr>
                <w:rFonts w:ascii="Times New Roman" w:eastAsia="Calibri" w:hAnsi="Times New Roman" w:cs="Times New Roman"/>
                <w:sz w:val="20"/>
                <w:szCs w:val="20"/>
              </w:rPr>
              <w:t>Úrok v %</w:t>
            </w:r>
          </w:p>
        </w:tc>
        <w:tc>
          <w:tcPr>
            <w:tcW w:w="1383" w:type="dxa"/>
            <w:tcBorders>
              <w:left w:val="single" w:sz="4" w:space="0" w:color="auto"/>
              <w:bottom w:val="single" w:sz="4" w:space="0" w:color="000000"/>
            </w:tcBorders>
            <w:vAlign w:val="center"/>
          </w:tcPr>
          <w:p w:rsidR="00FC19A1" w:rsidRPr="00FC19A1" w:rsidRDefault="00FC19A1" w:rsidP="002F5BE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C19A1">
              <w:rPr>
                <w:rFonts w:ascii="Times New Roman" w:eastAsia="Calibri" w:hAnsi="Times New Roman" w:cs="Times New Roman"/>
                <w:sz w:val="20"/>
                <w:szCs w:val="20"/>
              </w:rPr>
              <w:t>EUR</w:t>
            </w:r>
          </w:p>
          <w:p w:rsidR="00FC19A1" w:rsidRPr="00FC19A1" w:rsidRDefault="00FC19A1" w:rsidP="002F5BE0">
            <w:pPr>
              <w:tabs>
                <w:tab w:val="left" w:pos="851"/>
              </w:tabs>
              <w:rPr>
                <w:rFonts w:ascii="Times New Roman" w:eastAsia="Calibri" w:hAnsi="Times New Roman" w:cs="Times New Roman"/>
                <w:sz w:val="20"/>
                <w:szCs w:val="20"/>
              </w:rPr>
            </w:pPr>
          </w:p>
        </w:tc>
      </w:tr>
      <w:tr w:rsidR="00FC19A1" w:rsidRPr="00FC19A1" w:rsidTr="00BE637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FC19A1" w:rsidRPr="00FC19A1" w:rsidRDefault="00FC19A1" w:rsidP="002F5BE0">
            <w:pPr>
              <w:tabs>
                <w:tab w:val="left" w:pos="851"/>
              </w:tabs>
              <w:rPr>
                <w:rFonts w:ascii="Times New Roman" w:eastAsia="Calibri" w:hAnsi="Times New Roman" w:cs="Times New Roman"/>
                <w:sz w:val="20"/>
                <w:szCs w:val="20"/>
              </w:rPr>
            </w:pPr>
            <w:proofErr w:type="spellStart"/>
            <w:r w:rsidRPr="00FC19A1">
              <w:rPr>
                <w:rFonts w:ascii="Times New Roman" w:hAnsi="Times New Roman" w:cs="Times New Roman"/>
                <w:sz w:val="20"/>
                <w:szCs w:val="20"/>
              </w:rPr>
              <w:t>Bucha</w:t>
            </w:r>
            <w:proofErr w:type="spellEnd"/>
            <w:r w:rsidRPr="00FC19A1">
              <w:rPr>
                <w:rFonts w:ascii="Times New Roman" w:hAnsi="Times New Roman" w:cs="Times New Roman"/>
                <w:sz w:val="20"/>
                <w:szCs w:val="20"/>
              </w:rPr>
              <w:t xml:space="preserve"> Tibor</w:t>
            </w:r>
          </w:p>
        </w:tc>
        <w:tc>
          <w:tcPr>
            <w:tcW w:w="153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9A1" w:rsidRPr="00FC19A1" w:rsidRDefault="00FC19A1" w:rsidP="002F5BE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C19A1">
              <w:rPr>
                <w:rFonts w:ascii="Times New Roman" w:hAnsi="Times New Roman" w:cs="Times New Roman"/>
                <w:sz w:val="20"/>
                <w:szCs w:val="20"/>
              </w:rPr>
              <w:t>spoločník</w:t>
            </w:r>
          </w:p>
        </w:tc>
        <w:tc>
          <w:tcPr>
            <w:tcW w:w="83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19A1" w:rsidRPr="00FC19A1" w:rsidRDefault="00FC19A1" w:rsidP="002F5BE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C19A1">
              <w:rPr>
                <w:rFonts w:ascii="Times New Roman" w:hAnsi="Times New Roman" w:cs="Times New Roman"/>
                <w:sz w:val="20"/>
                <w:szCs w:val="20"/>
              </w:rPr>
              <w:t>6%</w:t>
            </w:r>
          </w:p>
        </w:tc>
        <w:tc>
          <w:tcPr>
            <w:tcW w:w="138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FC19A1" w:rsidRPr="00FC19A1" w:rsidRDefault="00FC19A1" w:rsidP="002F5BE0">
            <w:pPr>
              <w:rPr>
                <w:rFonts w:ascii="Times New Roman" w:eastAsia="Calibri" w:hAnsi="Times New Roman" w:cs="Times New Roman"/>
                <w:sz w:val="20"/>
                <w:szCs w:val="20"/>
              </w:rPr>
            </w:pPr>
            <w:r w:rsidRPr="00FC19A1">
              <w:rPr>
                <w:rFonts w:ascii="Times New Roman" w:hAnsi="Times New Roman" w:cs="Times New Roman"/>
                <w:sz w:val="20"/>
                <w:szCs w:val="20"/>
              </w:rPr>
              <w:t>15000 EUR</w:t>
            </w:r>
          </w:p>
        </w:tc>
      </w:tr>
    </w:tbl>
    <w:p w:rsidR="00BE6374" w:rsidRDefault="00BE6374" w:rsidP="00BE6374">
      <w:pPr>
        <w:pStyle w:val="Zkladntext"/>
        <w:spacing w:after="120"/>
        <w:ind w:left="720"/>
        <w:rPr>
          <w:sz w:val="20"/>
        </w:rPr>
      </w:pPr>
    </w:p>
    <w:p w:rsidR="0079593A" w:rsidRPr="009E6B72" w:rsidRDefault="0079593A" w:rsidP="009E6B72">
      <w:pPr>
        <w:pStyle w:val="Zkladntext"/>
        <w:numPr>
          <w:ilvl w:val="0"/>
          <w:numId w:val="8"/>
        </w:numPr>
        <w:spacing w:after="120"/>
        <w:ind w:hanging="720"/>
        <w:rPr>
          <w:sz w:val="20"/>
        </w:rPr>
      </w:pPr>
      <w:r w:rsidRPr="009E6B72">
        <w:rPr>
          <w:sz w:val="20"/>
        </w:rPr>
        <w:t>Spoločnosť nemá ďalšie finančné povinnosti, ktoré sa nesledujú v bežnom účtovníctve a neuvádzajú v súvahe. Spoločnosť nemá ani ďalšie záväzky, ktoré sa nesledujú v bežnom účtovníctve a neuvádzajú sa v súvahe.</w:t>
      </w:r>
    </w:p>
    <w:p w:rsidR="00292406" w:rsidRPr="009E6B72" w:rsidRDefault="00292406" w:rsidP="00BE6374">
      <w:pPr>
        <w:pStyle w:val="Zkladntext"/>
        <w:spacing w:after="120"/>
        <w:ind w:left="0"/>
        <w:rPr>
          <w:sz w:val="20"/>
        </w:rPr>
      </w:pPr>
    </w:p>
    <w:sectPr w:rsidR="00292406" w:rsidRPr="009E6B72" w:rsidSect="0079593A">
      <w:headerReference w:type="default" r:id="rId8"/>
      <w:footerReference w:type="default" r:id="rId9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4D77" w:rsidRDefault="00664D77" w:rsidP="003A6B90">
      <w:pPr>
        <w:spacing w:after="0" w:line="240" w:lineRule="auto"/>
      </w:pPr>
      <w:r>
        <w:separator/>
      </w:r>
    </w:p>
  </w:endnote>
  <w:endnote w:type="continuationSeparator" w:id="0">
    <w:p w:rsidR="00664D77" w:rsidRDefault="00664D77" w:rsidP="003A6B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83341400"/>
      <w:docPartObj>
        <w:docPartGallery w:val="Page Numbers (Bottom of Page)"/>
        <w:docPartUnique/>
      </w:docPartObj>
    </w:sdtPr>
    <w:sdtContent>
      <w:p w:rsidR="003A6B90" w:rsidRDefault="00933A12">
        <w:pPr>
          <w:pStyle w:val="Pta"/>
          <w:jc w:val="center"/>
        </w:pPr>
        <w:r>
          <w:fldChar w:fldCharType="begin"/>
        </w:r>
        <w:r w:rsidR="003A6B90">
          <w:instrText>PAGE   \* MERGEFORMAT</w:instrText>
        </w:r>
        <w:r>
          <w:fldChar w:fldCharType="separate"/>
        </w:r>
        <w:r w:rsidR="00BE6374">
          <w:rPr>
            <w:noProof/>
          </w:rPr>
          <w:t>3</w:t>
        </w:r>
        <w:r>
          <w:fldChar w:fldCharType="end"/>
        </w:r>
      </w:p>
    </w:sdtContent>
  </w:sdt>
  <w:p w:rsidR="003A6B90" w:rsidRDefault="003A6B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4D77" w:rsidRDefault="00664D77" w:rsidP="003A6B90">
      <w:pPr>
        <w:spacing w:after="0" w:line="240" w:lineRule="auto"/>
      </w:pPr>
      <w:r>
        <w:separator/>
      </w:r>
    </w:p>
  </w:footnote>
  <w:footnote w:type="continuationSeparator" w:id="0">
    <w:p w:rsidR="00664D77" w:rsidRDefault="00664D77" w:rsidP="003A6B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12710" w:rsidRPr="00712710" w:rsidRDefault="00B27126">
    <w:pPr>
      <w:pStyle w:val="Hlavika"/>
      <w:rPr>
        <w:sz w:val="18"/>
        <w:szCs w:val="18"/>
      </w:rPr>
    </w:pPr>
    <w:r w:rsidRPr="00B27126">
      <w:rPr>
        <w:noProof/>
        <w:sz w:val="24"/>
        <w:szCs w:val="24"/>
        <w:bdr w:val="single" w:sz="4" w:space="0" w:color="auto"/>
        <w:lang w:eastAsia="sk-SK"/>
      </w:rPr>
      <w:t>Poznámky Úč M</w:t>
    </w:r>
    <w:r>
      <w:rPr>
        <w:noProof/>
        <w:sz w:val="24"/>
        <w:szCs w:val="24"/>
        <w:bdr w:val="single" w:sz="4" w:space="0" w:color="auto"/>
        <w:lang w:eastAsia="sk-SK"/>
      </w:rPr>
      <w:t>Ú</w:t>
    </w:r>
    <w:r w:rsidRPr="00B27126">
      <w:rPr>
        <w:noProof/>
        <w:sz w:val="24"/>
        <w:szCs w:val="24"/>
        <w:bdr w:val="single" w:sz="4" w:space="0" w:color="auto"/>
        <w:lang w:eastAsia="sk-SK"/>
      </w:rPr>
      <w:t>J 3 - 01</w:t>
    </w:r>
    <w:r w:rsidR="00712710" w:rsidRPr="00D73CF5">
      <w:rPr>
        <w:i/>
        <w:sz w:val="18"/>
        <w:szCs w:val="18"/>
      </w:rPr>
      <w:tab/>
    </w:r>
    <w:r w:rsidR="0078376F">
      <w:rPr>
        <w:i/>
        <w:sz w:val="18"/>
        <w:szCs w:val="18"/>
      </w:rPr>
      <w:tab/>
    </w:r>
    <w:r w:rsidR="00FC19A1">
      <w:rPr>
        <w:i/>
        <w:sz w:val="18"/>
        <w:szCs w:val="18"/>
      </w:rPr>
      <w:t>DIČ: 2022511062</w:t>
    </w:r>
    <w:r w:rsidR="0078376F">
      <w:rPr>
        <w:i/>
        <w:sz w:val="18"/>
        <w:szCs w:val="18"/>
      </w:rPr>
      <w:t xml:space="preserve">  IČO: </w:t>
    </w:r>
    <w:r w:rsidR="00FC19A1">
      <w:rPr>
        <w:i/>
        <w:sz w:val="18"/>
        <w:szCs w:val="18"/>
      </w:rPr>
      <w:t>43903240</w:t>
    </w:r>
    <w:r w:rsidR="00712710" w:rsidRPr="00D73CF5">
      <w:rPr>
        <w:i/>
        <w:sz w:val="18"/>
        <w:szCs w:val="18"/>
      </w:rPr>
      <w:tab/>
    </w:r>
    <w:r w:rsidR="00712710">
      <w:rPr>
        <w:sz w:val="18"/>
        <w:szCs w:val="18"/>
      </w:rPr>
      <w:tab/>
    </w:r>
    <w:r w:rsidR="00712710">
      <w:rPr>
        <w:sz w:val="18"/>
        <w:szCs w:val="18"/>
      </w:rPr>
      <w:tab/>
    </w:r>
    <w:r w:rsidR="00712710">
      <w:rPr>
        <w:sz w:val="18"/>
        <w:szCs w:val="18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21"/>
    <w:multiLevelType w:val="singleLevel"/>
    <w:tmpl w:val="00000021"/>
    <w:lvl w:ilvl="0">
      <w:start w:val="1"/>
      <w:numFmt w:val="bullet"/>
      <w:lvlText w:val=""/>
      <w:lvlJc w:val="left"/>
      <w:pPr>
        <w:tabs>
          <w:tab w:val="num" w:pos="283"/>
        </w:tabs>
      </w:pPr>
      <w:rPr>
        <w:rFonts w:ascii="Symbol" w:hAnsi="Symbol"/>
      </w:rPr>
    </w:lvl>
  </w:abstractNum>
  <w:abstractNum w:abstractNumId="1">
    <w:nsid w:val="0050273C"/>
    <w:multiLevelType w:val="hybridMultilevel"/>
    <w:tmpl w:val="C8EEE592"/>
    <w:lvl w:ilvl="0" w:tplc="E024729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6A17E43"/>
    <w:multiLevelType w:val="hybridMultilevel"/>
    <w:tmpl w:val="21562860"/>
    <w:lvl w:ilvl="0" w:tplc="1F2C4A2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A93292B"/>
    <w:multiLevelType w:val="hybridMultilevel"/>
    <w:tmpl w:val="59822BF4"/>
    <w:lvl w:ilvl="0" w:tplc="47063130">
      <w:start w:val="1"/>
      <w:numFmt w:val="decimal"/>
      <w:lvlText w:val="(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6107CB"/>
    <w:multiLevelType w:val="hybridMultilevel"/>
    <w:tmpl w:val="1DCEB3C6"/>
    <w:lvl w:ilvl="0" w:tplc="DACEC1F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C162C61"/>
    <w:multiLevelType w:val="hybridMultilevel"/>
    <w:tmpl w:val="E042D846"/>
    <w:lvl w:ilvl="0" w:tplc="5CCC572E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8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9">
    <w:nsid w:val="64387A82"/>
    <w:multiLevelType w:val="hybridMultilevel"/>
    <w:tmpl w:val="C8D419BA"/>
    <w:lvl w:ilvl="0" w:tplc="57C6C9E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6A35581"/>
    <w:multiLevelType w:val="hybridMultilevel"/>
    <w:tmpl w:val="E76EF6D0"/>
    <w:lvl w:ilvl="0" w:tplc="C92C18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70B4FD1"/>
    <w:multiLevelType w:val="hybridMultilevel"/>
    <w:tmpl w:val="633A3FE8"/>
    <w:lvl w:ilvl="0" w:tplc="75583B96">
      <w:numFmt w:val="bullet"/>
      <w:lvlText w:val="-"/>
      <w:lvlJc w:val="left"/>
      <w:pPr>
        <w:ind w:left="928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"/>
  </w:num>
  <w:num w:numId="2">
    <w:abstractNumId w:val="10"/>
  </w:num>
  <w:num w:numId="3">
    <w:abstractNumId w:val="6"/>
  </w:num>
  <w:num w:numId="4">
    <w:abstractNumId w:val="12"/>
  </w:num>
  <w:num w:numId="5">
    <w:abstractNumId w:val="4"/>
  </w:num>
  <w:num w:numId="6">
    <w:abstractNumId w:val="2"/>
  </w:num>
  <w:num w:numId="7">
    <w:abstractNumId w:val="5"/>
  </w:num>
  <w:num w:numId="8">
    <w:abstractNumId w:val="3"/>
  </w:num>
  <w:num w:numId="9">
    <w:abstractNumId w:val="7"/>
  </w:num>
  <w:num w:numId="10">
    <w:abstractNumId w:val="9"/>
  </w:num>
  <w:num w:numId="11">
    <w:abstractNumId w:val="0"/>
  </w:num>
  <w:num w:numId="12">
    <w:abstractNumId w:val="11"/>
  </w:num>
  <w:num w:numId="13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rsids>
    <w:rsidRoot w:val="009A119A"/>
    <w:rsid w:val="000B5895"/>
    <w:rsid w:val="000C47B7"/>
    <w:rsid w:val="00142F52"/>
    <w:rsid w:val="00176A7C"/>
    <w:rsid w:val="001B0691"/>
    <w:rsid w:val="00277C7D"/>
    <w:rsid w:val="00280D89"/>
    <w:rsid w:val="002911C8"/>
    <w:rsid w:val="00292406"/>
    <w:rsid w:val="002B2333"/>
    <w:rsid w:val="002B703D"/>
    <w:rsid w:val="00335FB6"/>
    <w:rsid w:val="003A6B90"/>
    <w:rsid w:val="003C2EDD"/>
    <w:rsid w:val="00410CBE"/>
    <w:rsid w:val="004B76EF"/>
    <w:rsid w:val="004E3596"/>
    <w:rsid w:val="0053531B"/>
    <w:rsid w:val="005527B1"/>
    <w:rsid w:val="00641C9F"/>
    <w:rsid w:val="00664D77"/>
    <w:rsid w:val="00712710"/>
    <w:rsid w:val="0078376F"/>
    <w:rsid w:val="0079593A"/>
    <w:rsid w:val="007A2CC1"/>
    <w:rsid w:val="008239BE"/>
    <w:rsid w:val="0086333B"/>
    <w:rsid w:val="00867921"/>
    <w:rsid w:val="00933A12"/>
    <w:rsid w:val="0099553C"/>
    <w:rsid w:val="009A119A"/>
    <w:rsid w:val="009E6B72"/>
    <w:rsid w:val="00A4222F"/>
    <w:rsid w:val="00B04BC2"/>
    <w:rsid w:val="00B16265"/>
    <w:rsid w:val="00B27126"/>
    <w:rsid w:val="00BE6374"/>
    <w:rsid w:val="00C7557F"/>
    <w:rsid w:val="00D109E9"/>
    <w:rsid w:val="00D2051C"/>
    <w:rsid w:val="00D46EF9"/>
    <w:rsid w:val="00D609F7"/>
    <w:rsid w:val="00D73CF5"/>
    <w:rsid w:val="00DC3C22"/>
    <w:rsid w:val="00E821E1"/>
    <w:rsid w:val="00E83F11"/>
    <w:rsid w:val="00ED18D8"/>
    <w:rsid w:val="00EE5223"/>
    <w:rsid w:val="00F15A86"/>
    <w:rsid w:val="00F914A4"/>
    <w:rsid w:val="00FC19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0C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19A"/>
    <w:pPr>
      <w:ind w:left="720"/>
      <w:contextualSpacing/>
    </w:pPr>
  </w:style>
  <w:style w:type="paragraph" w:styleId="Zkladntext">
    <w:name w:val="Body Text"/>
    <w:basedOn w:val="Normlny"/>
    <w:link w:val="ZkladntextChar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E5223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EE5223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E522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6B90"/>
  </w:style>
  <w:style w:type="paragraph" w:styleId="Pta">
    <w:name w:val="footer"/>
    <w:basedOn w:val="Normlny"/>
    <w:link w:val="Pt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6B90"/>
  </w:style>
  <w:style w:type="paragraph" w:styleId="Textbubliny">
    <w:name w:val="Balloon Text"/>
    <w:basedOn w:val="Normlny"/>
    <w:link w:val="TextbublinyChar"/>
    <w:uiPriority w:val="99"/>
    <w:semiHidden/>
    <w:unhideWhenUsed/>
    <w:rsid w:val="00D73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3CF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19A"/>
    <w:pPr>
      <w:ind w:left="720"/>
      <w:contextualSpacing/>
    </w:pPr>
  </w:style>
  <w:style w:type="paragraph" w:styleId="Zkladntext">
    <w:name w:val="Body Text"/>
    <w:basedOn w:val="Normlny"/>
    <w:link w:val="ZkladntextChar"/>
    <w:rsid w:val="00EE5223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EE5223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EE5223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EE5223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A6B90"/>
  </w:style>
  <w:style w:type="paragraph" w:styleId="Pta">
    <w:name w:val="footer"/>
    <w:basedOn w:val="Normlny"/>
    <w:link w:val="PtaChar"/>
    <w:uiPriority w:val="99"/>
    <w:unhideWhenUsed/>
    <w:rsid w:val="003A6B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A6B90"/>
  </w:style>
  <w:style w:type="paragraph" w:styleId="Textbubliny">
    <w:name w:val="Balloon Text"/>
    <w:basedOn w:val="Normlny"/>
    <w:link w:val="TextbublinyChar"/>
    <w:uiPriority w:val="99"/>
    <w:semiHidden/>
    <w:unhideWhenUsed/>
    <w:rsid w:val="00D73C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3CF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57419C-E104-44BE-BA4B-F620A0FC16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1136</Words>
  <Characters>6480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Vandlíčková</dc:creator>
  <cp:lastModifiedBy>ivetka</cp:lastModifiedBy>
  <cp:revision>3</cp:revision>
  <cp:lastPrinted>2015-02-11T10:23:00Z</cp:lastPrinted>
  <dcterms:created xsi:type="dcterms:W3CDTF">2018-04-02T20:25:00Z</dcterms:created>
  <dcterms:modified xsi:type="dcterms:W3CDTF">2018-04-02T20:50:00Z</dcterms:modified>
</cp:coreProperties>
</file>