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4A2" w:rsidRDefault="00CB5B24">
      <w:r>
        <w:t>Poznámky k účtovnej závierke za rok 2017.</w:t>
      </w:r>
    </w:p>
    <w:p w:rsidR="00CB5B24" w:rsidRDefault="00CB5B24">
      <w:r>
        <w:t>Čl.1</w:t>
      </w:r>
    </w:p>
    <w:p w:rsidR="00CB5B24" w:rsidRDefault="00CB5B24">
      <w:r>
        <w:t>Všeobecné údaje</w:t>
      </w:r>
    </w:p>
    <w:p w:rsidR="00CB5B24" w:rsidRDefault="00CB5B24">
      <w:r>
        <w:t>Názov právnickej osoby: MIXON a.s.</w:t>
      </w:r>
    </w:p>
    <w:p w:rsidR="00CB5B24" w:rsidRDefault="00CB5B24">
      <w:r>
        <w:t>Sídlo: Štefánikova 44, 07101 Michalovce</w:t>
      </w:r>
    </w:p>
    <w:p w:rsidR="00CB5B24" w:rsidRDefault="00CB5B24">
      <w:r>
        <w:t>MIXON a.s. nie je súčasťou konsolidovaného celku.</w:t>
      </w:r>
    </w:p>
    <w:p w:rsidR="00CB5B24" w:rsidRDefault="00CB5B24">
      <w:r>
        <w:t>Čl.2</w:t>
      </w:r>
    </w:p>
    <w:p w:rsidR="00CB5B24" w:rsidRDefault="00CB5B24">
      <w:r>
        <w:t>Informácie o prijatých postupoch</w:t>
      </w:r>
    </w:p>
    <w:p w:rsidR="00CB5B24" w:rsidRDefault="00CB5B24">
      <w:r>
        <w:t>Účtovná závierka je zostavená za splnenia predpokladu, že spoločnosť MIXON a.s. bude nepretržite pokračovať vo svojej činnosti.</w:t>
      </w:r>
    </w:p>
    <w:p w:rsidR="00CB5B24" w:rsidRDefault="00CB5B24">
      <w:r>
        <w:t>Spôsob oceňovania jednotlivých položiek majetku a záväzkov:</w:t>
      </w:r>
    </w:p>
    <w:p w:rsidR="00CB5B24" w:rsidRDefault="00CB5B24">
      <w:r>
        <w:t>Dlhodobého hmotného aj nehmotného majetku obstarávacou cenou</w:t>
      </w:r>
    </w:p>
    <w:p w:rsidR="00CB5B24" w:rsidRDefault="00CB5B24">
      <w:r>
        <w:t>Zásob – obstarávacou cenou</w:t>
      </w:r>
    </w:p>
    <w:p w:rsidR="00CB5B24" w:rsidRDefault="00CB5B24">
      <w:r>
        <w:t>Pohľadávok a záväzkov – pri vzniku menovitou hodnotou</w:t>
      </w:r>
    </w:p>
    <w:p w:rsidR="00CB5B24" w:rsidRDefault="00CB5B24">
      <w:r>
        <w:t>Odpisy majetku</w:t>
      </w:r>
    </w:p>
    <w:p w:rsidR="00CB5B24" w:rsidRDefault="00CB5B24">
      <w:r>
        <w:t>Nehnuteľnosť – 40 rokov – sadzba – 2,5 % - rovnomerne</w:t>
      </w:r>
    </w:p>
    <w:p w:rsidR="00A23BD4" w:rsidRDefault="00CB5B24">
      <w:r>
        <w:t xml:space="preserve">Samostatné </w:t>
      </w:r>
      <w:proofErr w:type="spellStart"/>
      <w:r>
        <w:t>hnutelné</w:t>
      </w:r>
      <w:proofErr w:type="spellEnd"/>
      <w:r>
        <w:t xml:space="preserve"> veci – 4 roky – 25% - ROVNOMERNE</w:t>
      </w:r>
    </w:p>
    <w:p w:rsidR="00A23BD4" w:rsidRDefault="00A23BD4">
      <w:r>
        <w:t>Čl.3</w:t>
      </w:r>
    </w:p>
    <w:p w:rsidR="00A23BD4" w:rsidRDefault="00A23BD4">
      <w:r>
        <w:t xml:space="preserve">Poskytnuté pôžičky – </w:t>
      </w:r>
      <w:proofErr w:type="spellStart"/>
      <w:r>
        <w:t>Incanto</w:t>
      </w:r>
      <w:proofErr w:type="spellEnd"/>
      <w:r>
        <w:t xml:space="preserve"> a.s – 1092860,20 Eur</w:t>
      </w:r>
    </w:p>
    <w:p w:rsidR="00A23BD4" w:rsidRDefault="00A23BD4"/>
    <w:p w:rsidR="00CB5B24" w:rsidRDefault="00A23BD4">
      <w:r>
        <w:t>Bratislava 29.03.2018</w:t>
      </w:r>
      <w:bookmarkStart w:id="0" w:name="_GoBack"/>
      <w:bookmarkEnd w:id="0"/>
      <w:r w:rsidR="00CB5B24">
        <w:t xml:space="preserve"> </w:t>
      </w:r>
    </w:p>
    <w:p w:rsidR="00CB5B24" w:rsidRDefault="00CB5B24"/>
    <w:sectPr w:rsidR="00CB5B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B24"/>
    <w:rsid w:val="004334A2"/>
    <w:rsid w:val="00A23BD4"/>
    <w:rsid w:val="00CB5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1</cp:revision>
  <dcterms:created xsi:type="dcterms:W3CDTF">2018-03-29T11:46:00Z</dcterms:created>
  <dcterms:modified xsi:type="dcterms:W3CDTF">2018-03-29T12:00:00Z</dcterms:modified>
</cp:coreProperties>
</file>