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8B0DAC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5</w:t>
            </w:r>
          </w:p>
        </w:tc>
      </w:tr>
    </w:tbl>
    <w:p w:rsidR="008B0DAC" w:rsidRDefault="00C07835">
      <w:pPr>
        <w:tabs>
          <w:tab w:val="center" w:pos="6293"/>
        </w:tabs>
        <w:spacing w:after="452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:rsidR="008B0DAC" w:rsidRDefault="00C07835">
      <w:pPr>
        <w:spacing w:after="862" w:line="265" w:lineRule="auto"/>
        <w:ind w:left="-5"/>
      </w:pPr>
      <w:r>
        <w:rPr>
          <w:b/>
          <w:sz w:val="24"/>
        </w:rPr>
        <w:t>Čl. I Všeobecné údaje o účtovnej jednotke</w:t>
      </w:r>
    </w:p>
    <w:p w:rsidR="008B0DAC" w:rsidRDefault="00C07835">
      <w:pPr>
        <w:pStyle w:val="Nadpis1"/>
        <w:spacing w:after="109"/>
        <w:ind w:left="-5"/>
      </w:pPr>
      <w:r>
        <w:t>Čl. I (1) , (3) Všeobecné údaje</w:t>
      </w:r>
    </w:p>
    <w:p w:rsidR="008B0DAC" w:rsidRDefault="00C07835">
      <w:pPr>
        <w:ind w:left="10" w:right="2439"/>
      </w:pPr>
      <w:r>
        <w:t xml:space="preserve">Spoločnosť KĽUČKA </w:t>
      </w:r>
      <w:proofErr w:type="spellStart"/>
      <w:r>
        <w:t>s.r.o</w:t>
      </w:r>
      <w:proofErr w:type="spellEnd"/>
      <w:r>
        <w:t>. bola založená a do obchodného registra Okresného súdu Žilina bola zapísaná dňa 24.11.2011. Hlavnými činnosťami spoločnosti sú:</w:t>
      </w:r>
    </w:p>
    <w:p w:rsidR="008B0DAC" w:rsidRDefault="00C07835">
      <w:pPr>
        <w:numPr>
          <w:ilvl w:val="0"/>
          <w:numId w:val="1"/>
        </w:numPr>
        <w:ind w:hanging="86"/>
      </w:pPr>
      <w:r>
        <w:t>kúpa tovaru na účely jeho predaja konečnému spotrebiteľovi</w:t>
      </w:r>
    </w:p>
    <w:p w:rsidR="008B0DAC" w:rsidRDefault="00C07835">
      <w:pPr>
        <w:numPr>
          <w:ilvl w:val="0"/>
          <w:numId w:val="1"/>
        </w:numPr>
        <w:ind w:hanging="86"/>
      </w:pPr>
      <w:r>
        <w:t>internetový obchod</w:t>
      </w:r>
    </w:p>
    <w:p w:rsidR="008B0DAC" w:rsidRDefault="00C07835">
      <w:pPr>
        <w:numPr>
          <w:ilvl w:val="0"/>
          <w:numId w:val="1"/>
        </w:numPr>
        <w:spacing w:after="377"/>
        <w:ind w:hanging="86"/>
      </w:pPr>
      <w:r>
        <w:t>s týmto obchodom súvisiace</w:t>
      </w:r>
      <w:r>
        <w:t xml:space="preserve"> služby</w:t>
      </w:r>
    </w:p>
    <w:p w:rsidR="008B0DAC" w:rsidRDefault="00C07835">
      <w:pPr>
        <w:spacing w:after="535"/>
        <w:ind w:left="0" w:right="5948" w:firstLine="3571"/>
      </w:pPr>
      <w:r>
        <w:t xml:space="preserve">KĽUČKA </w:t>
      </w:r>
      <w:proofErr w:type="spellStart"/>
      <w:r>
        <w:t>s.r.o</w:t>
      </w:r>
      <w:proofErr w:type="spellEnd"/>
      <w:r>
        <w:t>. Čl. I (1) Obchodné meno účtovnej jednotky:</w:t>
      </w:r>
    </w:p>
    <w:p w:rsidR="008B0DAC" w:rsidRDefault="00C07835">
      <w:pPr>
        <w:spacing w:after="520"/>
        <w:ind w:left="2318" w:right="4947" w:firstLine="1253"/>
      </w:pPr>
      <w:r>
        <w:t>Radoľa 454, 02336, Radoľa Sídlo:</w:t>
      </w:r>
    </w:p>
    <w:p w:rsidR="008B0DAC" w:rsidRDefault="00C07835">
      <w:pPr>
        <w:spacing w:after="337"/>
        <w:ind w:left="0" w:right="6781" w:firstLine="3571"/>
      </w:pPr>
      <w:r>
        <w:t>6 Čl. I (3) Priemerný počet zamestnancov:</w:t>
      </w:r>
    </w:p>
    <w:p w:rsidR="008B0DAC" w:rsidRDefault="00C07835">
      <w:pPr>
        <w:spacing w:after="862" w:line="265" w:lineRule="auto"/>
        <w:ind w:left="-5"/>
      </w:pPr>
      <w:r>
        <w:rPr>
          <w:b/>
          <w:sz w:val="24"/>
        </w:rPr>
        <w:t>Čl. II Informácie o prijatých postupoch</w:t>
      </w:r>
    </w:p>
    <w:p w:rsidR="008B0DAC" w:rsidRDefault="00C07835">
      <w:pPr>
        <w:pStyle w:val="Nadpis1"/>
        <w:ind w:left="-5"/>
      </w:pPr>
      <w:r>
        <w:t>Čl. II (1) Nepretržité pokračovanie účtovnej jednotky</w:t>
      </w:r>
    </w:p>
    <w:p w:rsidR="008B0DAC" w:rsidRDefault="00C07835">
      <w:pPr>
        <w:spacing w:after="311"/>
        <w:ind w:left="10"/>
      </w:pPr>
      <w:r>
        <w:t>Čl. II (1) Účtovná uzávierka je zostavená za splnenie predpokladu, že účtovná jednotka bude nepretržite pokračovať vo svojej činnosti:</w:t>
      </w:r>
    </w:p>
    <w:p w:rsidR="008B0DAC" w:rsidRDefault="00C07835">
      <w:pPr>
        <w:tabs>
          <w:tab w:val="center" w:pos="784"/>
          <w:tab w:val="center" w:pos="226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098" name="Group 50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5945" name="Shape 59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46" name="Shape 59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098" style="width:9.75pt;height:9.75pt;mso-position-horizontal-relative:char;mso-position-vertical-relative:line" coordsize="1238,1238">
                <v:shape id="Shape 59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099" name="Group 5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5949" name="Shape 59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0" name="Shape 59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099" style="width:9.75pt;height:9.75pt;mso-position-horizontal-relative:char;mso-position-vertical-relative:line" coordsize="1238,1238">
                <v:shape id="Shape 59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8B0DAC" w:rsidRDefault="00C07835">
      <w:pPr>
        <w:pStyle w:val="Nadpis1"/>
        <w:ind w:left="-5"/>
      </w:pPr>
      <w:r>
        <w:t>Čl. II (2) Spôsob oceňovania jednotlivých položiek majetku a záväzkov</w:t>
      </w:r>
    </w:p>
    <w:p w:rsidR="008B0DAC" w:rsidRDefault="00C07835">
      <w:pPr>
        <w:spacing w:after="173"/>
        <w:ind w:left="10"/>
      </w:pPr>
      <w:r>
        <w:t>Čl. II (2) Spôsob oceňovania jednotliv</w:t>
      </w:r>
      <w:r>
        <w:t>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0DAC">
        <w:trPr>
          <w:trHeight w:val="337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7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0DAC">
        <w:trPr>
          <w:trHeight w:val="304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r>
              <w:t>Nominálnou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proofErr w:type="spellStart"/>
            <w:r>
              <w:t>Obstaravácia</w:t>
            </w:r>
            <w:proofErr w:type="spellEnd"/>
            <w:r>
              <w:t xml:space="preserve"> cena + doprava</w:t>
            </w: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r>
              <w:t>Nominálnou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proofErr w:type="spellStart"/>
            <w:r>
              <w:t>Obstaravácia</w:t>
            </w:r>
            <w:proofErr w:type="spellEnd"/>
            <w:r>
              <w:t xml:space="preserve"> cena + doprava</w:t>
            </w: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r>
              <w:t>Nominálnou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r>
              <w:t>Nominálnou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proofErr w:type="spellStart"/>
            <w:r>
              <w:t>Obstaravácia</w:t>
            </w:r>
            <w:proofErr w:type="spellEnd"/>
            <w:r>
              <w:t xml:space="preserve"> cena + doprava</w:t>
            </w: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r>
              <w:t>Nominálnou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11" w:firstLine="0"/>
            </w:pPr>
            <w:proofErr w:type="spellStart"/>
            <w:r>
              <w:t>Obstaravácia</w:t>
            </w:r>
            <w:proofErr w:type="spellEnd"/>
            <w:r>
              <w:t xml:space="preserve"> cena + doprava</w:t>
            </w:r>
          </w:p>
        </w:tc>
      </w:tr>
      <w:tr w:rsidR="008B0DAC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</w:tr>
    </w:tbl>
    <w:p w:rsidR="008B0DAC" w:rsidRDefault="00C07835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8B0DAC" w:rsidRDefault="00C07835">
      <w:pPr>
        <w:spacing w:after="401"/>
        <w:ind w:left="10"/>
      </w:pPr>
      <w:r>
        <w:t>Čl. II (2) Spôsob oceňovania jednotlivých položiek majetku a záväzkov (účtovanie a úbytok zásob)</w:t>
      </w:r>
    </w:p>
    <w:p w:rsidR="008B0DAC" w:rsidRDefault="00C07835">
      <w:pPr>
        <w:spacing w:after="359"/>
        <w:ind w:left="10"/>
      </w:pPr>
      <w:r>
        <w:t>Pri účtovaní zásob postupovala účtovná jednotka podľa § 43 postupov účtovania v PÚ:</w:t>
      </w:r>
    </w:p>
    <w:p w:rsidR="008B0DAC" w:rsidRDefault="00C07835">
      <w:pPr>
        <w:spacing w:after="265" w:line="537" w:lineRule="auto"/>
        <w:ind w:left="615" w:right="7296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4"/>
                <wp:effectExtent l="0" t="0" r="0" b="0"/>
                <wp:wrapSquare wrapText="bothSides"/>
                <wp:docPr id="5100" name="Group 51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4"/>
                          <a:chOff x="0" y="0"/>
                          <a:chExt cx="123825" cy="352424"/>
                        </a:xfrm>
                      </wpg:grpSpPr>
                      <wps:wsp>
                        <wps:cNvPr id="5953" name="Shape 5953"/>
                        <wps:cNvSpPr/>
                        <wps:spPr>
                          <a:xfrm>
                            <a:off x="0" y="228600"/>
                            <a:ext cx="123825" cy="123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4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4"/>
                                </a:lnTo>
                                <a:lnTo>
                                  <a:pt x="0" y="123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4" name="Shape 5954"/>
                        <wps:cNvSpPr/>
                        <wps:spPr>
                          <a:xfrm>
                            <a:off x="9525" y="238125"/>
                            <a:ext cx="104775" cy="1047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4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4"/>
                                </a:lnTo>
                                <a:lnTo>
                                  <a:pt x="0" y="1047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27517" y="256115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5" name="Shape 595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6" name="Shape 595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100" style="width:9.75pt;height:27.7499pt;position:absolute;mso-position-horizontal-relative:text;mso-position-horizontal:absolute;margin-left:30.24pt;mso-position-vertical-relative:text;margin-top:-0.964844pt;" coordsize="1238,3524">
                <v:shape id="Shape 5957" style="position:absolute;width:1238;height:1238;left:0;top:2286;" coordsize="123825,123824" path="m0,0l123825,0l123825,123824l0,123824l0,0">
                  <v:stroke weight="0pt" endcap="flat" joinstyle="miter" miterlimit="10" on="false" color="#000000" opacity="0"/>
                  <v:fill on="true" color="#808080"/>
                </v:shape>
                <v:shape id="Shape 5958" style="position:absolute;width:1047;height:1047;left:95;top:2381;" coordsize="104775,104774" path="m0,0l104775,0l104775,104774l0,104774l0,0">
                  <v:stroke weight="0pt" endcap="flat" joinstyle="miter" miterlimit="10" on="false" color="#000000" opacity="0"/>
                  <v:fill on="true" color="#ffffff"/>
                </v:shape>
                <v:shape id="Shape 206" style="position:absolute;width:687;height:687;left:275;top:2561;" coordsize="68791,68792" path="m68791,0l68791,27517l27516,68792l0,41275l0,13760l27516,41275l68791,0x">
                  <v:stroke weight="0pt" endcap="flat" joinstyle="miter" miterlimit="10" on="false" color="#000000" opacity="0"/>
                  <v:fill on="true" color="#000000"/>
                </v:shape>
                <v:shape id="Shape 59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8B0DAC" w:rsidRDefault="00C07835">
      <w:pPr>
        <w:spacing w:line="259" w:lineRule="auto"/>
        <w:ind w:left="0" w:right="1716" w:firstLine="0"/>
        <w:jc w:val="right"/>
      </w:pPr>
      <w:r>
        <w:rPr>
          <w:sz w:val="16"/>
        </w:rPr>
        <w:t>Strana: 1</w:t>
      </w:r>
    </w:p>
    <w:p w:rsidR="008B0DAC" w:rsidRDefault="00C07835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</w:t>
      </w:r>
      <w:r>
        <w:rPr>
          <w:sz w:val="12"/>
        </w:rPr>
        <w:t>ga</w:t>
      </w:r>
    </w:p>
    <w:tbl>
      <w:tblPr>
        <w:tblStyle w:val="TableGrid"/>
        <w:tblpPr w:vertAnchor="text" w:tblpX="8" w:tblpY="-80"/>
        <w:tblOverlap w:val="never"/>
        <w:tblW w:w="2865" w:type="dxa"/>
        <w:tblInd w:w="0" w:type="dxa"/>
        <w:tblCellMar>
          <w:top w:w="80" w:type="dxa"/>
          <w:left w:w="5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8B0DAC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8B0DAC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8" w:firstLine="0"/>
              <w:jc w:val="both"/>
            </w:pPr>
            <w:r>
              <w:t>5</w:t>
            </w:r>
          </w:p>
        </w:tc>
      </w:tr>
    </w:tbl>
    <w:p w:rsidR="008B0DAC" w:rsidRDefault="00C07835">
      <w:pPr>
        <w:spacing w:after="284" w:line="265" w:lineRule="auto"/>
        <w:ind w:left="18"/>
        <w:jc w:val="center"/>
      </w:pPr>
      <w:r>
        <w:t>IČO</w:t>
      </w:r>
    </w:p>
    <w:p w:rsidR="008B0DAC" w:rsidRDefault="00C07835">
      <w:pPr>
        <w:spacing w:after="402"/>
        <w:ind w:left="10"/>
      </w:pPr>
      <w:r>
        <w:t>Úbytok zásob rovnakého druhu účtovná jednotka oceňovala:</w:t>
      </w:r>
    </w:p>
    <w:p w:rsidR="008B0DAC" w:rsidRDefault="00C07835">
      <w:pPr>
        <w:spacing w:after="111" w:line="569" w:lineRule="auto"/>
        <w:ind w:left="615" w:right="3381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5413" name="Group 54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5961" name="Shape 5961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2" name="Shape 5962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3" name="Shape 59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4" name="Shape 59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5" name="Shape 596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6" name="Shape 596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413" style="width:9.75pt;height:47.91pt;position:absolute;mso-position-horizontal-relative:text;mso-position-horizontal:absolute;margin-left:30.24pt;mso-position-vertical-relative:text;margin-top:-0.964844pt;" coordsize="1238,6084">
                <v:shape id="Shape 5967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68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596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7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597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7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13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8B0DAC" w:rsidRDefault="00C07835">
      <w:pPr>
        <w:pStyle w:val="Nadpis1"/>
        <w:ind w:left="-5"/>
      </w:pPr>
      <w:r>
        <w:t>Čl. II (3) Spôsob zostavenia odpisového plánu pre jednotlivé druh</w:t>
      </w:r>
      <w:r>
        <w:t>y dlhodobého majetku</w:t>
      </w:r>
    </w:p>
    <w:p w:rsidR="008B0DAC" w:rsidRDefault="00C07835">
      <w:pPr>
        <w:spacing w:after="199"/>
        <w:ind w:left="10"/>
      </w:pPr>
      <w:r>
        <w:t>Čl. II (3) Spôsob zostavenia odpisového plánu pre jednotlivé druhy dlhodobého majetku</w:t>
      </w:r>
    </w:p>
    <w:p w:rsidR="008B0DAC" w:rsidRDefault="00C07835">
      <w:pPr>
        <w:spacing w:after="209"/>
        <w:ind w:left="2540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901064"/>
                <wp:effectExtent l="0" t="0" r="0" b="0"/>
                <wp:wrapSquare wrapText="bothSides"/>
                <wp:docPr id="5414" name="Group 54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901064"/>
                          <a:chOff x="0" y="0"/>
                          <a:chExt cx="123825" cy="901064"/>
                        </a:xfrm>
                      </wpg:grpSpPr>
                      <wps:wsp>
                        <wps:cNvPr id="5973" name="Shape 59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4" name="Shape 59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5" name="Shape 5975"/>
                        <wps:cNvSpPr/>
                        <wps:spPr>
                          <a:xfrm>
                            <a:off x="0" y="43891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6" name="Shape 5976"/>
                        <wps:cNvSpPr/>
                        <wps:spPr>
                          <a:xfrm>
                            <a:off x="9525" y="44843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7" name="Shape 5977"/>
                        <wps:cNvSpPr/>
                        <wps:spPr>
                          <a:xfrm>
                            <a:off x="0" y="777239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8" name="Shape 5978"/>
                        <wps:cNvSpPr/>
                        <wps:spPr>
                          <a:xfrm>
                            <a:off x="9525" y="786764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6" name="Shape 326"/>
                        <wps:cNvSpPr/>
                        <wps:spPr>
                          <a:xfrm>
                            <a:off x="27517" y="80475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414" style="width:9.75pt;height:70.95pt;position:absolute;mso-position-horizontal-relative:text;mso-position-horizontal:absolute;margin-left:0pt;mso-position-vertical-relative:text;margin-top:-0.345184pt;" coordsize="1238,9010">
                <v:shape id="Shape 597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8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5981" style="position:absolute;width:1238;height:1238;left:0;top:4389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82" style="position:absolute;width:1047;height:1047;left:95;top:4484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5983" style="position:absolute;width:1238;height:1238;left:0;top:77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5984" style="position:absolute;width:1047;height:1047;left:95;top:78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6" style="position:absolute;width:687;height:687;left:275;top:8047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</w:t>
      </w:r>
      <w:r>
        <w:t>okladanej doby používania zodpovedajúcej spotrebe budúcich ekonomických úžitkov z majetku. Odpisové sadzby pre účtovné a daňové odpisy dlhodobého nehmotného majetku sa rovnajú.</w:t>
      </w:r>
    </w:p>
    <w:p w:rsidR="008B0DAC" w:rsidRDefault="00C07835">
      <w:pPr>
        <w:tabs>
          <w:tab w:val="center" w:pos="1054"/>
          <w:tab w:val="center" w:pos="6543"/>
        </w:tabs>
        <w:spacing w:line="265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8B0DAC" w:rsidRDefault="00C07835">
      <w:pPr>
        <w:spacing w:after="211" w:line="259" w:lineRule="auto"/>
        <w:ind w:left="0" w:right="356" w:firstLine="0"/>
        <w:jc w:val="right"/>
      </w:pPr>
      <w:r>
        <w:t>zaraďovaného majetku zodpovedajúceho bežným podmienkam jeho používania. Účtovné a daňové odpisy sa nerovnajú.</w:t>
      </w:r>
    </w:p>
    <w:p w:rsidR="008B0DAC" w:rsidRDefault="00C07835">
      <w:pPr>
        <w:spacing w:after="198"/>
        <w:ind w:left="2540" w:hanging="2540"/>
      </w:pPr>
      <w:r>
        <w:t>Dlho</w:t>
      </w:r>
      <w:r>
        <w:t>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8B0DAC" w:rsidRDefault="00C07835">
      <w:pPr>
        <w:spacing w:after="272"/>
        <w:ind w:left="10"/>
      </w:pPr>
      <w:r>
        <w:t>Odpisový plán bol ovplyvnený týmito skutočnosťami:</w:t>
      </w:r>
    </w:p>
    <w:p w:rsidR="008B0DAC" w:rsidRDefault="00C07835">
      <w:pPr>
        <w:ind w:left="10"/>
      </w:pPr>
      <w:r>
        <w:t xml:space="preserve">Spôsob </w:t>
      </w:r>
      <w:r>
        <w:t>zostavenia odpisového plánu pre jednotlivé druhy dlhodobého nehmotného a hmotného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0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3918"/>
        <w:gridCol w:w="579"/>
        <w:gridCol w:w="1788"/>
        <w:gridCol w:w="649"/>
        <w:gridCol w:w="1718"/>
        <w:gridCol w:w="2366"/>
      </w:tblGrid>
      <w:tr w:rsidR="008B0DAC">
        <w:trPr>
          <w:trHeight w:val="337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63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5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178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rPr>
                <w:b/>
              </w:rPr>
              <w:t>Doba odpisovania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171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60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8B0DAC">
        <w:trPr>
          <w:trHeight w:val="304"/>
        </w:trPr>
        <w:tc>
          <w:tcPr>
            <w:tcW w:w="39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45" w:firstLine="0"/>
            </w:pPr>
            <w:r>
              <w:t>Motorové vozidlá</w:t>
            </w:r>
          </w:p>
        </w:tc>
        <w:tc>
          <w:tcPr>
            <w:tcW w:w="5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line="259" w:lineRule="auto"/>
              <w:ind w:left="56" w:firstLine="0"/>
            </w:pPr>
            <w:r>
              <w:t>4 roky</w:t>
            </w:r>
          </w:p>
        </w:tc>
        <w:tc>
          <w:tcPr>
            <w:tcW w:w="178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line="259" w:lineRule="auto"/>
              <w:ind w:left="56" w:firstLine="0"/>
            </w:pPr>
            <w:r>
              <w:t>1/4</w:t>
            </w: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56" w:firstLine="0"/>
            </w:pPr>
            <w:r>
              <w:t>Rovnomerný odpis</w:t>
            </w:r>
          </w:p>
        </w:tc>
      </w:tr>
      <w:tr w:rsidR="008B0DAC">
        <w:trPr>
          <w:trHeight w:val="289"/>
        </w:trPr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45" w:firstLine="0"/>
            </w:pPr>
            <w:r>
              <w:t>Stroje a zariadenia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line="259" w:lineRule="auto"/>
              <w:ind w:left="56" w:firstLine="0"/>
              <w:jc w:val="both"/>
            </w:pPr>
            <w:r>
              <w:t>6 rokov</w:t>
            </w:r>
          </w:p>
        </w:tc>
        <w:tc>
          <w:tcPr>
            <w:tcW w:w="178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line="259" w:lineRule="auto"/>
              <w:ind w:left="56" w:firstLine="0"/>
            </w:pPr>
            <w:r>
              <w:t>1/6</w:t>
            </w:r>
          </w:p>
        </w:tc>
        <w:tc>
          <w:tcPr>
            <w:tcW w:w="17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56" w:firstLine="0"/>
            </w:pPr>
            <w:r>
              <w:t>Rovnomerný odpis</w:t>
            </w:r>
          </w:p>
        </w:tc>
      </w:tr>
    </w:tbl>
    <w:p w:rsidR="008B0DAC" w:rsidRDefault="00C07835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:rsidR="008B0DAC" w:rsidRDefault="00C07835">
      <w:pPr>
        <w:spacing w:after="87"/>
        <w:ind w:left="10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0DAC">
        <w:trPr>
          <w:trHeight w:val="39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8B0DAC" w:rsidRDefault="00C07835">
            <w:pPr>
              <w:spacing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84" w:firstLine="0"/>
            </w:pPr>
            <w:r>
              <w:rPr>
                <w:b/>
              </w:rPr>
              <w:t>Vplyv na výsledok hospodárenia v</w:t>
            </w:r>
          </w:p>
          <w:p w:rsidR="008B0DAC" w:rsidRDefault="00C07835">
            <w:pPr>
              <w:spacing w:line="259" w:lineRule="auto"/>
              <w:ind w:left="0" w:right="4" w:firstLine="0"/>
              <w:jc w:val="center"/>
            </w:pPr>
            <w:r>
              <w:rPr>
                <w:b/>
              </w:rPr>
              <w:t>BO</w:t>
            </w:r>
          </w:p>
        </w:tc>
      </w:tr>
      <w:tr w:rsidR="008B0DAC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</w:pPr>
            <w:r>
              <w:t>0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8B0DAC" w:rsidRDefault="00C07835">
      <w:pPr>
        <w:spacing w:after="862" w:line="265" w:lineRule="auto"/>
        <w:ind w:left="-5"/>
      </w:pPr>
      <w:r>
        <w:rPr>
          <w:b/>
          <w:sz w:val="24"/>
        </w:rPr>
        <w:t>Čl. III Informácie, ktoré vysvetľujú a dopĺňajú súvahu a výkaz ziskov a strát</w:t>
      </w:r>
    </w:p>
    <w:p w:rsidR="008B0DAC" w:rsidRDefault="00C07835">
      <w:pPr>
        <w:pStyle w:val="Nadpis1"/>
        <w:ind w:left="-5"/>
      </w:pPr>
      <w:r>
        <w:t>Čl. III (2) a) Celková suma záväzkov so zostatkovou dobou splatnosti dlhšou ako 5 rokov</w:t>
      </w:r>
    </w:p>
    <w:p w:rsidR="008B0DAC" w:rsidRDefault="00C07835">
      <w:pPr>
        <w:spacing w:after="73"/>
        <w:ind w:left="10"/>
      </w:pPr>
      <w:r>
        <w:t>ČL. III (2) a) Celková suma záväzkov so zostatkovou dobou splatnosti dlhšou ako 5 rokov</w:t>
      </w:r>
    </w:p>
    <w:tbl>
      <w:tblPr>
        <w:tblStyle w:val="TableGrid"/>
        <w:tblW w:w="11018" w:type="dxa"/>
        <w:tblInd w:w="13" w:type="dxa"/>
        <w:tblCellMar>
          <w:top w:w="66" w:type="dxa"/>
          <w:left w:w="0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8469"/>
        <w:gridCol w:w="2076"/>
        <w:gridCol w:w="473"/>
      </w:tblGrid>
      <w:tr w:rsidR="008B0DAC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B0DAC" w:rsidRDefault="00C07835">
            <w:pPr>
              <w:spacing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8B0DAC" w:rsidRDefault="00C07835">
            <w:pPr>
              <w:spacing w:line="259" w:lineRule="auto"/>
              <w:ind w:left="709" w:firstLine="0"/>
            </w:pPr>
            <w:r>
              <w:rPr>
                <w:b/>
              </w:rPr>
              <w:t>Celková hodnota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8B0DAC" w:rsidRDefault="008B0DAC">
            <w:pPr>
              <w:spacing w:after="160" w:line="259" w:lineRule="auto"/>
              <w:ind w:left="0" w:firstLine="0"/>
            </w:pPr>
          </w:p>
        </w:tc>
      </w:tr>
      <w:tr w:rsidR="008B0DAC">
        <w:trPr>
          <w:trHeight w:val="304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45" w:firstLine="0"/>
            </w:pPr>
            <w:r>
              <w:t>Profi spotrebný bezúčelový úver VUB č. 1995/2016/01</w:t>
            </w:r>
          </w:p>
        </w:tc>
        <w:tc>
          <w:tcPr>
            <w:tcW w:w="207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after="160" w:line="259" w:lineRule="auto"/>
              <w:ind w:left="0" w:firstLine="0"/>
            </w:pPr>
            <w:r>
              <w:t>4842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line="259" w:lineRule="auto"/>
              <w:ind w:left="0" w:firstLine="0"/>
              <w:jc w:val="both"/>
            </w:pPr>
          </w:p>
        </w:tc>
      </w:tr>
      <w:tr w:rsidR="008B0DAC">
        <w:trPr>
          <w:trHeight w:val="289"/>
        </w:trPr>
        <w:tc>
          <w:tcPr>
            <w:tcW w:w="8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0DAC" w:rsidRDefault="00C07835">
            <w:pPr>
              <w:spacing w:line="259" w:lineRule="auto"/>
              <w:ind w:left="45" w:firstLine="0"/>
            </w:pPr>
            <w:r>
              <w:t>Bankový spotrebný úver VW CC KM866BE Osobné vozidlo</w:t>
            </w:r>
          </w:p>
        </w:tc>
        <w:tc>
          <w:tcPr>
            <w:tcW w:w="2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B0DAC" w:rsidRDefault="00C07835">
            <w:pPr>
              <w:spacing w:after="160" w:line="259" w:lineRule="auto"/>
              <w:ind w:left="0" w:firstLine="0"/>
            </w:pPr>
            <w:r>
              <w:t>24750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B0DAC" w:rsidRDefault="008B0DAC">
            <w:pPr>
              <w:spacing w:line="259" w:lineRule="auto"/>
              <w:ind w:left="0" w:firstLine="0"/>
              <w:jc w:val="both"/>
            </w:pPr>
          </w:p>
        </w:tc>
      </w:tr>
      <w:tr w:rsidR="00C07835">
        <w:trPr>
          <w:trHeight w:val="289"/>
        </w:trPr>
        <w:tc>
          <w:tcPr>
            <w:tcW w:w="8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835" w:rsidRDefault="00C07835">
            <w:pPr>
              <w:spacing w:line="259" w:lineRule="auto"/>
              <w:ind w:left="45" w:firstLine="0"/>
            </w:pPr>
            <w:r>
              <w:t>Bankový spotrebný úver</w:t>
            </w:r>
          </w:p>
        </w:tc>
        <w:tc>
          <w:tcPr>
            <w:tcW w:w="2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C07835" w:rsidRDefault="00C07835">
            <w:pPr>
              <w:spacing w:after="160" w:line="259" w:lineRule="auto"/>
              <w:ind w:left="0" w:firstLine="0"/>
            </w:pPr>
            <w:r>
              <w:t>9548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C07835" w:rsidRDefault="00C07835">
            <w:pPr>
              <w:spacing w:line="259" w:lineRule="auto"/>
              <w:ind w:left="0" w:firstLine="0"/>
              <w:jc w:val="both"/>
            </w:pPr>
          </w:p>
        </w:tc>
      </w:tr>
    </w:tbl>
    <w:p w:rsidR="008B0DAC" w:rsidRDefault="00C07835">
      <w:pPr>
        <w:spacing w:line="259" w:lineRule="auto"/>
        <w:ind w:left="8236" w:firstLine="0"/>
      </w:pPr>
      <w:r>
        <w:rPr>
          <w:sz w:val="16"/>
        </w:rPr>
        <w:t>Strana: 2</w:t>
      </w:r>
    </w:p>
    <w:p w:rsidR="008B0DAC" w:rsidRDefault="00C07835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  <w:bookmarkStart w:id="0" w:name="_GoBack"/>
      <w:bookmarkEnd w:id="0"/>
    </w:p>
    <w:sectPr w:rsidR="008B0DAC">
      <w:pgSz w:w="11900" w:h="16840"/>
      <w:pgMar w:top="583" w:right="723" w:bottom="578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471421"/>
    <w:multiLevelType w:val="hybridMultilevel"/>
    <w:tmpl w:val="E4EA67DA"/>
    <w:lvl w:ilvl="0" w:tplc="A25417D6">
      <w:start w:val="1"/>
      <w:numFmt w:val="bullet"/>
      <w:lvlText w:val="-"/>
      <w:lvlJc w:val="left"/>
      <w:pPr>
        <w:ind w:left="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AEC445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6620472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726E66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B3B498F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F17EF55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7A2FAA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B53A01C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A308E6D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DAC"/>
    <w:rsid w:val="008B0DAC"/>
    <w:rsid w:val="00C0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063FE"/>
  <w15:docId w15:val="{7A79349E-B851-4030-B3FB-BDA041DFF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0" w:line="261" w:lineRule="auto"/>
      <w:ind w:left="68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Klebercová</dc:creator>
  <cp:keywords/>
  <cp:lastModifiedBy>Klebercová</cp:lastModifiedBy>
  <cp:revision>2</cp:revision>
  <dcterms:created xsi:type="dcterms:W3CDTF">2018-04-03T21:23:00Z</dcterms:created>
  <dcterms:modified xsi:type="dcterms:W3CDTF">2018-04-03T21:23:00Z</dcterms:modified>
</cp:coreProperties>
</file>