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sz w:val="36"/>
        </w:rPr>
        <w:t>Poznámky k 31.12.201</w:t>
      </w:r>
      <w:r>
        <w:rPr>
          <w:b/>
          <w:sz w:val="36"/>
        </w:rPr>
        <w:t>7</w:t>
      </w:r>
      <w:r>
        <w:rPr>
          <w:b/>
          <w:sz w:val="36"/>
        </w:rPr>
        <w:t xml:space="preserve">– textová časť </w:t>
      </w:r>
    </w:p>
    <w:p>
      <w:pPr>
        <w:pStyle w:val="Normal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Ruskov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280, 044 19 Ruskov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42324157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1.1.2014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Ruskov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19 Ruskov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0" w:name="__Fieldmark__26_3601495267"/>
            <w:bookmarkStart w:id="1" w:name="__Fieldmark__25_2386217506"/>
            <w:bookmarkStart w:id="2" w:name="__Fieldmark__26_3601495267"/>
            <w:bookmarkStart w:id="3" w:name="__Fieldmark__26_3601495267"/>
            <w:bookmarkEnd w:id="1"/>
            <w:bookmarkEnd w:id="3"/>
            <w:r>
              <w:rPr/>
            </w:r>
            <w:r>
              <w:rPr/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4" w:name="__Fieldmark__36_3601495267"/>
            <w:bookmarkStart w:id="5" w:name="__Fieldmark__30_2386217506"/>
            <w:bookmarkStart w:id="6" w:name="__Fieldmark__36_3601495267"/>
            <w:bookmarkStart w:id="7" w:name="__Fieldmark__36_3601495267"/>
            <w:bookmarkEnd w:id="5"/>
            <w:bookmarkEnd w:id="7"/>
            <w:r>
              <w:rPr/>
            </w:r>
            <w:r>
              <w:rPr/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checked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8" w:name="__Fieldmark__46_3601495267"/>
            <w:bookmarkStart w:id="9" w:name="__Fieldmark__36_2386217506"/>
            <w:bookmarkStart w:id="10" w:name="__Fieldmark__46_3601495267"/>
            <w:bookmarkStart w:id="11" w:name="__Fieldmark__46_3601495267"/>
            <w:bookmarkEnd w:id="9"/>
            <w:bookmarkEnd w:id="11"/>
            <w:r>
              <w:rPr/>
            </w:r>
            <w:r>
              <w:rPr/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>
            <w:pPr>
              <w:pStyle w:val="Normal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2" w:name="__Fieldmark__56_3601495267"/>
            <w:bookmarkStart w:id="13" w:name="__Fieldmark__41_2386217506"/>
            <w:bookmarkStart w:id="14" w:name="__Fieldmark__56_3601495267"/>
            <w:bookmarkStart w:id="15" w:name="__Fieldmark__56_3601495267"/>
            <w:bookmarkEnd w:id="13"/>
            <w:bookmarkEnd w:id="15"/>
            <w:r>
              <w:rPr/>
            </w:r>
            <w:r>
              <w:rPr/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1"/>
        </w:numPr>
        <w:tabs>
          <w:tab w:val="left" w:pos="284" w:leader="none"/>
        </w:tabs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1026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4781"/>
        <w:gridCol w:w="5478"/>
      </w:tblGrid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Martina Bajusová Vargová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>
            <w:pPr>
              <w:pStyle w:val="Normal"/>
              <w:numPr>
                <w:ilvl w:val="0"/>
                <w:numId w:val="10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>
        <w:trPr/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</w:r>
          </w:p>
        </w:tc>
      </w:tr>
    </w:tbl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  <w:r>
        <w:br w:type="page"/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/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16" w:name="__Fieldmark__144_3601495267"/>
      <w:bookmarkStart w:id="17" w:name="__Fieldmark__137_2386217506"/>
      <w:bookmarkStart w:id="18" w:name="__Fieldmark__144_3601495267"/>
      <w:bookmarkStart w:id="19" w:name="__Fieldmark__144_3601495267"/>
      <w:bookmarkEnd w:id="17"/>
      <w:bookmarkEnd w:id="19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0" w:name="__Fieldmark__152_3601495267"/>
      <w:bookmarkStart w:id="21" w:name="__Fieldmark__140_2386217506"/>
      <w:bookmarkStart w:id="22" w:name="__Fieldmark__152_3601495267"/>
      <w:bookmarkStart w:id="23" w:name="__Fieldmark__152_3601495267"/>
      <w:bookmarkEnd w:id="21"/>
      <w:bookmarkEnd w:id="23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spacing w:lineRule="auto" w:line="36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>
      <w:pPr>
        <w:pStyle w:val="Normal"/>
        <w:ind w:left="284" w:hanging="0"/>
        <w:jc w:val="both"/>
        <w:rPr/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4" w:name="__Fieldmark__164_3601495267"/>
      <w:bookmarkStart w:id="25" w:name="__Fieldmark__147_2386217506"/>
      <w:bookmarkStart w:id="26" w:name="__Fieldmark__164_3601495267"/>
      <w:bookmarkStart w:id="27" w:name="__Fieldmark__164_3601495267"/>
      <w:bookmarkEnd w:id="25"/>
      <w:bookmarkEnd w:id="27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>
          <w:sz w:val="22"/>
          <w:b/>
          <w:szCs w:val="22"/>
          <w:bCs/>
          <w:rFonts w:cs="Tahoma"/>
        </w:rPr>
        <w:instrText> FORMCHECKBOX </w:instrText>
      </w:r>
      <w:r>
        <w:rPr>
          <w:sz w:val="22"/>
          <w:b/>
          <w:szCs w:val="22"/>
          <w:bCs/>
          <w:rFonts w:cs="Tahoma"/>
        </w:rPr>
        <w:fldChar w:fldCharType="separate"/>
      </w:r>
      <w:bookmarkStart w:id="28" w:name="__Fieldmark__172_3601495267"/>
      <w:bookmarkStart w:id="29" w:name="__Fieldmark__150_2386217506"/>
      <w:bookmarkStart w:id="30" w:name="__Fieldmark__172_3601495267"/>
      <w:bookmarkStart w:id="31" w:name="__Fieldmark__172_3601495267"/>
      <w:bookmarkEnd w:id="29"/>
      <w:bookmarkEnd w:id="31"/>
      <w:r>
        <w:rPr>
          <w:rFonts w:cs="Tahoma"/>
          <w:b/>
          <w:bCs/>
          <w:sz w:val="22"/>
          <w:szCs w:val="22"/>
        </w:rPr>
      </w:r>
      <w:r>
        <w:rPr>
          <w:sz w:val="22"/>
          <w:b/>
          <w:szCs w:val="22"/>
          <w:bCs/>
          <w:rFonts w:cs="Tahoma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>
      <w:pPr>
        <w:pStyle w:val="Normal"/>
        <w:ind w:left="357" w:hanging="0"/>
        <w:jc w:val="both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Dlhodobý hmotný majetok sa oceňuje obstarávacou cenou. Obstarávacia cena zahŕňa cenu, za ktorú sa majetok obstaral a náklady súvisiace s jeho obstaraním.</w:t>
      </w:r>
    </w:p>
    <w:p>
      <w:pPr>
        <w:pStyle w:val="Normal"/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Krátkodobý finančný majetok</w:t>
      </w:r>
    </w:p>
    <w:p>
      <w:pPr>
        <w:pStyle w:val="Normal"/>
        <w:ind w:left="64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Peňažné prostriedky a ceniny sa oceňujú ich menovitou hodnotou.</w:t>
      </w:r>
    </w:p>
    <w:p>
      <w:pPr>
        <w:pStyle w:val="Normal"/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Časové rozlíšenie na strane aktív</w:t>
      </w:r>
    </w:p>
    <w:p>
      <w:pPr>
        <w:pStyle w:val="Normal"/>
        <w:ind w:left="64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>
      <w:pPr>
        <w:pStyle w:val="Normal"/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</w:t>
      </w:r>
    </w:p>
    <w:p>
      <w:pPr>
        <w:pStyle w:val="Normal"/>
        <w:ind w:left="64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Záväzky pri ich vzniku sa oceňujú menovitou hodnotou. Záväzky pri ich prevzatí sa oceňujú obstarávacou cenou.</w:t>
      </w:r>
    </w:p>
    <w:p>
      <w:pPr>
        <w:pStyle w:val="Normal"/>
        <w:numPr>
          <w:ilvl w:val="0"/>
          <w:numId w:val="13"/>
        </w:numPr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Majetok obstaraný z transferov sa oceňuje obstarávacou cenou.</w:t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ind w:left="284" w:hanging="0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>
      <w:pPr>
        <w:pStyle w:val="Telotextu"/>
        <w:ind w:left="425" w:hanging="0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rPr/>
        <w:instrText> FORMCHECKBOX </w:instrText>
      </w:r>
      <w:r>
        <w:rPr/>
        <w:fldChar w:fldCharType="separate"/>
      </w:r>
      <w:bookmarkStart w:id="32" w:name="__Fieldmark__194_3601495267"/>
      <w:bookmarkStart w:id="33" w:name="__Fieldmark__168_2386217506"/>
      <w:bookmarkStart w:id="34" w:name="__Fieldmark__194_3601495267"/>
      <w:bookmarkStart w:id="35" w:name="__Fieldmark__194_3601495267"/>
      <w:bookmarkEnd w:id="33"/>
      <w:bookmarkEnd w:id="35"/>
      <w:r>
        <w:rPr/>
      </w:r>
      <w:r>
        <w:rPr/>
        <w:fldChar w:fldCharType="end"/>
      </w:r>
      <w:r>
        <w:rPr>
          <w:rFonts w:cs="Tahoma"/>
          <w:b/>
          <w:bCs/>
          <w:sz w:val="22"/>
          <w:szCs w:val="22"/>
        </w:rPr>
        <w:t xml:space="preserve"> prvým dňom mesiaca nasledujúceho po uvedení dlhodobého majetku do používania </w:t>
      </w:r>
    </w:p>
    <w:p>
      <w:pPr>
        <w:pStyle w:val="Telotextu"/>
        <w:ind w:left="425" w:hanging="0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960"/>
        <w:gridCol w:w="3071"/>
        <w:gridCol w:w="4175"/>
      </w:tblGrid>
      <w:tr>
        <w:trPr/>
        <w:tc>
          <w:tcPr>
            <w:tcW w:w="2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Predpokladaná doba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Ročná odpisová sadzba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 %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 až 8</w:t>
            </w:r>
          </w:p>
        </w:tc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½ až 1/8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 až 20</w:t>
            </w:r>
          </w:p>
        </w:tc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1/6 až 1 /20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 až 40</w:t>
            </w:r>
          </w:p>
        </w:tc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1/20 až 1/40</w:t>
            </w:r>
          </w:p>
        </w:tc>
      </w:tr>
      <w:tr>
        <w:trPr/>
        <w:tc>
          <w:tcPr>
            <w:tcW w:w="29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  <w:tc>
          <w:tcPr>
            <w:tcW w:w="30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30 až 70</w:t>
            </w:r>
          </w:p>
        </w:tc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1/30 až 1/70</w:t>
            </w:r>
          </w:p>
        </w:tc>
      </w:tr>
    </w:tbl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Normal"/>
        <w:jc w:val="both"/>
        <w:rPr>
          <w:sz w:val="24"/>
        </w:rPr>
      </w:pPr>
      <w:r>
        <w:rPr>
          <w:sz w:val="24"/>
        </w:rPr>
        <w:t>Drobný nehmotný majetok do 2 400 €, ktorý podľa rozhodnutia účtovnej jednotky nie je dlhodobým hmotným majetkom sa účtuje priamo do spotreby.</w:t>
      </w:r>
    </w:p>
    <w:p>
      <w:pPr>
        <w:pStyle w:val="Normal"/>
        <w:jc w:val="both"/>
        <w:rPr>
          <w:sz w:val="24"/>
        </w:rPr>
      </w:pPr>
      <w:r>
        <w:rPr>
          <w:sz w:val="24"/>
        </w:rPr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Priamo do spotreby účtuje účtovná jednotka drobný nákup:</w:t>
      </w:r>
    </w:p>
    <w:p>
      <w:pPr>
        <w:pStyle w:val="Pismenka"/>
        <w:numPr>
          <w:ilvl w:val="0"/>
          <w:numId w:val="14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Kancelárske potreby a materiál, papier</w:t>
      </w:r>
    </w:p>
    <w:p>
      <w:pPr>
        <w:pStyle w:val="Pismenka"/>
        <w:numPr>
          <w:ilvl w:val="0"/>
          <w:numId w:val="14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Čistiace, hygienické a dezinfekčné prostriedky</w:t>
      </w:r>
    </w:p>
    <w:p>
      <w:pPr>
        <w:pStyle w:val="Pismenka"/>
        <w:numPr>
          <w:ilvl w:val="0"/>
          <w:numId w:val="14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Nákup odbornej literatúry, novín a ostatných tlačív</w:t>
      </w:r>
    </w:p>
    <w:p>
      <w:pPr>
        <w:pStyle w:val="Pismenka"/>
        <w:numPr>
          <w:ilvl w:val="0"/>
          <w:numId w:val="14"/>
        </w:numPr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Osobné ochranné pracovné prostriedky</w:t>
      </w:r>
    </w:p>
    <w:p>
      <w:pPr>
        <w:pStyle w:val="Pismenka"/>
        <w:tabs>
          <w:tab w:val="clear" w:pos="426"/>
        </w:tabs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Telotextu"/>
        <w:ind w:left="0" w:hanging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numPr>
          <w:ilvl w:val="0"/>
          <w:numId w:val="2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>
      <w:pPr>
        <w:pStyle w:val="Normal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>
      <w:pPr>
        <w:pStyle w:val="Normal"/>
        <w:numPr>
          <w:ilvl w:val="0"/>
          <w:numId w:val="10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false"/>
          <w:sz w:val="24"/>
          <w:szCs w:val="24"/>
        </w:rPr>
        <w:t>(tabuľka č.1)</w:t>
      </w:r>
    </w:p>
    <w:p>
      <w:pPr>
        <w:pStyle w:val="Pismenka"/>
        <w:tabs>
          <w:tab w:val="clear" w:pos="426"/>
        </w:tabs>
        <w:ind w:left="425" w:hanging="425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Pismenka"/>
        <w:numPr>
          <w:ilvl w:val="0"/>
          <w:numId w:val="4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false"/>
          <w:sz w:val="24"/>
          <w:szCs w:val="24"/>
        </w:rPr>
        <w:t xml:space="preserve">dlhodobého nehmotného majetku a dlhodobého hmotného majetku </w:t>
      </w:r>
    </w:p>
    <w:tbl>
      <w:tblPr>
        <w:tblW w:w="10088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90"/>
        <w:gridCol w:w="3348"/>
        <w:gridCol w:w="3650"/>
      </w:tblGrid>
      <w:tr>
        <w:trPr/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Výška poistenia</w:t>
            </w:r>
          </w:p>
        </w:tc>
      </w:tr>
      <w:tr>
        <w:trPr/>
        <w:tc>
          <w:tcPr>
            <w:tcW w:w="3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Poistenie interaktivných tabúľ</w:t>
            </w:r>
          </w:p>
        </w:tc>
        <w:tc>
          <w:tcPr>
            <w:tcW w:w="33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zmluvne</w:t>
            </w:r>
          </w:p>
        </w:tc>
        <w:tc>
          <w:tcPr>
            <w:tcW w:w="3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70,- €</w:t>
            </w:r>
          </w:p>
        </w:tc>
      </w:tr>
    </w:tbl>
    <w:p>
      <w:pPr>
        <w:pStyle w:val="Pismenka"/>
        <w:numPr>
          <w:ilvl w:val="0"/>
          <w:numId w:val="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5220"/>
        <w:gridCol w:w="4985"/>
      </w:tblGrid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Majetok,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/>
              <w:t>ku ktorému</w:t>
            </w:r>
            <w:r>
              <w:rPr>
                <w:b/>
              </w:rPr>
              <w:t xml:space="preserve"> má</w:t>
            </w:r>
            <w:r>
              <w:rPr/>
              <w:t xml:space="preserve"> účtovná jednotka vlastnícke právo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Budovy, stavby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198506,46</w:t>
            </w:r>
          </w:p>
        </w:tc>
      </w:tr>
      <w:tr>
        <w:trPr/>
        <w:tc>
          <w:tcPr>
            <w:tcW w:w="5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Stroje, prístroje, zariadenia, inventár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274,24</w:t>
            </w:r>
          </w:p>
        </w:tc>
      </w:tr>
    </w:tbl>
    <w:p>
      <w:pPr>
        <w:pStyle w:val="Pismenka"/>
        <w:tabs>
          <w:tab w:val="clear" w:pos="426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284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3"/>
        </w:numPr>
        <w:tabs>
          <w:tab w:val="left" w:pos="284" w:leader="none"/>
        </w:tabs>
        <w:ind w:left="284" w:hanging="284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Dlhodobý finančný majetok  nemá</w:t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2520" w:hanging="2520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>
      <w:pPr>
        <w:pStyle w:val="Normal"/>
        <w:numPr>
          <w:ilvl w:val="0"/>
          <w:numId w:val="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Pohľadávky nemá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numPr>
          <w:ilvl w:val="0"/>
          <w:numId w:val="5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b w:val="false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false"/>
          <w:sz w:val="24"/>
          <w:szCs w:val="24"/>
        </w:rPr>
        <w:t xml:space="preserve"> </w:t>
      </w:r>
    </w:p>
    <w:tbl>
      <w:tblPr>
        <w:tblW w:w="8079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834"/>
        <w:gridCol w:w="5244"/>
      </w:tblGrid>
      <w:tr>
        <w:trPr/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>
                <w:b/>
              </w:rPr>
              <w:t>Zostatok k 31.12.201</w:t>
            </w:r>
            <w:r>
              <w:rPr>
                <w:b/>
              </w:rPr>
              <w:t>7</w:t>
            </w:r>
          </w:p>
        </w:tc>
      </w:tr>
      <w:tr>
        <w:trPr/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221</w:t>
            </w:r>
          </w:p>
        </w:tc>
        <w:tc>
          <w:tcPr>
            <w:tcW w:w="5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298,31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>
      <w:pPr>
        <w:pStyle w:val="Pismenka"/>
        <w:tabs>
          <w:tab w:val="clear" w:pos="426"/>
        </w:tabs>
        <w:ind w:left="0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8080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543"/>
        <w:gridCol w:w="4536"/>
      </w:tblGrid>
      <w:tr>
        <w:trPr/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>
        <w:trPr/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Hospodársky výsledok 201</w:t>
            </w:r>
            <w:r>
              <w:rPr/>
              <w:t>7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-</w:t>
            </w:r>
            <w:r>
              <w:rPr/>
              <w:t>622,12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>
      <w:pPr>
        <w:pStyle w:val="Pismenka"/>
        <w:numPr>
          <w:ilvl w:val="0"/>
          <w:numId w:val="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Pismenka"/>
        <w:tabs>
          <w:tab w:val="clear" w:pos="426"/>
        </w:tabs>
        <w:ind w:left="284" w:hanging="0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  </w:t>
      </w:r>
    </w:p>
    <w:p>
      <w:pPr>
        <w:pStyle w:val="Pismenka"/>
        <w:numPr>
          <w:ilvl w:val="0"/>
          <w:numId w:val="8"/>
        </w:numPr>
        <w:ind w:left="284" w:hanging="284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false"/>
          <w:sz w:val="24"/>
          <w:szCs w:val="24"/>
        </w:rPr>
        <w:t xml:space="preserve"> (riadky 140 a 151 súvahy) - tabuľka č.8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17"/>
        <w:gridCol w:w="2268"/>
        <w:gridCol w:w="4821"/>
      </w:tblGrid>
      <w:tr>
        <w:trPr/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Opis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Krátkodobé záväzky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7212,54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Zamestnanci čistá mzda za 12/201</w:t>
            </w:r>
            <w:r>
              <w:rPr/>
              <w:t>7</w:t>
            </w:r>
          </w:p>
        </w:tc>
      </w:tr>
      <w:tr>
        <w:trPr/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Krátkodobé rezervy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151,09</w:t>
            </w:r>
          </w:p>
        </w:tc>
        <w:tc>
          <w:tcPr>
            <w:tcW w:w="48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Rezervy na faktúry</w:t>
            </w:r>
          </w:p>
        </w:tc>
      </w:tr>
    </w:tbl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>
      <w:pPr>
        <w:pStyle w:val="Pismenka"/>
        <w:tabs>
          <w:tab w:val="clear" w:pos="426"/>
        </w:tabs>
        <w:ind w:left="36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97"/>
        <w:gridCol w:w="4108"/>
      </w:tblGrid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1"/>
              </w:numPr>
              <w:ind w:left="185" w:hanging="185"/>
              <w:rPr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tržby za vlastné výkony  a tovar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602 - Tržby z predaja služieb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  <w:t>školné</w:t>
            </w:r>
          </w:p>
          <w:p>
            <w:pPr>
              <w:pStyle w:val="Normal"/>
              <w:ind w:left="318" w:hanging="0"/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6809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662 - Úroky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0,5</w:t>
            </w:r>
            <w:r>
              <w:rPr/>
              <w:t>9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1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691 - Výnosy z bežných transferov z rozpočtu obce, VÚC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</w:t>
            </w:r>
            <w:r>
              <w:rPr/>
              <w:t>62772,98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692 - Výnosy z kapitálových transferov z rozpočtu obce, VÚC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  <w:t xml:space="preserve">zúčtovanie kapitálového transferu zriaďovateľa                                           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3873,28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693 - Výnosy samosprávy z bežných transferov zo ŠR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  <w:t>bežný transfer na predškolské vzdelávanie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3986</w:t>
            </w:r>
          </w:p>
        </w:tc>
      </w:tr>
    </w:tbl>
    <w:p>
      <w:pPr>
        <w:pStyle w:val="Normal"/>
        <w:ind w:left="284" w:hanging="0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6097"/>
        <w:gridCol w:w="4108"/>
      </w:tblGrid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spotrebované nákupy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11714,87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502 - Spotreba energie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7380,89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služby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512 - Cestovné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7,20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518 - Ostatné služby 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2767,32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>osobné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521 - Mzdové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105132,11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36877,17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527 - Zákonné sociálne náklady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</w:t>
            </w:r>
            <w:r>
              <w:rPr/>
              <w:t>607,19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odpisy, rezervy a opravné položky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551 - Odpisy  DNM a DHM 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</w:t>
            </w:r>
            <w:r>
              <w:rPr/>
              <w:t>873,28</w:t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>
          <w:trHeight w:val="272" w:hRule="atLeast"/>
        </w:trPr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numPr>
                <w:ilvl w:val="0"/>
                <w:numId w:val="12"/>
              </w:numPr>
              <w:ind w:left="185" w:hanging="185"/>
              <w:rPr>
                <w:b/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568 - Ostatné finančné náklady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236,28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588 - Náklady z odvodu príjmov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  <w:t>predpis odvodu príjmov RO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</w:t>
            </w:r>
            <w:r>
              <w:rPr/>
              <w:t>609,60</w:t>
            </w:r>
          </w:p>
        </w:tc>
      </w:tr>
      <w:tr>
        <w:trPr/>
        <w:tc>
          <w:tcPr>
            <w:tcW w:w="6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589 - Náklady z budúceho odvodu príjmov</w:t>
            </w:r>
          </w:p>
          <w:p>
            <w:pPr>
              <w:pStyle w:val="Normal"/>
              <w:numPr>
                <w:ilvl w:val="0"/>
                <w:numId w:val="10"/>
              </w:numPr>
              <w:rPr/>
            </w:pPr>
            <w:r>
              <w:rPr/>
              <w:t>predpis budúceho odvodu príjmov RO</w:t>
            </w:r>
          </w:p>
        </w:tc>
        <w:tc>
          <w:tcPr>
            <w:tcW w:w="4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0,0</w:t>
            </w:r>
          </w:p>
        </w:tc>
      </w:tr>
    </w:tbl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jc w:val="left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718"/>
        <w:gridCol w:w="4680"/>
        <w:gridCol w:w="880"/>
        <w:gridCol w:w="2002"/>
        <w:gridCol w:w="1926"/>
      </w:tblGrid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Číslo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Číslo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Bezprostredne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predchádzajúce </w:t>
            </w:r>
          </w:p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účtovné obdobie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a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b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c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601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Tržby za vlastné výrobky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01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602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Tržby z predaja služieb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02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6809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6520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604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Tržby za tovar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03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504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04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05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6809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6520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Spotreba materiálu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06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11714,87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6237,20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Spotreba energie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07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7380,89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7409,50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503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08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511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Oprava a udržiavanie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09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1643,89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512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Cestovné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7,20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155,40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513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11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518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Ostatné služby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12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2774,52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2231,67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521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Mzdové náklady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13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105132,11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100272,12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524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Zákonné sociálne poistenie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14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36877,17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35442,52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525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Ostatné sociálne poistenie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15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527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16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2607,19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2043,48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528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Ostatné sociálne náklady 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17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0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531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Daň z motorových vozidiel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18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532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Daň z nehnuteľností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19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  <w:bookmarkStart w:id="36" w:name="_GoBack"/>
            <w:bookmarkStart w:id="37" w:name="_GoBack"/>
            <w:bookmarkEnd w:id="37"/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538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Ostatné dane a poplatky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20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551</w:t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21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3873,28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</w:tcPr>
          <w:p>
            <w:pPr>
              <w:pStyle w:val="Normal"/>
              <w:jc w:val="right"/>
              <w:rPr/>
            </w:pPr>
            <w:r>
              <w:rPr/>
              <w:t>3931,47</w:t>
            </w:r>
          </w:p>
        </w:tc>
      </w:tr>
      <w:tr>
        <w:trPr/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center"/>
              <w:rPr/>
            </w:pPr>
            <w:r>
              <w:rPr/>
              <w:t>22</w:t>
            </w:r>
          </w:p>
        </w:tc>
        <w:tc>
          <w:tcPr>
            <w:tcW w:w="2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/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F2F2F2" w:val="clear"/>
          </w:tcPr>
          <w:p>
            <w:pPr>
              <w:pStyle w:val="Normal"/>
              <w:jc w:val="right"/>
              <w:rPr/>
            </w:pPr>
            <w:r>
              <w:rPr>
                <w:b/>
              </w:rPr>
              <w:t>159367,25</w:t>
            </w:r>
          </w:p>
        </w:tc>
      </w:tr>
    </w:tbl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</w:t>
      </w:r>
    </w:p>
    <w:p>
      <w:pPr>
        <w:pStyle w:val="Pismenka"/>
        <w:tabs>
          <w:tab w:val="clear" w:pos="426"/>
        </w:tabs>
        <w:ind w:left="0" w:hanging="0"/>
        <w:jc w:val="left"/>
        <w:rPr>
          <w:b w:val="false"/>
          <w:b w:val="false"/>
          <w:sz w:val="24"/>
          <w:szCs w:val="24"/>
        </w:rPr>
      </w:pPr>
      <w:r>
        <w:rPr>
          <w:b w:val="false"/>
          <w:sz w:val="24"/>
          <w:szCs w:val="24"/>
        </w:rPr>
        <w:t>Textová časť k tabuľke č.12-14:</w:t>
      </w:r>
    </w:p>
    <w:p>
      <w:pPr>
        <w:pStyle w:val="Normal"/>
        <w:jc w:val="both"/>
        <w:rPr/>
      </w:pPr>
      <w:r>
        <w:rPr>
          <w:sz w:val="24"/>
          <w:szCs w:val="24"/>
        </w:rPr>
        <w:t xml:space="preserve">Rozpočet obce/rozpočtovej organizácie/príspevkovej organizácie bol schválený obecným zastupiteľstvom </w:t>
      </w:r>
    </w:p>
    <w:p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center"/>
        <w:rPr>
          <w:b/>
          <w:b/>
          <w:sz w:val="28"/>
        </w:rPr>
      </w:pPr>
      <w:r>
        <w:rPr>
          <w:b/>
          <w:sz w:val="28"/>
        </w:rPr>
      </w:r>
    </w:p>
    <w:p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 nenastal pokles alebo zvýšenie trhovej ceny finančného majetku ani iné zmeny, mimoriadne udalosti alebo skutočnosti.</w:t>
      </w:r>
    </w:p>
    <w:p>
      <w:pPr>
        <w:pStyle w:val="Normal"/>
        <w:spacing w:lineRule="auto" w:line="360"/>
        <w:rPr>
          <w:b/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134" w:right="566" w:header="709" w:top="851" w:footer="709" w:bottom="85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64770" cy="29273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40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rPr/>
                          </w:pPr>
                          <w:r>
                            <w:rPr>
                              <w:rStyle w:val="Pagenumber"/>
                              <w:color w:val="auto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1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fillcolor="white" stroked="f" style="position:absolute;margin-left:560.75pt;margin-top:3.85pt;width:5pt;height:22.95pt;mso-position-horizontal-relative:page">
              <w10:wrap type="square"/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Pta"/>
                      <w:rPr/>
                    </w:pPr>
                    <w:r>
                      <w:rPr>
                        <w:rStyle w:val="Pagenumber"/>
                        <w:color w:val="auto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1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pBdr>
        <w:bottom w:val="single" w:sz="4" w:space="1" w:color="00000A"/>
      </w:pBdr>
      <w:jc w:val="center"/>
      <w:rPr>
        <w:sz w:val="24"/>
        <w:szCs w:val="24"/>
      </w:rPr>
    </w:pPr>
    <w:r>
      <w:rPr>
        <w:sz w:val="24"/>
        <w:szCs w:val="24"/>
      </w:rPr>
      <w:t>Materská škola Ruskov</w:t>
    </w:r>
  </w:p>
  <w:p>
    <w:pPr>
      <w:pStyle w:val="Hlavika"/>
      <w:pBdr>
        <w:bottom w:val="single" w:sz="4" w:space="1" w:color="00000A"/>
      </w:pBdr>
      <w:jc w:val="center"/>
      <w:rPr/>
    </w:pPr>
    <w:r>
      <w:rPr>
        <w:sz w:val="24"/>
        <w:szCs w:val="24"/>
      </w:rPr>
      <w:t>Poznámky  individuálnej účtovnej závierky  zostavenej k 31. decembru 201</w:t>
    </w:r>
    <w:r>
      <w:rPr>
        <w:sz w:val="24"/>
        <w:szCs w:val="24"/>
      </w:rPr>
      <w:t>7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b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644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bullet"/>
      <w:lvlText w:val="-"/>
      <w:lvlJc w:val="left"/>
      <w:pPr>
        <w:ind w:left="678" w:hanging="360"/>
      </w:pPr>
      <w:rPr>
        <w:rFonts w:ascii="Times New Roman" w:hAnsi="Times New Roman" w:cs="Times New Roman" w:hint="default"/>
        <w:sz w:val="24"/>
        <w:rFonts w:cs="Times New Roman"/>
      </w:rPr>
    </w:lvl>
    <w:lvl w:ilvl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  <w:rFonts w:cs="Wingdings"/>
      </w:r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  <w:b w:val="false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1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44bf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taChar" w:customStyle="1">
    <w:name w:val="Päta Char"/>
    <w:basedOn w:val="DefaultParagraphFont"/>
    <w:link w:val="Pta"/>
    <w:qFormat/>
    <w:rsid w:val="00644bf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Pagenumber">
    <w:name w:val="page number"/>
    <w:basedOn w:val="DefaultParagraphFont"/>
    <w:qFormat/>
    <w:rsid w:val="00644bfa"/>
    <w:rPr/>
  </w:style>
  <w:style w:type="character" w:styleId="ZkladntextChar" w:customStyle="1">
    <w:name w:val="Základný text Char"/>
    <w:basedOn w:val="DefaultParagraphFont"/>
    <w:link w:val="Zkladntext"/>
    <w:qFormat/>
    <w:rsid w:val="00644bfa"/>
    <w:rPr>
      <w:rFonts w:ascii="Times New Roman" w:hAnsi="Times New Roman" w:eastAsia="Times New Roman" w:cs="Times New Roman"/>
      <w:sz w:val="18"/>
      <w:szCs w:val="20"/>
      <w:lang w:eastAsia="sk-SK"/>
    </w:rPr>
  </w:style>
  <w:style w:type="character" w:styleId="HlavikaChar" w:customStyle="1">
    <w:name w:val="Hlavička Char"/>
    <w:basedOn w:val="DefaultParagraphFont"/>
    <w:link w:val="Hlavika"/>
    <w:qFormat/>
    <w:rsid w:val="00644bfa"/>
    <w:rPr>
      <w:rFonts w:ascii="Times New Roman" w:hAnsi="Times New Roman" w:eastAsia="Times New Roman" w:cs="Times New Roman"/>
      <w:sz w:val="20"/>
      <w:szCs w:val="20"/>
      <w:lang w:eastAsia="sk-SK"/>
    </w:rPr>
  </w:style>
  <w:style w:type="character" w:styleId="ListLabel1">
    <w:name w:val="ListLabel 1"/>
    <w:qFormat/>
    <w:rPr>
      <w:rFonts w:eastAsia="Times New Roman" w:cs="Times New Roman"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/>
      <w:sz w:val="24"/>
      <w:szCs w:val="24"/>
    </w:rPr>
  </w:style>
  <w:style w:type="character" w:styleId="ListLabel6">
    <w:name w:val="ListLabel 6"/>
    <w:qFormat/>
    <w:rPr>
      <w:b w:val="false"/>
      <w:sz w:val="24"/>
    </w:rPr>
  </w:style>
  <w:style w:type="character" w:styleId="ListLabel7">
    <w:name w:val="ListLabel 7"/>
    <w:qFormat/>
    <w:rPr>
      <w:b w:val="false"/>
      <w:sz w:val="24"/>
    </w:rPr>
  </w:style>
  <w:style w:type="character" w:styleId="ListLabel8">
    <w:name w:val="ListLabel 8"/>
    <w:qFormat/>
    <w:rPr>
      <w:b/>
      <w:sz w:val="24"/>
    </w:rPr>
  </w:style>
  <w:style w:type="character" w:styleId="ListLabel9">
    <w:name w:val="ListLabel 9"/>
    <w:qFormat/>
    <w:rPr>
      <w:b w:val="false"/>
      <w:sz w:val="24"/>
    </w:rPr>
  </w:style>
  <w:style w:type="character" w:styleId="ListLabel10">
    <w:name w:val="ListLabel 10"/>
    <w:qFormat/>
    <w:rPr>
      <w:b/>
      <w:sz w:val="24"/>
    </w:rPr>
  </w:style>
  <w:style w:type="character" w:styleId="ListLabel11">
    <w:name w:val="ListLabel 11"/>
    <w:qFormat/>
    <w:rPr>
      <w:rFonts w:eastAsia="Times New Roman" w:cs="Times New Roman"/>
      <w:sz w:val="24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Courier New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b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Times New Roman"/>
      <w:sz w:val="24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Wingdings"/>
    </w:rPr>
  </w:style>
  <w:style w:type="character" w:styleId="ListLabel22">
    <w:name w:val="ListLabel 22"/>
    <w:qFormat/>
    <w:rPr>
      <w:rFonts w:cs="Symbol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Wingdings"/>
    </w:rPr>
  </w:style>
  <w:style w:type="character" w:styleId="ListLabel25">
    <w:name w:val="ListLabel 25"/>
    <w:qFormat/>
    <w:rPr>
      <w:rFonts w:cs="Symbol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Wingdings"/>
    </w:rPr>
  </w:style>
  <w:style w:type="character" w:styleId="ListLabel28">
    <w:name w:val="ListLabel 28"/>
    <w:qFormat/>
    <w:rPr>
      <w:b/>
      <w:sz w:val="24"/>
      <w:szCs w:val="24"/>
    </w:rPr>
  </w:style>
  <w:style w:type="character" w:styleId="ListLabel29">
    <w:name w:val="ListLabel 29"/>
    <w:qFormat/>
    <w:rPr>
      <w:b w:val="false"/>
      <w:sz w:val="24"/>
    </w:rPr>
  </w:style>
  <w:style w:type="character" w:styleId="ListLabel30">
    <w:name w:val="ListLabel 30"/>
    <w:qFormat/>
    <w:rPr>
      <w:b w:val="false"/>
      <w:sz w:val="24"/>
    </w:rPr>
  </w:style>
  <w:style w:type="character" w:styleId="ListLabel31">
    <w:name w:val="ListLabel 31"/>
    <w:qFormat/>
    <w:rPr>
      <w:b/>
      <w:sz w:val="24"/>
    </w:rPr>
  </w:style>
  <w:style w:type="character" w:styleId="ListLabel32">
    <w:name w:val="ListLabel 32"/>
    <w:qFormat/>
    <w:rPr>
      <w:b w:val="false"/>
      <w:sz w:val="24"/>
    </w:rPr>
  </w:style>
  <w:style w:type="character" w:styleId="ListLabel33">
    <w:name w:val="ListLabel 33"/>
    <w:qFormat/>
    <w:rPr>
      <w:b/>
      <w:sz w:val="24"/>
    </w:rPr>
  </w:style>
  <w:style w:type="character" w:styleId="ListLabel34">
    <w:name w:val="ListLabel 34"/>
    <w:qFormat/>
    <w:rPr>
      <w:rFonts w:cs="Times New Roman"/>
      <w:sz w:val="24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Wingdings"/>
    </w:rPr>
  </w:style>
  <w:style w:type="character" w:styleId="ListLabel37">
    <w:name w:val="ListLabel 37"/>
    <w:qFormat/>
    <w:rPr>
      <w:rFonts w:cs="Symbol"/>
    </w:rPr>
  </w:style>
  <w:style w:type="character" w:styleId="ListLabel38">
    <w:name w:val="ListLabel 38"/>
    <w:qFormat/>
    <w:rPr>
      <w:rFonts w:cs="Courier New"/>
    </w:rPr>
  </w:style>
  <w:style w:type="character" w:styleId="ListLabel39">
    <w:name w:val="ListLabel 39"/>
    <w:qFormat/>
    <w:rPr>
      <w:rFonts w:cs="Wingdings"/>
    </w:rPr>
  </w:style>
  <w:style w:type="character" w:styleId="ListLabel40">
    <w:name w:val="ListLabel 40"/>
    <w:qFormat/>
    <w:rPr>
      <w:rFonts w:cs="Symbol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b/>
    </w:rPr>
  </w:style>
  <w:style w:type="character" w:styleId="ListLabel44">
    <w:name w:val="ListLabel 44"/>
    <w:qFormat/>
    <w:rPr>
      <w:rFonts w:cs="Symbol"/>
      <w:b w:val="false"/>
      <w:sz w:val="24"/>
    </w:rPr>
  </w:style>
  <w:style w:type="character" w:styleId="ListLabel45">
    <w:name w:val="ListLabel 45"/>
    <w:qFormat/>
    <w:rPr>
      <w:rFonts w:cs="Courier New"/>
    </w:rPr>
  </w:style>
  <w:style w:type="character" w:styleId="ListLabel46">
    <w:name w:val="ListLabel 46"/>
    <w:qFormat/>
    <w:rPr>
      <w:rFonts w:cs="Wingdings"/>
    </w:rPr>
  </w:style>
  <w:style w:type="character" w:styleId="ListLabel47">
    <w:name w:val="ListLabel 47"/>
    <w:qFormat/>
    <w:rPr>
      <w:rFonts w:cs="Symbol"/>
    </w:rPr>
  </w:style>
  <w:style w:type="character" w:styleId="ListLabel48">
    <w:name w:val="ListLabel 48"/>
    <w:qFormat/>
    <w:rPr>
      <w:rFonts w:cs="Courier New"/>
    </w:rPr>
  </w:style>
  <w:style w:type="character" w:styleId="ListLabel49">
    <w:name w:val="ListLabel 49"/>
    <w:qFormat/>
    <w:rPr>
      <w:rFonts w:cs="Wingdings"/>
    </w:rPr>
  </w:style>
  <w:style w:type="character" w:styleId="ListLabel50">
    <w:name w:val="ListLabel 50"/>
    <w:qFormat/>
    <w:rPr>
      <w:rFonts w:cs="Symbol"/>
    </w:rPr>
  </w:style>
  <w:style w:type="character" w:styleId="ListLabel51">
    <w:name w:val="ListLabel 51"/>
    <w:qFormat/>
    <w:rPr>
      <w:rFonts w:cs="Courier New"/>
    </w:rPr>
  </w:style>
  <w:style w:type="character" w:styleId="ListLabel52">
    <w:name w:val="ListLabel 52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rsid w:val="00644bfa"/>
    <w:pPr>
      <w:ind w:left="426" w:hanging="0"/>
      <w:jc w:val="both"/>
    </w:pPr>
    <w:rPr>
      <w:sz w:val="18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ta">
    <w:name w:val="Footer"/>
    <w:basedOn w:val="Normal"/>
    <w:link w:val="PtaChar"/>
    <w:rsid w:val="00644bfa"/>
    <w:pPr>
      <w:tabs>
        <w:tab w:val="center" w:pos="4536" w:leader="none"/>
        <w:tab w:val="right" w:pos="9072" w:leader="none"/>
      </w:tabs>
    </w:pPr>
    <w:rPr/>
  </w:style>
  <w:style w:type="paragraph" w:styleId="Pismenka" w:customStyle="1">
    <w:name w:val="Pismenka"/>
    <w:basedOn w:val="Telotextu"/>
    <w:qFormat/>
    <w:rsid w:val="00644bfa"/>
    <w:pPr>
      <w:tabs>
        <w:tab w:val="left" w:pos="426" w:leader="none"/>
      </w:tabs>
      <w:ind w:left="426" w:hanging="426"/>
    </w:pPr>
    <w:rPr>
      <w:b/>
    </w:rPr>
  </w:style>
  <w:style w:type="paragraph" w:styleId="Hlavika">
    <w:name w:val="Header"/>
    <w:basedOn w:val="Normal"/>
    <w:link w:val="HlavikaChar"/>
    <w:rsid w:val="00644bfa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LibreOffice/6.0.2.1$Windows_X86_64 LibreOffice_project/f7f06a8f319e4b62f9bc5095aa112a65d2f3ac89</Application>
  <Pages>5</Pages>
  <Words>1195</Words>
  <Characters>6716</Characters>
  <CharactersWithSpaces>7914</CharactersWithSpaces>
  <Paragraphs>312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2017-03-13T09:24:00Z</dcterms:created>
  <dc:creator>Asus000</dc:creator>
  <dc:description/>
  <dc:language>sk-SK</dc:language>
  <cp:lastModifiedBy/>
  <dcterms:modified xsi:type="dcterms:W3CDTF">2018-04-24T16:50:34Z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