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4F4" w:rsidRDefault="00A414F4">
      <w:pPr>
        <w:pStyle w:val="Normlny1"/>
        <w:rPr>
          <w:sz w:val="22"/>
          <w:szCs w:val="22"/>
        </w:rPr>
      </w:pPr>
    </w:p>
    <w:p w:rsidR="00245B14" w:rsidRDefault="00245B14">
      <w:pPr>
        <w:pStyle w:val="Normlny1"/>
        <w:rPr>
          <w:sz w:val="22"/>
          <w:szCs w:val="22"/>
        </w:rPr>
      </w:pPr>
    </w:p>
    <w:p w:rsidR="00A414F4" w:rsidRDefault="0044003B">
      <w:pPr>
        <w:pStyle w:val="Nadpis1"/>
        <w:rPr>
          <w:sz w:val="22"/>
          <w:szCs w:val="22"/>
        </w:rPr>
      </w:pPr>
      <w:r>
        <w:rPr>
          <w:sz w:val="22"/>
          <w:szCs w:val="22"/>
        </w:rPr>
        <w:t xml:space="preserve">a.    Informácie o ÚČTOVNEJ JEDNOTKE  </w:t>
      </w:r>
    </w:p>
    <w:p w:rsidR="00A414F4" w:rsidRDefault="00A414F4">
      <w:pPr>
        <w:pStyle w:val="Telotextu"/>
        <w:ind w:left="0"/>
        <w:rPr>
          <w:sz w:val="22"/>
          <w:szCs w:val="22"/>
        </w:rPr>
      </w:pPr>
    </w:p>
    <w:p w:rsidR="00A414F4" w:rsidRDefault="0044003B">
      <w:pPr>
        <w:pStyle w:val="Telotextu"/>
        <w:ind w:left="0"/>
        <w:rPr>
          <w:sz w:val="22"/>
          <w:szCs w:val="22"/>
        </w:rPr>
      </w:pPr>
      <w:r>
        <w:rPr>
          <w:sz w:val="22"/>
          <w:szCs w:val="22"/>
        </w:rPr>
        <w:t xml:space="preserve">Obchodné meno:  </w:t>
      </w:r>
      <w:r>
        <w:rPr>
          <w:sz w:val="22"/>
          <w:szCs w:val="22"/>
        </w:rPr>
        <w:tab/>
      </w:r>
      <w:r>
        <w:rPr>
          <w:b/>
          <w:sz w:val="22"/>
          <w:szCs w:val="22"/>
        </w:rPr>
        <w:t>DAG SLOVAKIA, a. s.</w:t>
      </w:r>
    </w:p>
    <w:p w:rsidR="00A414F4" w:rsidRDefault="0044003B">
      <w:pPr>
        <w:pStyle w:val="Telotextu"/>
        <w:ind w:left="0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Volgogradská 9, 080 01  Prešov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44003B">
      <w:pPr>
        <w:pStyle w:val="Nadpis2"/>
        <w:numPr>
          <w:ilvl w:val="1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Založenie spoločnosti</w:t>
      </w:r>
    </w:p>
    <w:p w:rsidR="00A414F4" w:rsidRDefault="0044003B">
      <w:pPr>
        <w:pStyle w:val="Telotextu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>
        <w:rPr>
          <w:b/>
          <w:sz w:val="22"/>
          <w:szCs w:val="22"/>
        </w:rPr>
        <w:t>DAG SLOVAKIA, a. s.</w:t>
      </w:r>
      <w:r>
        <w:rPr>
          <w:sz w:val="22"/>
          <w:szCs w:val="22"/>
        </w:rPr>
        <w:t xml:space="preserve"> bola založená 24.07.2009 ako spoločnosť s ručením obmedzeným DAG SLOVAKIA, s.r.o. a od 08.03.2011 bola pretransformovaná na akciovú spoločnosť (Obchodný register Okresného súdu Prešov, oddiel Sa, vložka 10421/P).</w:t>
      </w: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Nadpis2"/>
        <w:numPr>
          <w:ilvl w:val="1"/>
          <w:numId w:val="1"/>
        </w:numPr>
        <w:rPr>
          <w:sz w:val="22"/>
          <w:szCs w:val="22"/>
        </w:rPr>
      </w:pPr>
      <w:bookmarkStart w:id="0" w:name="_Toc530739896"/>
      <w:bookmarkEnd w:id="0"/>
      <w:r>
        <w:rPr>
          <w:sz w:val="22"/>
          <w:szCs w:val="22"/>
        </w:rPr>
        <w:t>Hlavnými činnosťami spoločnosti sú: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uskutočňovanie stavieb a ich zmien,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prípravné práce k realizácii stavby,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dokončovacie stavebné práce pri realizácii exteriérov a interiérov,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výkon činnosti stavbyvedúceho - pozemné stavby,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výkon činnosti stavebného dozoru – pozemné stavby,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kúpa tovaru na účely jeho predaja konečnému spotrebiteľovi (maloobchod) alebo iným prevádzkovateľom živnosti (veľkoobchod),</w:t>
      </w:r>
    </w:p>
    <w:p w:rsidR="00A414F4" w:rsidRDefault="0044003B">
      <w:pPr>
        <w:pStyle w:val="Telotextu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prenájom nehnuteľností spojený s poskytovaním iných než základných služieb spojených s prenájmom,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44003B">
      <w:pPr>
        <w:pStyle w:val="Nadpis2"/>
        <w:numPr>
          <w:ilvl w:val="1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Dátum schválenia účtovnej závierky za predchádzajúce účtovné obdobie</w:t>
      </w:r>
    </w:p>
    <w:p w:rsidR="00A414F4" w:rsidRDefault="0044003B">
      <w:pPr>
        <w:pStyle w:val="Telotextu"/>
        <w:ind w:left="360"/>
      </w:pPr>
      <w:r>
        <w:rPr>
          <w:sz w:val="22"/>
          <w:szCs w:val="22"/>
        </w:rPr>
        <w:t>Účtovná závierka spoločnosti za predchádzajúce účtovné obdobie bola schválená valným zhromaždením spoločnosti 31.07.2017.</w:t>
      </w:r>
    </w:p>
    <w:p w:rsidR="00A414F4" w:rsidRDefault="00A414F4">
      <w:pPr>
        <w:pStyle w:val="Nadpis2"/>
        <w:ind w:left="360"/>
        <w:rPr>
          <w:sz w:val="22"/>
          <w:szCs w:val="22"/>
        </w:rPr>
      </w:pPr>
    </w:p>
    <w:p w:rsidR="00A414F4" w:rsidRDefault="0044003B">
      <w:pPr>
        <w:pStyle w:val="Nadpis2"/>
        <w:numPr>
          <w:ilvl w:val="1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Právny dôvod na zostavenie účtovnej závierky</w:t>
      </w:r>
    </w:p>
    <w:p w:rsidR="00A414F4" w:rsidRDefault="0044003B">
      <w:pPr>
        <w:pStyle w:val="Telotextu"/>
        <w:ind w:left="360"/>
      </w:pPr>
      <w:r>
        <w:rPr>
          <w:sz w:val="22"/>
          <w:szCs w:val="22"/>
        </w:rPr>
        <w:t>Účtovná závierka spoločnosti k 31. decembru 2017 je zostavená ako riadna účtovná závierka podľa § 17 ods. 6 zákona č. 431/2002 Z. z. o účtovníctve v znení neskorších predpisov za účtovné obdobie od 1. januára 2017 do 31. decembra 2017.</w:t>
      </w:r>
    </w:p>
    <w:p w:rsidR="00A414F4" w:rsidRDefault="0044003B">
      <w:pPr>
        <w:pStyle w:val="Telotextu"/>
        <w:ind w:left="0" w:hanging="426"/>
        <w:rPr>
          <w:sz w:val="22"/>
          <w:szCs w:val="22"/>
        </w:rPr>
      </w:pPr>
      <w:r>
        <w:rPr>
          <w:b/>
          <w:sz w:val="22"/>
          <w:szCs w:val="22"/>
        </w:rPr>
        <w:tab/>
      </w:r>
    </w:p>
    <w:p w:rsidR="00A414F4" w:rsidRDefault="0044003B">
      <w:pPr>
        <w:pStyle w:val="Telotextu"/>
        <w:ind w:left="0" w:hanging="426"/>
        <w:rPr>
          <w:sz w:val="22"/>
          <w:szCs w:val="22"/>
        </w:rPr>
      </w:pPr>
      <w:r>
        <w:rPr>
          <w:b/>
          <w:sz w:val="22"/>
          <w:szCs w:val="22"/>
        </w:rPr>
        <w:tab/>
        <w:t>5.</w:t>
      </w: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Informácie o konsolidovanom celku</w:t>
      </w:r>
    </w:p>
    <w:p w:rsidR="00A414F4" w:rsidRDefault="0044003B">
      <w:pPr>
        <w:pStyle w:val="Normlny1"/>
        <w:ind w:left="360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:rsidR="00A414F4" w:rsidRDefault="00A414F4">
      <w:pPr>
        <w:pStyle w:val="Normlny1"/>
        <w:ind w:left="360"/>
        <w:rPr>
          <w:sz w:val="22"/>
          <w:szCs w:val="22"/>
        </w:rPr>
      </w:pPr>
    </w:p>
    <w:p w:rsidR="00A414F4" w:rsidRDefault="0044003B">
      <w:pPr>
        <w:pStyle w:val="Normlny1"/>
        <w:rPr>
          <w:sz w:val="22"/>
          <w:szCs w:val="22"/>
        </w:rPr>
      </w:pPr>
      <w:r>
        <w:rPr>
          <w:b/>
          <w:bCs/>
          <w:sz w:val="22"/>
          <w:szCs w:val="22"/>
        </w:rPr>
        <w:t>6.   Počet zamestnancov</w:t>
      </w:r>
    </w:p>
    <w:p w:rsidR="00A414F4" w:rsidRDefault="00A414F4">
      <w:pPr>
        <w:pStyle w:val="Telotextu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right w:val="single" w:sz="8" w:space="0" w:color="000001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3628"/>
        <w:gridCol w:w="2598"/>
        <w:gridCol w:w="2826"/>
      </w:tblGrid>
      <w:tr w:rsidR="00A414F4">
        <w:trPr>
          <w:jc w:val="center"/>
        </w:trPr>
        <w:tc>
          <w:tcPr>
            <w:tcW w:w="3636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05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31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414F4">
        <w:trPr>
          <w:trHeight w:val="340"/>
          <w:jc w:val="center"/>
        </w:trPr>
        <w:tc>
          <w:tcPr>
            <w:tcW w:w="363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</w:tcPr>
          <w:p w:rsidR="00A414F4" w:rsidRDefault="00245B14">
            <w:pPr>
              <w:pStyle w:val="Normlny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  <w:p w:rsidR="00245B14" w:rsidRDefault="00245B14">
            <w:pPr>
              <w:pStyle w:val="Normlny1"/>
              <w:jc w:val="center"/>
              <w:rPr>
                <w:sz w:val="22"/>
                <w:szCs w:val="22"/>
              </w:rPr>
            </w:pPr>
          </w:p>
        </w:tc>
        <w:tc>
          <w:tcPr>
            <w:tcW w:w="283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</w:tcPr>
          <w:p w:rsidR="00A414F4" w:rsidRDefault="0044003B">
            <w:pPr>
              <w:pStyle w:val="Normlny1"/>
              <w:jc w:val="center"/>
            </w:pPr>
            <w:r>
              <w:rPr>
                <w:sz w:val="22"/>
                <w:szCs w:val="22"/>
              </w:rPr>
              <w:t>28</w:t>
            </w:r>
          </w:p>
        </w:tc>
      </w:tr>
    </w:tbl>
    <w:p w:rsidR="00A414F4" w:rsidRDefault="00A414F4">
      <w:pPr>
        <w:pStyle w:val="Nadpis2"/>
        <w:ind w:left="360"/>
        <w:rPr>
          <w:sz w:val="22"/>
          <w:szCs w:val="22"/>
        </w:rPr>
      </w:pP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Normlny1"/>
        <w:rPr>
          <w:sz w:val="22"/>
          <w:szCs w:val="22"/>
        </w:rPr>
      </w:pPr>
      <w:r>
        <w:rPr>
          <w:b/>
          <w:bCs/>
          <w:sz w:val="22"/>
          <w:szCs w:val="22"/>
        </w:rPr>
        <w:t>7.   Údaje o neobmedzenom ručení</w:t>
      </w:r>
    </w:p>
    <w:p w:rsidR="00A414F4" w:rsidRDefault="0044003B">
      <w:pPr>
        <w:pStyle w:val="Normlny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Spoločnosť nie je neobmedzene ručiacim spoločníkom v iných spoločnostiach.</w:t>
      </w:r>
    </w:p>
    <w:p w:rsidR="00A414F4" w:rsidRDefault="00A414F4">
      <w:pPr>
        <w:pStyle w:val="Normlny1"/>
        <w:jc w:val="both"/>
        <w:rPr>
          <w:sz w:val="22"/>
          <w:szCs w:val="22"/>
        </w:rPr>
      </w:pPr>
    </w:p>
    <w:p w:rsidR="00A414F4" w:rsidRDefault="0044003B">
      <w:pPr>
        <w:pStyle w:val="Normlny1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8.   Poznámka</w:t>
      </w:r>
    </w:p>
    <w:p w:rsidR="00A414F4" w:rsidRDefault="0044003B">
      <w:pPr>
        <w:pStyle w:val="Normlnywebov"/>
        <w:spacing w:before="0" w:after="0"/>
        <w:ind w:left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V poznámkach neuvádzame údaje uvedené v Opatrení MF SR, ktorým sa stanovuje obsah poznámok tvoriacich súčasť účtovnej závierky pre malé účtovné jednotky, pre ktoré nemá účtovná jednotka obsahovú náplň.</w:t>
      </w:r>
    </w:p>
    <w:p w:rsidR="00A414F4" w:rsidRDefault="00A414F4">
      <w:pPr>
        <w:pStyle w:val="Normlnywebov"/>
        <w:spacing w:before="0" w:after="0"/>
        <w:ind w:left="360"/>
        <w:jc w:val="both"/>
        <w:rPr>
          <w:color w:val="000000"/>
          <w:sz w:val="22"/>
          <w:szCs w:val="22"/>
        </w:rPr>
      </w:pPr>
    </w:p>
    <w:p w:rsidR="00A414F4" w:rsidRDefault="00A414F4">
      <w:pPr>
        <w:pStyle w:val="Normlnywebov"/>
        <w:spacing w:before="0" w:after="0"/>
        <w:ind w:left="360"/>
        <w:jc w:val="both"/>
        <w:rPr>
          <w:color w:val="000000"/>
          <w:sz w:val="22"/>
          <w:szCs w:val="22"/>
        </w:rPr>
      </w:pPr>
    </w:p>
    <w:p w:rsidR="00A414F4" w:rsidRDefault="00A414F4">
      <w:pPr>
        <w:pStyle w:val="Normlnywebov"/>
        <w:spacing w:before="0" w:after="0"/>
        <w:ind w:left="360"/>
        <w:jc w:val="both"/>
        <w:rPr>
          <w:color w:val="000000"/>
          <w:sz w:val="22"/>
          <w:szCs w:val="22"/>
        </w:rPr>
      </w:pPr>
    </w:p>
    <w:p w:rsidR="00A414F4" w:rsidRDefault="00A414F4">
      <w:pPr>
        <w:pStyle w:val="Normlnywebov"/>
        <w:spacing w:before="0" w:after="0"/>
        <w:ind w:left="360"/>
        <w:jc w:val="both"/>
        <w:rPr>
          <w:color w:val="000000"/>
          <w:sz w:val="22"/>
          <w:szCs w:val="22"/>
        </w:rPr>
      </w:pPr>
    </w:p>
    <w:p w:rsidR="00A414F4" w:rsidRDefault="0044003B">
      <w:pPr>
        <w:pStyle w:val="Nadpis1"/>
        <w:rPr>
          <w:sz w:val="22"/>
          <w:szCs w:val="22"/>
        </w:rPr>
      </w:pPr>
      <w:bookmarkStart w:id="1" w:name="_Toc530739899"/>
      <w:bookmarkEnd w:id="1"/>
      <w:r>
        <w:rPr>
          <w:sz w:val="22"/>
          <w:szCs w:val="22"/>
        </w:rPr>
        <w:t xml:space="preserve">b.   Informácie o účtovných zásadách a účtovných metódach  </w:t>
      </w:r>
    </w:p>
    <w:p w:rsidR="00A414F4" w:rsidRDefault="00A414F4">
      <w:pPr>
        <w:pStyle w:val="Telotextu"/>
        <w:ind w:left="450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jc w:val="both"/>
      </w:pPr>
      <w:r>
        <w:rPr>
          <w:sz w:val="22"/>
          <w:szCs w:val="22"/>
        </w:rPr>
        <w:t>Účtovná závierka k 31.12.2017 bola zostavená za predpokladu,  že spoločnosť bude nepretržite pokračovať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:rsidR="00A414F4" w:rsidRDefault="00A414F4">
      <w:pPr>
        <w:pStyle w:val="Normlny1"/>
        <w:jc w:val="both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Spoločnosť uplatňuje účtovné princípy a postupy účtovania v súlade so Zákonom o účtovníctve a postupmi účtovania pre podnikateľov, ktoré platia v Slovenskej republike.  Účtovná závierka bola zostavená podľa zásad stanovených pre malú účtovnú jednotku.</w:t>
      </w:r>
    </w:p>
    <w:p w:rsidR="00A414F4" w:rsidRDefault="00A414F4">
      <w:pPr>
        <w:pStyle w:val="Normlny1"/>
        <w:jc w:val="both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Účtovníctvo sa vedie v peňažných jednotkách oficiálnej meny platnej v Slovenskej republike, </w:t>
      </w:r>
      <w:proofErr w:type="spellStart"/>
      <w:r>
        <w:rPr>
          <w:sz w:val="22"/>
          <w:szCs w:val="22"/>
        </w:rPr>
        <w:t>t.j</w:t>
      </w:r>
      <w:proofErr w:type="spellEnd"/>
      <w:r>
        <w:rPr>
          <w:sz w:val="22"/>
          <w:szCs w:val="22"/>
        </w:rPr>
        <w:t>. v eurách.</w:t>
      </w:r>
    </w:p>
    <w:p w:rsidR="00A414F4" w:rsidRDefault="00A414F4">
      <w:pPr>
        <w:pStyle w:val="Normlny1"/>
        <w:jc w:val="both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Účtovníctvo je vedené na základe dodržania časovej a vecnej súvislosti nákladov a výnosov. Za základ sa berú všetky náklady a výnosy, ktoré sa vzťahujú na účtovné obdobie bez ohľadu na dátum ich platenia.</w:t>
      </w:r>
    </w:p>
    <w:p w:rsidR="00A414F4" w:rsidRDefault="00A414F4">
      <w:pPr>
        <w:pStyle w:val="Normlny1"/>
        <w:tabs>
          <w:tab w:val="left" w:pos="284"/>
        </w:tabs>
        <w:ind w:left="284" w:hanging="284"/>
        <w:jc w:val="both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tabs>
          <w:tab w:val="left" w:pos="284"/>
          <w:tab w:val="left" w:pos="360"/>
        </w:tabs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Pri oceňovaní majetku a záväzkov sa uplatňuje zásada opatrnosti, t. j. berú sa za základ všetky riziká, znehodnotenia a straty, ktoré sa týkajú majetku a záväzkov a sú známe ku duň zastavená účtovaný závierky.</w:t>
      </w:r>
    </w:p>
    <w:p w:rsidR="00A414F4" w:rsidRDefault="00A414F4">
      <w:pPr>
        <w:pStyle w:val="Normlny1"/>
        <w:tabs>
          <w:tab w:val="left" w:pos="284"/>
        </w:tabs>
        <w:ind w:left="284"/>
        <w:jc w:val="both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tabs>
          <w:tab w:val="left" w:pos="284"/>
          <w:tab w:val="left" w:pos="360"/>
        </w:tabs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Pokiaľ je účtovné ocenenie majetku nižšie ako jeho trhové ocenenie, majetok sa nepreceňuje. Významné rozdiely sa komentujú v poznámkach k účtovným výkazom.</w:t>
      </w:r>
    </w:p>
    <w:p w:rsidR="00A414F4" w:rsidRDefault="00A414F4">
      <w:pPr>
        <w:pStyle w:val="Normlny1"/>
        <w:tabs>
          <w:tab w:val="left" w:pos="284"/>
        </w:tabs>
        <w:ind w:left="284"/>
        <w:jc w:val="both"/>
        <w:rPr>
          <w:sz w:val="22"/>
          <w:szCs w:val="22"/>
        </w:rPr>
      </w:pPr>
    </w:p>
    <w:p w:rsidR="00A414F4" w:rsidRDefault="0044003B">
      <w:pPr>
        <w:pStyle w:val="Normlny1"/>
        <w:numPr>
          <w:ilvl w:val="0"/>
          <w:numId w:val="3"/>
        </w:numPr>
        <w:tabs>
          <w:tab w:val="left" w:pos="284"/>
          <w:tab w:val="left" w:pos="360"/>
        </w:tabs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Spoločnosť účtuje o zásobách spôsobom A. V prípade zníženia úžitkovej hodnoty zásob sú vytvárané opravné položky zohľadňujúce ich reálne ocenenie k uzávierkovému dňu.</w:t>
      </w:r>
    </w:p>
    <w:p w:rsidR="00A414F4" w:rsidRDefault="00A414F4">
      <w:pPr>
        <w:pStyle w:val="Normlny1"/>
        <w:jc w:val="both"/>
        <w:rPr>
          <w:sz w:val="22"/>
          <w:szCs w:val="22"/>
        </w:rPr>
      </w:pPr>
    </w:p>
    <w:p w:rsidR="00A414F4" w:rsidRDefault="0044003B">
      <w:pPr>
        <w:pStyle w:val="Normlny1"/>
        <w:tabs>
          <w:tab w:val="left" w:pos="284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8.  Spôsob ocenenia jednotlivých položiek majetku a záväzkov</w:t>
      </w:r>
    </w:p>
    <w:p w:rsidR="00A414F4" w:rsidRDefault="0044003B">
      <w:pPr>
        <w:pStyle w:val="Normlny1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>Pri obstaraní majetku sa uplatňuje princíp obstarávacích nákladov (t. j. historických nákladov) a ocenenie jednotlivých položiek majetku a záväzkov je nasledovné: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dlhodobý hmotný a nehmotný majetok nakupovaný - obstarávacími cenami. Obstarávacia cena sa skladá z ceny obstarania, z nákladov súvisiacich s obstaraním (inštalácia, montáž, dopravné a pod.),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dlhodobý majetok vytvorený vlastnou činnosťou sa oceňuje vlastnými nákladmi,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zásoby – nakupovaný materiál - obstarávacími cenami, do vedľajších obstarávacích nákladov patrí  prepravné, balné, poštovné, clo, manipulačné poplatky, provízie a bonusy. Náklady súvisiace s obstaraním a oceňovacie rozdiely sa na konci roka účtujú do nákladov v pomere, v akom sa viaže materiál spotrebovaný pri výrobe, na predaný materiál alebo znehodnotený (poškodený, chýbajúci) materiál na celkovom množstve disponibilného materiálu,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zákazková výroba sa vykazuje metódou podľa stupňa dokončenia zákazky, ktorý je určený ako pomer skutočne vynaložených nákladov na zákazkovú výrobu a rozpočtovaných zmluvných nákladov na zákazkovú výrobu, v prípade ukončených zákaziek v čase zostavovania účtovnej závierky sa stupeň dokončenia určí ako pomer skutočne vynaložených nákladov zákazky k uzávierkovému dňu a celkových skutočných nákladov za danú zákazku,</w:t>
      </w:r>
    </w:p>
    <w:p w:rsidR="00245B14" w:rsidRDefault="00245B14" w:rsidP="00245B14">
      <w:pPr>
        <w:pStyle w:val="Zarkazkladnhotextu31"/>
        <w:tabs>
          <w:tab w:val="left" w:pos="530"/>
          <w:tab w:val="left" w:pos="567"/>
        </w:tabs>
        <w:ind w:firstLine="0"/>
        <w:rPr>
          <w:sz w:val="22"/>
          <w:szCs w:val="22"/>
          <w:lang w:val="sk-SK"/>
        </w:rPr>
      </w:pPr>
    </w:p>
    <w:p w:rsidR="00245B14" w:rsidRDefault="00245B14" w:rsidP="00245B14">
      <w:pPr>
        <w:pStyle w:val="Zarkazkladnhotextu31"/>
        <w:tabs>
          <w:tab w:val="left" w:pos="530"/>
          <w:tab w:val="left" w:pos="567"/>
        </w:tabs>
        <w:ind w:firstLine="0"/>
        <w:rPr>
          <w:sz w:val="22"/>
          <w:szCs w:val="22"/>
          <w:lang w:val="sk-SK"/>
        </w:rPr>
      </w:pPr>
    </w:p>
    <w:p w:rsidR="00245B14" w:rsidRDefault="00245B14" w:rsidP="00245B14">
      <w:pPr>
        <w:pStyle w:val="Zarkazkladnhotextu31"/>
        <w:tabs>
          <w:tab w:val="left" w:pos="530"/>
          <w:tab w:val="left" w:pos="567"/>
        </w:tabs>
        <w:ind w:firstLine="0"/>
        <w:rPr>
          <w:sz w:val="22"/>
          <w:szCs w:val="22"/>
          <w:lang w:val="sk-SK"/>
        </w:rPr>
      </w:pP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pohľadávky sa oceňujú nominálnymi hodnotami, toto ocenenie sa znižuje o hodnotu pochybných a nevymožiteľných pohľadávok formou opravných položiek, ktoré sa tvoria na základe internej smernice,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záväzky, vrátane rezerv, pôžičiek a úverov sa oceňujú nominálnymi hodnotami,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časové rozlíšenie na strane aktív a pasív sa oceňuje nominálnymi hodnotami,</w:t>
      </w:r>
    </w:p>
    <w:p w:rsidR="00A414F4" w:rsidRDefault="0044003B">
      <w:pPr>
        <w:pStyle w:val="Zarkazkladnhotextu31"/>
        <w:numPr>
          <w:ilvl w:val="0"/>
          <w:numId w:val="4"/>
        </w:numPr>
        <w:tabs>
          <w:tab w:val="left" w:pos="530"/>
          <w:tab w:val="left" w:pos="567"/>
        </w:tabs>
        <w:ind w:left="567" w:hanging="283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daň z príjmov sa oceňuje nominálnymi hodnotami.</w:t>
      </w:r>
    </w:p>
    <w:p w:rsidR="00A414F4" w:rsidRDefault="00A414F4">
      <w:pPr>
        <w:pStyle w:val="Zarkazkladnhotextu31"/>
        <w:ind w:left="0" w:firstLine="0"/>
        <w:rPr>
          <w:sz w:val="22"/>
          <w:szCs w:val="22"/>
          <w:lang w:val="sk-SK"/>
        </w:rPr>
      </w:pPr>
    </w:p>
    <w:p w:rsidR="00A414F4" w:rsidRDefault="0044003B">
      <w:pPr>
        <w:pStyle w:val="Zarkazkladnhotextu21"/>
        <w:tabs>
          <w:tab w:val="left" w:pos="284"/>
        </w:tabs>
        <w:ind w:left="0" w:firstLine="0"/>
        <w:rPr>
          <w:sz w:val="22"/>
          <w:szCs w:val="22"/>
        </w:rPr>
      </w:pPr>
      <w:r>
        <w:rPr>
          <w:b/>
          <w:sz w:val="22"/>
          <w:szCs w:val="22"/>
          <w:lang w:val="sk-SK"/>
        </w:rPr>
        <w:t>9.    Leasing</w:t>
      </w:r>
    </w:p>
    <w:p w:rsidR="00A414F4" w:rsidRDefault="0044003B">
      <w:pPr>
        <w:pStyle w:val="Zarkazkladnhotextu21"/>
        <w:tabs>
          <w:tab w:val="left" w:pos="284"/>
        </w:tabs>
        <w:ind w:left="360" w:firstLine="0"/>
        <w:rPr>
          <w:bCs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t>Majetok prenajatý formou finančného leasingu vykazuje ako svoj majetok nájomca. Majetok prenajatý na základe operatívneho leasingu vykazuje a odpisuje vlastník tohto majetku.</w:t>
      </w:r>
    </w:p>
    <w:p w:rsidR="00A414F4" w:rsidRDefault="00A414F4">
      <w:pPr>
        <w:pStyle w:val="Zarkazkladnhotextu21"/>
        <w:tabs>
          <w:tab w:val="left" w:pos="284"/>
        </w:tabs>
        <w:rPr>
          <w:b/>
          <w:sz w:val="22"/>
          <w:szCs w:val="22"/>
          <w:lang w:val="sk-SK"/>
        </w:rPr>
      </w:pPr>
    </w:p>
    <w:p w:rsidR="00A414F4" w:rsidRDefault="0044003B">
      <w:pPr>
        <w:pStyle w:val="Zarkazkladnhotextu21"/>
        <w:tabs>
          <w:tab w:val="left" w:pos="284"/>
        </w:tabs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10.   Odpisový plán</w:t>
      </w:r>
    </w:p>
    <w:p w:rsidR="00A414F4" w:rsidRDefault="0044003B">
      <w:pPr>
        <w:pStyle w:val="Telotextu"/>
        <w:rPr>
          <w:sz w:val="22"/>
          <w:szCs w:val="22"/>
        </w:rPr>
      </w:pPr>
      <w:r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v  mesiaci zaradenia dlhodobého majetku. Drobný dlhodobý nehmotný majetok, ktorého obstarávacia cena (resp. vlastné náklady) je 2.400 € a nižšia spoločnosť účtuje ako služby na účet 518. Predpokladaná doba používania, metóda odpisovania a odpisová sadzba sú uvedené v tabuľke:</w:t>
      </w:r>
    </w:p>
    <w:p w:rsidR="00A414F4" w:rsidRDefault="00A414F4">
      <w:pPr>
        <w:pStyle w:val="Telotextu"/>
        <w:rPr>
          <w:sz w:val="22"/>
          <w:szCs w:val="22"/>
        </w:rPr>
      </w:pPr>
    </w:p>
    <w:tbl>
      <w:tblPr>
        <w:tblW w:w="8817" w:type="dxa"/>
        <w:tblInd w:w="476" w:type="dxa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5"/>
        <w:gridCol w:w="426"/>
        <w:gridCol w:w="1559"/>
        <w:gridCol w:w="141"/>
        <w:gridCol w:w="1842"/>
        <w:gridCol w:w="141"/>
        <w:gridCol w:w="1733"/>
      </w:tblGrid>
      <w:tr w:rsidR="00A414F4">
        <w:trPr>
          <w:trHeight w:val="250"/>
        </w:trPr>
        <w:tc>
          <w:tcPr>
            <w:tcW w:w="3401" w:type="dxa"/>
            <w:gridSpan w:val="2"/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2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A414F4">
        <w:trPr>
          <w:trHeight w:val="250"/>
        </w:trPr>
        <w:tc>
          <w:tcPr>
            <w:tcW w:w="2975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25" w:type="dxa"/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A414F4">
        <w:trPr>
          <w:trHeight w:val="205"/>
        </w:trPr>
        <w:tc>
          <w:tcPr>
            <w:tcW w:w="3401" w:type="dxa"/>
            <w:gridSpan w:val="2"/>
            <w:shd w:val="clear" w:color="auto" w:fill="auto"/>
          </w:tcPr>
          <w:p w:rsidR="00A414F4" w:rsidRDefault="0044003B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softvér</w:t>
            </w:r>
          </w:p>
        </w:tc>
        <w:tc>
          <w:tcPr>
            <w:tcW w:w="1559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2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</w:tr>
      <w:tr w:rsidR="00A414F4">
        <w:trPr>
          <w:trHeight w:val="94"/>
        </w:trPr>
        <w:tc>
          <w:tcPr>
            <w:tcW w:w="3401" w:type="dxa"/>
            <w:gridSpan w:val="2"/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2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</w:tr>
    </w:tbl>
    <w:p w:rsidR="00A414F4" w:rsidRDefault="0044003B">
      <w:pPr>
        <w:pStyle w:val="Telotextu"/>
        <w:rPr>
          <w:sz w:val="22"/>
          <w:szCs w:val="22"/>
        </w:rPr>
      </w:pPr>
      <w:r>
        <w:rPr>
          <w:sz w:val="22"/>
          <w:szCs w:val="22"/>
        </w:rPr>
        <w:t>Odpisy dlhodobého hmotného majetku sú stanovené vychádzajúc z predpokladanej doby jeho používania a predpokladaného priebehu jeho opotrebovania. Odpisovať sa začína v  mesiaci zaradenia dlhodobého majetku. Drobný dlhodobý hmotný majetok, ktorého obstarávacia cena (resp. vlastné náklady) je 1.700 € a nižšia, sa účtuje priamo do nákladov. Pozemky sa neodpisujú. Predpokladaná doba používania, metóda odpisovania a odpisová sadzba sú uvedené v nasledujúcej tabuľke:</w:t>
      </w:r>
    </w:p>
    <w:p w:rsidR="00245B14" w:rsidRDefault="00245B14">
      <w:pPr>
        <w:pStyle w:val="Telotextu"/>
        <w:rPr>
          <w:sz w:val="22"/>
          <w:szCs w:val="22"/>
        </w:rPr>
      </w:pPr>
    </w:p>
    <w:tbl>
      <w:tblPr>
        <w:tblW w:w="8788" w:type="dxa"/>
        <w:tblInd w:w="476" w:type="dxa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4"/>
        <w:gridCol w:w="426"/>
        <w:gridCol w:w="1701"/>
        <w:gridCol w:w="141"/>
        <w:gridCol w:w="1701"/>
        <w:gridCol w:w="142"/>
        <w:gridCol w:w="1703"/>
      </w:tblGrid>
      <w:tr w:rsidR="00A414F4">
        <w:trPr>
          <w:trHeight w:val="250"/>
        </w:trPr>
        <w:tc>
          <w:tcPr>
            <w:tcW w:w="3401" w:type="dxa"/>
            <w:gridSpan w:val="2"/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predpokladaná</w:t>
            </w:r>
          </w:p>
        </w:tc>
        <w:tc>
          <w:tcPr>
            <w:tcW w:w="140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3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</w:t>
            </w:r>
          </w:p>
        </w:tc>
      </w:tr>
      <w:tr w:rsidR="00A414F4">
        <w:trPr>
          <w:trHeight w:val="250"/>
        </w:trPr>
        <w:tc>
          <w:tcPr>
            <w:tcW w:w="2975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25" w:type="dxa"/>
            <w:shd w:val="clear" w:color="auto" w:fill="auto"/>
          </w:tcPr>
          <w:p w:rsidR="00A414F4" w:rsidRDefault="00A414F4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0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3" w:type="dxa"/>
            <w:tcBorders>
              <w:bottom w:val="single" w:sz="4" w:space="0" w:color="000001"/>
            </w:tcBorders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v %</w:t>
            </w:r>
          </w:p>
        </w:tc>
      </w:tr>
      <w:tr w:rsidR="00A414F4">
        <w:trPr>
          <w:trHeight w:val="250"/>
        </w:trPr>
        <w:tc>
          <w:tcPr>
            <w:tcW w:w="3401" w:type="dxa"/>
            <w:gridSpan w:val="2"/>
            <w:shd w:val="clear" w:color="auto" w:fill="auto"/>
          </w:tcPr>
          <w:p w:rsidR="00A414F4" w:rsidRDefault="0044003B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</w:t>
            </w: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až 30</w:t>
            </w:r>
          </w:p>
        </w:tc>
        <w:tc>
          <w:tcPr>
            <w:tcW w:w="140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3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 až 5</w:t>
            </w:r>
          </w:p>
        </w:tc>
      </w:tr>
      <w:tr w:rsidR="00A414F4">
        <w:trPr>
          <w:trHeight w:val="250"/>
        </w:trPr>
        <w:tc>
          <w:tcPr>
            <w:tcW w:w="3401" w:type="dxa"/>
            <w:gridSpan w:val="2"/>
            <w:shd w:val="clear" w:color="auto" w:fill="auto"/>
          </w:tcPr>
          <w:p w:rsidR="00A414F4" w:rsidRDefault="0044003B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až 12</w:t>
            </w:r>
          </w:p>
        </w:tc>
        <w:tc>
          <w:tcPr>
            <w:tcW w:w="140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3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 až 20</w:t>
            </w:r>
          </w:p>
        </w:tc>
      </w:tr>
      <w:tr w:rsidR="00A414F4">
        <w:trPr>
          <w:trHeight w:val="250"/>
        </w:trPr>
        <w:tc>
          <w:tcPr>
            <w:tcW w:w="3401" w:type="dxa"/>
            <w:gridSpan w:val="2"/>
            <w:shd w:val="clear" w:color="auto" w:fill="auto"/>
          </w:tcPr>
          <w:p w:rsidR="00A414F4" w:rsidRDefault="0044003B">
            <w:pPr>
              <w:pStyle w:val="Tabulk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 až 4  </w:t>
            </w:r>
          </w:p>
        </w:tc>
        <w:tc>
          <w:tcPr>
            <w:tcW w:w="140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  <w:tc>
          <w:tcPr>
            <w:tcW w:w="141" w:type="dxa"/>
            <w:shd w:val="clear" w:color="auto" w:fill="auto"/>
          </w:tcPr>
          <w:p w:rsidR="00A414F4" w:rsidRDefault="00A414F4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3" w:type="dxa"/>
            <w:shd w:val="clear" w:color="auto" w:fill="auto"/>
          </w:tcPr>
          <w:p w:rsidR="00A414F4" w:rsidRDefault="0044003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až 33,3</w:t>
            </w:r>
          </w:p>
        </w:tc>
      </w:tr>
    </w:tbl>
    <w:p w:rsidR="00A414F4" w:rsidRDefault="0044003B">
      <w:pPr>
        <w:pStyle w:val="Pismenka"/>
        <w:tabs>
          <w:tab w:val="left" w:pos="66"/>
        </w:tabs>
        <w:ind w:left="360" w:hanging="360"/>
        <w:rPr>
          <w:b w:val="0"/>
          <w:bCs/>
          <w:sz w:val="22"/>
          <w:szCs w:val="22"/>
        </w:rPr>
      </w:pPr>
      <w:r>
        <w:rPr>
          <w:b w:val="0"/>
          <w:bCs/>
          <w:sz w:val="22"/>
          <w:szCs w:val="22"/>
        </w:rPr>
        <w:tab/>
        <w:t xml:space="preserve">   </w:t>
      </w:r>
    </w:p>
    <w:p w:rsidR="00A414F4" w:rsidRDefault="0044003B">
      <w:pPr>
        <w:pStyle w:val="Zarkazkladnhotextu21"/>
        <w:tabs>
          <w:tab w:val="left" w:pos="284"/>
        </w:tabs>
        <w:ind w:left="0" w:firstLine="0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11.   Dlhodobé a krátkodobé pohľadávky, záväzky, úvery a pôžičky</w:t>
      </w:r>
    </w:p>
    <w:p w:rsidR="00A414F4" w:rsidRDefault="0044003B">
      <w:pPr>
        <w:pStyle w:val="Normlny1"/>
        <w:tabs>
          <w:tab w:val="left" w:pos="284"/>
        </w:tabs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Tieto položky súvahy so zostatkovou dobou splatnosti nad 12 mesiacov sú vykázané ako dlhodobé          a s dobou splatnosti pod 12 mesiacov ako krátkodobé. Tá časť položky so zostatkovou dobou splatnosti nad 12 mesiacov, ktorá je splatná do 12 mesiacov, je vykázaná ako krátkodobá.</w:t>
      </w:r>
    </w:p>
    <w:p w:rsidR="00A414F4" w:rsidRDefault="00A414F4">
      <w:pPr>
        <w:pStyle w:val="Normlny1"/>
        <w:tabs>
          <w:tab w:val="left" w:pos="284"/>
        </w:tabs>
        <w:ind w:left="284"/>
        <w:jc w:val="both"/>
        <w:rPr>
          <w:sz w:val="22"/>
          <w:szCs w:val="22"/>
        </w:rPr>
      </w:pPr>
    </w:p>
    <w:p w:rsidR="00A414F4" w:rsidRDefault="0044003B">
      <w:pPr>
        <w:pStyle w:val="Pismenka"/>
        <w:ind w:hanging="426"/>
        <w:rPr>
          <w:sz w:val="22"/>
          <w:szCs w:val="22"/>
        </w:rPr>
      </w:pPr>
      <w:r>
        <w:rPr>
          <w:sz w:val="22"/>
          <w:szCs w:val="22"/>
        </w:rPr>
        <w:t>12.  Cudzia mena</w:t>
      </w:r>
    </w:p>
    <w:p w:rsidR="00A414F4" w:rsidRDefault="0044003B">
      <w:pPr>
        <w:pStyle w:val="Normlny1"/>
        <w:tabs>
          <w:tab w:val="left" w:pos="284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Majetok a záväzky vyjadrené v cudzej mene sa prepočítavajú na eurá referenčným výmenným           kurzom  určeným  a vyhláseným  Európskou centrálnou bankou v deň predchádzajúci dňu uskutočnenia účtovného prípadu alebo v iný deň, ak to ustanovuje osobitný predpis a v deň, ku ktorému sa zostavuje účtovná závierka. Kurzové rozdiely sa účtujú s vplyvom na výsledok hospodárenia.</w:t>
      </w:r>
    </w:p>
    <w:p w:rsidR="00A414F4" w:rsidRDefault="00A414F4">
      <w:pPr>
        <w:pStyle w:val="Normlny1"/>
        <w:tabs>
          <w:tab w:val="left" w:pos="284"/>
        </w:tabs>
        <w:jc w:val="both"/>
        <w:rPr>
          <w:sz w:val="22"/>
          <w:szCs w:val="22"/>
        </w:rPr>
      </w:pPr>
    </w:p>
    <w:p w:rsidR="00245B14" w:rsidRDefault="00245B14">
      <w:pPr>
        <w:pStyle w:val="Normlny1"/>
        <w:tabs>
          <w:tab w:val="left" w:pos="284"/>
        </w:tabs>
        <w:jc w:val="both"/>
        <w:rPr>
          <w:sz w:val="22"/>
          <w:szCs w:val="22"/>
        </w:rPr>
      </w:pPr>
    </w:p>
    <w:p w:rsidR="00245B14" w:rsidRDefault="00245B14">
      <w:pPr>
        <w:pStyle w:val="Normlny1"/>
        <w:tabs>
          <w:tab w:val="left" w:pos="284"/>
        </w:tabs>
        <w:jc w:val="both"/>
        <w:rPr>
          <w:sz w:val="22"/>
          <w:szCs w:val="22"/>
        </w:rPr>
      </w:pPr>
    </w:p>
    <w:p w:rsidR="00A414F4" w:rsidRDefault="0044003B">
      <w:pPr>
        <w:pStyle w:val="Normlny1"/>
        <w:tabs>
          <w:tab w:val="left" w:pos="284"/>
        </w:tabs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13. Opravy chýb minulých účtovných období</w:t>
      </w:r>
    </w:p>
    <w:p w:rsidR="002B6C88" w:rsidRDefault="0044003B">
      <w:pPr>
        <w:pStyle w:val="Normlny1"/>
        <w:tabs>
          <w:tab w:val="left" w:pos="284"/>
        </w:tabs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Opravy chýb minulých účtovných období, o ktorých sa účtuje v bežnom účtovnom období, presahujúce v jednotlivom prípade hodnotu 0,1 % z celkových výnosov, resp. nákladov sú účtované na účty nerozdelených ziskov alebo strát minulých období. Nevýznamné opravy chýb minulých období, ktoré nepresahujú v jednotlivom prípade hodnotu 0,1 % z celkových výnosov, resp. nákladov sú účtované s vplyvom na hospodársky výsledok bežného účtovného obdobia. V roku 2017 boli na účet nerozdeleného zisku zúčtované výnosy z dodatočne vyrubených pokút vo výške 13.732 €</w:t>
      </w:r>
      <w:r w:rsidR="002B6C88">
        <w:rPr>
          <w:sz w:val="22"/>
          <w:szCs w:val="22"/>
        </w:rPr>
        <w:t>, čo vyvolalo potrebu podať dodatočné daňové priznanie k dani z príjmov za rok 2016 s nedoplatkom dane v objeme 3.021 €.</w:t>
      </w:r>
      <w:r>
        <w:rPr>
          <w:sz w:val="22"/>
          <w:szCs w:val="22"/>
        </w:rPr>
        <w:t xml:space="preserve"> Do nákladov roka 2017 boli zúčtované nevýznamné opravy chýb roka 201</w:t>
      </w:r>
      <w:r w:rsidR="00245B14">
        <w:rPr>
          <w:sz w:val="22"/>
          <w:szCs w:val="22"/>
        </w:rPr>
        <w:t>3</w:t>
      </w:r>
      <w:r>
        <w:rPr>
          <w:sz w:val="22"/>
          <w:szCs w:val="22"/>
        </w:rPr>
        <w:t xml:space="preserve"> vo výške </w:t>
      </w:r>
      <w:r w:rsidR="00245B14">
        <w:rPr>
          <w:sz w:val="22"/>
          <w:szCs w:val="22"/>
        </w:rPr>
        <w:t>160</w:t>
      </w:r>
      <w:r>
        <w:rPr>
          <w:sz w:val="22"/>
          <w:szCs w:val="22"/>
        </w:rPr>
        <w:t xml:space="preserve"> € </w:t>
      </w:r>
      <w:r w:rsidR="00245B14">
        <w:rPr>
          <w:sz w:val="22"/>
          <w:szCs w:val="22"/>
        </w:rPr>
        <w:t>a roka 2016 v hodnote 601 € a</w:t>
      </w:r>
      <w:r>
        <w:rPr>
          <w:sz w:val="22"/>
          <w:szCs w:val="22"/>
        </w:rPr>
        <w:t xml:space="preserve">ko zníženie zisku bežného obdobia. </w:t>
      </w:r>
    </w:p>
    <w:p w:rsidR="002B6C88" w:rsidRDefault="002B6C88">
      <w:pPr>
        <w:pStyle w:val="Normlny1"/>
        <w:tabs>
          <w:tab w:val="left" w:pos="284"/>
        </w:tabs>
        <w:ind w:left="360"/>
        <w:jc w:val="both"/>
      </w:pPr>
    </w:p>
    <w:p w:rsidR="00A414F4" w:rsidRDefault="0044003B">
      <w:pPr>
        <w:pStyle w:val="Normlny1"/>
        <w:tabs>
          <w:tab w:val="left" w:pos="-76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14.   Dotácie</w:t>
      </w:r>
    </w:p>
    <w:p w:rsidR="00A414F4" w:rsidRDefault="0044003B">
      <w:pPr>
        <w:pStyle w:val="Normlny1"/>
        <w:tabs>
          <w:tab w:val="left" w:pos="435"/>
          <w:tab w:val="left" w:pos="450"/>
        </w:tabs>
        <w:ind w:left="435"/>
        <w:jc w:val="both"/>
      </w:pPr>
      <w:r>
        <w:rPr>
          <w:sz w:val="22"/>
          <w:szCs w:val="22"/>
        </w:rPr>
        <w:tab/>
        <w:t xml:space="preserve">V roku 2017 účtovná jednotka čerpala poskytnutú dotáciu – príspevok na mzdu a poistné od ÚPSVaR na podporu zamestnávania absolventov škôl. Čerpanie príspevku v roku 2017 predstavovalo sumu </w:t>
      </w:r>
      <w:r w:rsidR="002B6C88">
        <w:rPr>
          <w:sz w:val="22"/>
          <w:szCs w:val="22"/>
        </w:rPr>
        <w:t xml:space="preserve">2.147,50 </w:t>
      </w:r>
      <w:r>
        <w:rPr>
          <w:sz w:val="22"/>
          <w:szCs w:val="22"/>
        </w:rPr>
        <w:t>€.</w:t>
      </w:r>
      <w:r w:rsidR="002B6C88">
        <w:rPr>
          <w:sz w:val="22"/>
          <w:szCs w:val="22"/>
        </w:rPr>
        <w:t xml:space="preserve"> Zároveň mala spoločnosť povinnosť vrátiť ½ dotácie – príspevku na mzdu v objeme 2.315,08 € poskytnutú v roku 2016 vzhľadom na ukončenie pracovného pomeru s absolventom a neúspešnú snahu zamestnať náhradného absolventa.</w:t>
      </w:r>
    </w:p>
    <w:p w:rsidR="00A414F4" w:rsidRDefault="00A414F4">
      <w:pPr>
        <w:pStyle w:val="Normlny1"/>
        <w:tabs>
          <w:tab w:val="left" w:pos="435"/>
          <w:tab w:val="left" w:pos="450"/>
        </w:tabs>
        <w:ind w:left="435"/>
        <w:jc w:val="both"/>
        <w:rPr>
          <w:sz w:val="22"/>
          <w:szCs w:val="22"/>
        </w:rPr>
      </w:pPr>
    </w:p>
    <w:p w:rsidR="00A414F4" w:rsidRDefault="00A414F4">
      <w:pPr>
        <w:pStyle w:val="Normlny1"/>
        <w:tabs>
          <w:tab w:val="left" w:pos="284"/>
        </w:tabs>
        <w:ind w:left="360"/>
        <w:jc w:val="both"/>
        <w:rPr>
          <w:sz w:val="22"/>
          <w:szCs w:val="22"/>
        </w:rPr>
      </w:pPr>
    </w:p>
    <w:p w:rsidR="00A414F4" w:rsidRDefault="0044003B">
      <w:pPr>
        <w:pStyle w:val="Nadpis1"/>
        <w:rPr>
          <w:sz w:val="22"/>
          <w:szCs w:val="22"/>
        </w:rPr>
      </w:pPr>
      <w:bookmarkStart w:id="2" w:name="_Toc530739900"/>
      <w:bookmarkEnd w:id="2"/>
      <w:r>
        <w:rPr>
          <w:sz w:val="22"/>
          <w:szCs w:val="22"/>
        </w:rPr>
        <w:t>c.   Informácie o údajoch zo súvahy</w:t>
      </w: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sz w:val="22"/>
          <w:szCs w:val="22"/>
        </w:rPr>
      </w:pPr>
      <w:r>
        <w:rPr>
          <w:sz w:val="22"/>
          <w:szCs w:val="22"/>
        </w:rPr>
        <w:t>1.    Neobežný majetok (r. 02 Súvahy)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44003B">
      <w:pPr>
        <w:pStyle w:val="Normlny1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vlastní dopravné prostriedky a stavebné stroje, ktoré odpisuje v súlade s uvedeným odpisovým plánom. Vozidlá obstarané formou </w:t>
      </w:r>
      <w:proofErr w:type="spellStart"/>
      <w:r>
        <w:rPr>
          <w:sz w:val="22"/>
          <w:szCs w:val="22"/>
        </w:rPr>
        <w:t>autoúveru</w:t>
      </w:r>
      <w:proofErr w:type="spellEnd"/>
      <w:r>
        <w:rPr>
          <w:sz w:val="22"/>
          <w:szCs w:val="22"/>
        </w:rPr>
        <w:t xml:space="preserve"> sú predmetom záložného práva.</w:t>
      </w:r>
    </w:p>
    <w:p w:rsidR="00A414F4" w:rsidRDefault="00A414F4">
      <w:pPr>
        <w:pStyle w:val="Normlny1"/>
        <w:rPr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right w:val="single" w:sz="8" w:space="0" w:color="000001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6056"/>
        <w:gridCol w:w="2996"/>
      </w:tblGrid>
      <w:tr w:rsidR="00A414F4">
        <w:trPr>
          <w:jc w:val="center"/>
        </w:trPr>
        <w:tc>
          <w:tcPr>
            <w:tcW w:w="6070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001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 za bežné účtovné obdobie</w:t>
            </w:r>
          </w:p>
        </w:tc>
      </w:tr>
      <w:tr w:rsidR="00A414F4">
        <w:trPr>
          <w:trHeight w:val="340"/>
          <w:jc w:val="center"/>
        </w:trPr>
        <w:tc>
          <w:tcPr>
            <w:tcW w:w="607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B6C88" w:rsidRDefault="004400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majetok, na ktorý je zriadené záložné právo</w:t>
            </w:r>
            <w:r w:rsidR="002B6C88">
              <w:rPr>
                <w:sz w:val="22"/>
                <w:szCs w:val="22"/>
              </w:rPr>
              <w:t xml:space="preserve"> v OC</w:t>
            </w:r>
          </w:p>
        </w:tc>
        <w:tc>
          <w:tcPr>
            <w:tcW w:w="30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2B6C88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98 284</w:t>
            </w:r>
          </w:p>
        </w:tc>
      </w:tr>
    </w:tbl>
    <w:p w:rsidR="00A414F4" w:rsidRDefault="00A414F4">
      <w:pPr>
        <w:pStyle w:val="Nzov"/>
        <w:spacing w:before="0" w:after="0"/>
        <w:jc w:val="left"/>
        <w:rPr>
          <w:rFonts w:ascii="Times New Roman" w:hAnsi="Times New Roman"/>
          <w:szCs w:val="22"/>
        </w:rPr>
      </w:pPr>
    </w:p>
    <w:p w:rsidR="00A414F4" w:rsidRDefault="00A414F4">
      <w:pPr>
        <w:pStyle w:val="Nadpis2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sz w:val="22"/>
          <w:szCs w:val="22"/>
        </w:rPr>
      </w:pPr>
      <w:bookmarkStart w:id="3" w:name="_Toc530739904"/>
      <w:r>
        <w:rPr>
          <w:sz w:val="22"/>
          <w:szCs w:val="22"/>
        </w:rPr>
        <w:t>2.    Pohľadávky</w:t>
      </w:r>
      <w:bookmarkEnd w:id="3"/>
      <w:r>
        <w:rPr>
          <w:sz w:val="22"/>
          <w:szCs w:val="22"/>
        </w:rPr>
        <w:t xml:space="preserve"> ( r. 41 a 53 Súvahy)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44003B">
      <w:pPr>
        <w:pStyle w:val="Telotextu"/>
        <w:ind w:left="0" w:firstLine="360"/>
        <w:rPr>
          <w:sz w:val="22"/>
          <w:szCs w:val="22"/>
        </w:rPr>
      </w:pPr>
      <w:r>
        <w:rPr>
          <w:sz w:val="22"/>
          <w:szCs w:val="22"/>
        </w:rPr>
        <w:t>Štruktúra pohľadávok podľa zostatkovej doby splatnosti:</w:t>
      </w:r>
    </w:p>
    <w:p w:rsidR="00A414F4" w:rsidRDefault="00A414F4">
      <w:pPr>
        <w:pStyle w:val="Telotextu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3659"/>
        <w:gridCol w:w="2846"/>
        <w:gridCol w:w="2547"/>
      </w:tblGrid>
      <w:tr w:rsidR="00A414F4" w:rsidTr="007337AD">
        <w:trPr>
          <w:trHeight w:val="768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7337AD" w:rsidTr="007337AD">
        <w:trPr>
          <w:trHeight w:val="442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414 754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258 583</w:t>
            </w:r>
          </w:p>
        </w:tc>
      </w:tr>
      <w:tr w:rsidR="007337AD" w:rsidTr="007337AD">
        <w:trPr>
          <w:trHeight w:val="385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so zostatkovou dobou splatnosti nad päť rokov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50 574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38 381</w:t>
            </w:r>
          </w:p>
        </w:tc>
      </w:tr>
      <w:tr w:rsidR="007337AD" w:rsidTr="007337AD">
        <w:trPr>
          <w:trHeight w:val="405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so zostatkovou dobou splatnosti jeden rok až päť rokov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364 180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220 202</w:t>
            </w:r>
          </w:p>
        </w:tc>
      </w:tr>
      <w:tr w:rsidR="007337AD" w:rsidTr="007337AD">
        <w:trPr>
          <w:trHeight w:val="425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2 315 331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1 863 352</w:t>
            </w:r>
          </w:p>
        </w:tc>
      </w:tr>
      <w:tr w:rsidR="007337AD" w:rsidTr="007337AD">
        <w:trPr>
          <w:trHeight w:val="357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 lehote splatnosti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E91F53" w:rsidP="00E91F53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2 004 868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1 555 362</w:t>
            </w:r>
          </w:p>
        </w:tc>
      </w:tr>
      <w:tr w:rsidR="007337AD" w:rsidTr="007337AD">
        <w:trPr>
          <w:trHeight w:val="403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7337AD" w:rsidP="007337A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7337AD" w:rsidRDefault="000B5FA9" w:rsidP="00E91F53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  <w:r w:rsidR="00E91F53">
              <w:rPr>
                <w:bCs/>
                <w:sz w:val="22"/>
                <w:szCs w:val="22"/>
              </w:rPr>
              <w:t>10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E91F53">
              <w:rPr>
                <w:bCs/>
                <w:sz w:val="22"/>
                <w:szCs w:val="22"/>
              </w:rPr>
              <w:t>463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7337AD" w:rsidRDefault="007337AD" w:rsidP="007337AD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307 990</w:t>
            </w:r>
          </w:p>
        </w:tc>
      </w:tr>
    </w:tbl>
    <w:p w:rsidR="00A414F4" w:rsidRDefault="00A414F4">
      <w:pPr>
        <w:pStyle w:val="Nzov"/>
        <w:widowControl w:val="0"/>
        <w:spacing w:before="0" w:after="0"/>
        <w:ind w:left="360"/>
        <w:jc w:val="left"/>
        <w:rPr>
          <w:rFonts w:ascii="Times New Roman" w:hAnsi="Times New Roman"/>
          <w:szCs w:val="22"/>
        </w:rPr>
      </w:pPr>
    </w:p>
    <w:p w:rsidR="000B5FA9" w:rsidRDefault="000B5FA9">
      <w:pPr>
        <w:pStyle w:val="Nzov"/>
        <w:widowControl w:val="0"/>
        <w:spacing w:before="0" w:after="0"/>
        <w:ind w:left="360"/>
        <w:jc w:val="left"/>
        <w:rPr>
          <w:rFonts w:ascii="Times New Roman" w:hAnsi="Times New Roman"/>
          <w:szCs w:val="22"/>
        </w:rPr>
      </w:pPr>
    </w:p>
    <w:p w:rsidR="00A414F4" w:rsidRDefault="0044003B">
      <w:pPr>
        <w:pStyle w:val="Nzov"/>
        <w:spacing w:before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o vývoji opravnej položky k pohľadávkam</w:t>
      </w:r>
    </w:p>
    <w:p w:rsidR="00A414F4" w:rsidRDefault="00A414F4">
      <w:pPr>
        <w:pStyle w:val="Normlny1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right w:val="single" w:sz="8" w:space="0" w:color="000001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7"/>
        <w:gridCol w:w="1196"/>
        <w:gridCol w:w="1667"/>
        <w:gridCol w:w="1630"/>
        <w:gridCol w:w="1287"/>
      </w:tblGrid>
      <w:tr w:rsidR="00A414F4" w:rsidTr="000B5FA9">
        <w:trPr>
          <w:jc w:val="center"/>
        </w:trPr>
        <w:tc>
          <w:tcPr>
            <w:tcW w:w="2015" w:type="dxa"/>
            <w:vMerge w:val="restart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037" w:type="dxa"/>
            <w:gridSpan w:val="5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414F4" w:rsidTr="000B5FA9">
        <w:trPr>
          <w:jc w:val="center"/>
        </w:trPr>
        <w:tc>
          <w:tcPr>
            <w:tcW w:w="2015" w:type="dxa"/>
            <w:vMerge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A414F4">
            <w:pPr>
              <w:pStyle w:val="Normlny1"/>
              <w:suppressAutoHyphens w:val="0"/>
              <w:spacing w:after="200"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196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67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30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287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A414F4" w:rsidTr="000B5FA9">
        <w:trPr>
          <w:jc w:val="center"/>
        </w:trPr>
        <w:tc>
          <w:tcPr>
            <w:tcW w:w="2015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57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96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30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0B5FA9" w:rsidTr="000B5FA9">
        <w:trPr>
          <w:trHeight w:val="397"/>
          <w:jc w:val="center"/>
        </w:trPr>
        <w:tc>
          <w:tcPr>
            <w:tcW w:w="2015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25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201 215</w:t>
            </w:r>
          </w:p>
        </w:tc>
        <w:tc>
          <w:tcPr>
            <w:tcW w:w="1196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16 057</w:t>
            </w:r>
          </w:p>
        </w:tc>
        <w:tc>
          <w:tcPr>
            <w:tcW w:w="128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185 158</w:t>
            </w:r>
          </w:p>
        </w:tc>
      </w:tr>
      <w:tr w:rsidR="000B5FA9" w:rsidTr="000B5FA9">
        <w:trPr>
          <w:trHeight w:val="454"/>
          <w:jc w:val="center"/>
        </w:trPr>
        <w:tc>
          <w:tcPr>
            <w:tcW w:w="201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25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B5FA9" w:rsidTr="000B5FA9">
        <w:trPr>
          <w:trHeight w:val="445"/>
          <w:jc w:val="center"/>
        </w:trPr>
        <w:tc>
          <w:tcPr>
            <w:tcW w:w="201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201 215</w:t>
            </w:r>
          </w:p>
        </w:tc>
        <w:tc>
          <w:tcPr>
            <w:tcW w:w="1196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16 057</w:t>
            </w:r>
          </w:p>
        </w:tc>
        <w:tc>
          <w:tcPr>
            <w:tcW w:w="1287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185 158</w:t>
            </w:r>
          </w:p>
        </w:tc>
      </w:tr>
    </w:tbl>
    <w:p w:rsidR="00A414F4" w:rsidRDefault="00A414F4">
      <w:pPr>
        <w:pStyle w:val="Nzov"/>
        <w:widowControl w:val="0"/>
        <w:spacing w:before="0" w:after="0"/>
        <w:jc w:val="left"/>
        <w:rPr>
          <w:rFonts w:ascii="Times New Roman" w:hAnsi="Times New Roman"/>
          <w:szCs w:val="22"/>
        </w:rPr>
      </w:pPr>
    </w:p>
    <w:p w:rsidR="00A414F4" w:rsidRDefault="00A414F4">
      <w:pPr>
        <w:pStyle w:val="Nzov"/>
        <w:widowControl w:val="0"/>
        <w:spacing w:before="0" w:after="0"/>
        <w:ind w:firstLine="426"/>
        <w:jc w:val="left"/>
        <w:rPr>
          <w:rFonts w:ascii="Times New Roman" w:hAnsi="Times New Roman"/>
          <w:szCs w:val="22"/>
        </w:rPr>
      </w:pPr>
    </w:p>
    <w:p w:rsidR="000B5FA9" w:rsidRDefault="000B5FA9">
      <w:pPr>
        <w:pStyle w:val="Nzov"/>
        <w:widowControl w:val="0"/>
        <w:spacing w:before="0" w:after="0"/>
        <w:ind w:firstLine="426"/>
        <w:jc w:val="left"/>
        <w:rPr>
          <w:rFonts w:ascii="Times New Roman" w:hAnsi="Times New Roman"/>
          <w:szCs w:val="22"/>
        </w:rPr>
      </w:pPr>
    </w:p>
    <w:p w:rsidR="00A414F4" w:rsidRDefault="0044003B">
      <w:pPr>
        <w:pStyle w:val="Nzov"/>
        <w:spacing w:before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Informácie o pohľadávkach zabezpečených záložným právom alebo inou formou zabezpečenia </w:t>
      </w:r>
    </w:p>
    <w:p w:rsidR="00A414F4" w:rsidRDefault="00A414F4">
      <w:pPr>
        <w:pStyle w:val="Normlny1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right w:val="single" w:sz="8" w:space="0" w:color="000001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32"/>
        <w:gridCol w:w="2161"/>
      </w:tblGrid>
      <w:tr w:rsidR="00A414F4">
        <w:trPr>
          <w:jc w:val="center"/>
        </w:trPr>
        <w:tc>
          <w:tcPr>
            <w:tcW w:w="4673" w:type="dxa"/>
            <w:vMerge w:val="restart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414F4">
        <w:trPr>
          <w:jc w:val="center"/>
        </w:trPr>
        <w:tc>
          <w:tcPr>
            <w:tcW w:w="4673" w:type="dxa"/>
            <w:vMerge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A414F4">
            <w:pPr>
              <w:pStyle w:val="Normlny1"/>
              <w:suppressAutoHyphens w:val="0"/>
              <w:spacing w:after="200"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234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 záložného práva</w:t>
            </w:r>
          </w:p>
        </w:tc>
        <w:tc>
          <w:tcPr>
            <w:tcW w:w="2165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pohľadávky</w:t>
            </w:r>
          </w:p>
        </w:tc>
      </w:tr>
      <w:tr w:rsidR="00A414F4">
        <w:trPr>
          <w:trHeight w:val="510"/>
          <w:jc w:val="center"/>
        </w:trPr>
        <w:tc>
          <w:tcPr>
            <w:tcW w:w="4673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Normlny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  <w:tc>
          <w:tcPr>
            <w:tcW w:w="2165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A414F4" w:rsidRDefault="0044003B">
            <w:pPr>
              <w:pStyle w:val="Normlny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A414F4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A414F4" w:rsidRDefault="0044003B">
            <w:pPr>
              <w:pStyle w:val="Normlny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A414F4" w:rsidRDefault="000B5FA9" w:rsidP="000B5FA9">
            <w:pPr>
              <w:pStyle w:val="Normlny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4003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097</w:t>
            </w:r>
            <w:r w:rsidR="0044003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169</w:t>
            </w:r>
          </w:p>
        </w:tc>
      </w:tr>
    </w:tbl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Normlny1"/>
        <w:jc w:val="both"/>
        <w:rPr>
          <w:sz w:val="22"/>
          <w:szCs w:val="22"/>
        </w:rPr>
      </w:pPr>
      <w:r>
        <w:rPr>
          <w:sz w:val="22"/>
          <w:szCs w:val="22"/>
        </w:rPr>
        <w:t>Na pohľadávky je zriadené záložné právo ako zábezpeka za poskytnuté bankové záruky. K 31.12.201</w:t>
      </w:r>
      <w:r w:rsidR="000B5FA9">
        <w:rPr>
          <w:sz w:val="22"/>
          <w:szCs w:val="22"/>
        </w:rPr>
        <w:t>7</w:t>
      </w:r>
      <w:r>
        <w:rPr>
          <w:sz w:val="22"/>
          <w:szCs w:val="22"/>
        </w:rPr>
        <w:t xml:space="preserve"> boli spoločnosti poskytnuté bankové záruky v hodnote </w:t>
      </w:r>
      <w:r w:rsidR="000B5FA9">
        <w:rPr>
          <w:sz w:val="22"/>
          <w:szCs w:val="22"/>
        </w:rPr>
        <w:t>1.180.427</w:t>
      </w:r>
      <w:r>
        <w:rPr>
          <w:sz w:val="22"/>
          <w:szCs w:val="22"/>
        </w:rPr>
        <w:t xml:space="preserve"> €.</w:t>
      </w:r>
    </w:p>
    <w:p w:rsidR="00A414F4" w:rsidRDefault="00A414F4">
      <w:pPr>
        <w:pStyle w:val="Normlny1"/>
        <w:rPr>
          <w:sz w:val="22"/>
          <w:szCs w:val="22"/>
        </w:rPr>
      </w:pPr>
    </w:p>
    <w:p w:rsidR="000B5FA9" w:rsidRDefault="000B5FA9">
      <w:pPr>
        <w:pStyle w:val="Normlny1"/>
        <w:rPr>
          <w:sz w:val="22"/>
          <w:szCs w:val="22"/>
        </w:rPr>
      </w:pP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sz w:val="22"/>
          <w:szCs w:val="22"/>
        </w:rPr>
      </w:pPr>
      <w:bookmarkStart w:id="4" w:name="_Toc530739905"/>
      <w:r>
        <w:rPr>
          <w:sz w:val="22"/>
          <w:szCs w:val="22"/>
        </w:rPr>
        <w:t>3.    Finančné účty</w:t>
      </w:r>
      <w:bookmarkEnd w:id="4"/>
      <w:r>
        <w:rPr>
          <w:sz w:val="22"/>
          <w:szCs w:val="22"/>
        </w:rPr>
        <w:t xml:space="preserve"> (r. 71 Súvahy)</w:t>
      </w: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Telotextu"/>
        <w:ind w:left="0"/>
        <w:rPr>
          <w:sz w:val="22"/>
          <w:szCs w:val="22"/>
        </w:rPr>
      </w:pPr>
      <w:r>
        <w:rPr>
          <w:sz w:val="22"/>
          <w:szCs w:val="22"/>
        </w:rPr>
        <w:t>Bežnými účtami môže spoločnosť voľne disponovať. Účtovná jednotka má v banke vedený samostatný účet s vinkuláciou prostriedkov do 30.06.2018 zriadený ako garančná zábezpeka namiesto zádržného na splnenie záväzkov počas trvania záručnej doby. Spoločnosť má jeden termínovaný vklad</w:t>
      </w:r>
      <w:bookmarkStart w:id="5" w:name="_Toc530739906"/>
      <w:bookmarkEnd w:id="5"/>
      <w:r>
        <w:rPr>
          <w:sz w:val="22"/>
          <w:szCs w:val="22"/>
        </w:rPr>
        <w:t xml:space="preserve"> slúžiaci ako zábezpeka za bankovú záruku s dobou platnosti do 30.06.2020.</w:t>
      </w:r>
    </w:p>
    <w:p w:rsidR="00A414F4" w:rsidRDefault="00A414F4">
      <w:pPr>
        <w:pStyle w:val="Telotextu"/>
        <w:ind w:left="0"/>
        <w:rPr>
          <w:sz w:val="22"/>
          <w:szCs w:val="22"/>
        </w:rPr>
      </w:pPr>
    </w:p>
    <w:p w:rsidR="00A414F4" w:rsidRDefault="00A414F4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0B5FA9" w:rsidRDefault="000B5FA9">
      <w:pPr>
        <w:pStyle w:val="Telotextu"/>
        <w:ind w:left="0"/>
        <w:rPr>
          <w:sz w:val="22"/>
          <w:szCs w:val="22"/>
        </w:rPr>
      </w:pPr>
    </w:p>
    <w:p w:rsidR="00A414F4" w:rsidRDefault="0044003B">
      <w:pPr>
        <w:pStyle w:val="Telotextu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4.    </w:t>
      </w:r>
      <w:bookmarkStart w:id="6" w:name="_Toc530739909"/>
      <w:r>
        <w:rPr>
          <w:b/>
          <w:bCs/>
          <w:sz w:val="22"/>
          <w:szCs w:val="22"/>
        </w:rPr>
        <w:t>Záväzky</w:t>
      </w:r>
      <w:bookmarkEnd w:id="6"/>
      <w:r>
        <w:rPr>
          <w:b/>
          <w:bCs/>
          <w:sz w:val="22"/>
          <w:szCs w:val="22"/>
        </w:rPr>
        <w:t xml:space="preserve"> (r. 102 a 122 Súvahy)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44003B">
      <w:pPr>
        <w:pStyle w:val="Telotextu"/>
        <w:ind w:left="0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 doby splatnosti:</w:t>
      </w:r>
    </w:p>
    <w:p w:rsidR="00A414F4" w:rsidRDefault="00A414F4">
      <w:pPr>
        <w:pStyle w:val="Telotextu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3659"/>
        <w:gridCol w:w="2846"/>
        <w:gridCol w:w="2547"/>
      </w:tblGrid>
      <w:tr w:rsidR="00A414F4" w:rsidTr="000B5FA9">
        <w:trPr>
          <w:trHeight w:val="768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B5FA9" w:rsidTr="000B5FA9">
        <w:trPr>
          <w:trHeight w:val="442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599 710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615 312</w:t>
            </w:r>
          </w:p>
        </w:tc>
      </w:tr>
      <w:tr w:rsidR="000B5FA9" w:rsidTr="000B5FA9">
        <w:trPr>
          <w:trHeight w:val="385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13 277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19 272</w:t>
            </w:r>
          </w:p>
        </w:tc>
      </w:tr>
      <w:tr w:rsidR="000B5FA9" w:rsidTr="000B5FA9">
        <w:trPr>
          <w:trHeight w:val="405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44003B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586 433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596 040</w:t>
            </w:r>
          </w:p>
        </w:tc>
      </w:tr>
      <w:tr w:rsidR="000B5FA9" w:rsidTr="000B5FA9">
        <w:trPr>
          <w:trHeight w:val="491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E91F53" w:rsidP="000B5FA9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1 680 120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0B5FA9" w:rsidRDefault="000B5FA9" w:rsidP="00E91F53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1 25</w:t>
            </w:r>
            <w:r w:rsidR="00E91F53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91F53">
              <w:rPr>
                <w:b/>
                <w:sz w:val="22"/>
                <w:szCs w:val="22"/>
              </w:rPr>
              <w:t>078</w:t>
            </w:r>
          </w:p>
        </w:tc>
      </w:tr>
      <w:tr w:rsidR="000B5FA9" w:rsidTr="000B5FA9">
        <w:trPr>
          <w:trHeight w:val="357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E91F53" w:rsidP="000B5FA9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1 156 090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0B5FA9" w:rsidRDefault="00E91F53" w:rsidP="00E91F53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933 906</w:t>
            </w:r>
          </w:p>
        </w:tc>
      </w:tr>
      <w:tr w:rsidR="000B5FA9" w:rsidTr="000B5FA9">
        <w:trPr>
          <w:trHeight w:val="403"/>
          <w:jc w:val="center"/>
        </w:trPr>
        <w:tc>
          <w:tcPr>
            <w:tcW w:w="365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0B5FA9" w:rsidP="000B5FA9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846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0B5FA9" w:rsidRDefault="00E91F53" w:rsidP="000B5FA9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524 030</w:t>
            </w:r>
          </w:p>
        </w:tc>
        <w:tc>
          <w:tcPr>
            <w:tcW w:w="2547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0B5FA9" w:rsidRDefault="000B5FA9" w:rsidP="000B5FA9">
            <w:pPr>
              <w:pStyle w:val="Normlny1"/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318 172</w:t>
            </w:r>
          </w:p>
        </w:tc>
      </w:tr>
    </w:tbl>
    <w:p w:rsidR="00A414F4" w:rsidRDefault="00A414F4">
      <w:pPr>
        <w:pStyle w:val="Normlny1"/>
        <w:rPr>
          <w:sz w:val="22"/>
          <w:szCs w:val="22"/>
        </w:rPr>
      </w:pPr>
    </w:p>
    <w:p w:rsidR="0056650F" w:rsidRDefault="0056650F">
      <w:pPr>
        <w:pStyle w:val="Normlny1"/>
        <w:rPr>
          <w:sz w:val="22"/>
          <w:szCs w:val="22"/>
        </w:rPr>
      </w:pPr>
    </w:p>
    <w:p w:rsidR="00A414F4" w:rsidRDefault="0044003B">
      <w:pPr>
        <w:pStyle w:val="Nadpis2"/>
        <w:numPr>
          <w:ilvl w:val="1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Rezervy (r.118 a 136 Súvahy)</w:t>
      </w:r>
    </w:p>
    <w:p w:rsidR="00A414F4" w:rsidRDefault="00A414F4">
      <w:pPr>
        <w:pStyle w:val="Normlny1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right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2537"/>
        <w:gridCol w:w="1817"/>
        <w:gridCol w:w="999"/>
        <w:gridCol w:w="1105"/>
        <w:gridCol w:w="1105"/>
        <w:gridCol w:w="1489"/>
      </w:tblGrid>
      <w:tr w:rsidR="00A414F4" w:rsidTr="00E91F53">
        <w:trPr>
          <w:trHeight w:val="330"/>
          <w:jc w:val="center"/>
        </w:trPr>
        <w:tc>
          <w:tcPr>
            <w:tcW w:w="2537" w:type="dxa"/>
            <w:vMerge w:val="restart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6515" w:type="dxa"/>
            <w:gridSpan w:val="5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414F4" w:rsidTr="00E91F53">
        <w:trPr>
          <w:trHeight w:val="345"/>
          <w:jc w:val="center"/>
        </w:trPr>
        <w:tc>
          <w:tcPr>
            <w:tcW w:w="2537" w:type="dxa"/>
            <w:vMerge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A414F4">
            <w:pPr>
              <w:pStyle w:val="Normlny1"/>
              <w:suppressAutoHyphens w:val="0"/>
              <w:spacing w:after="200"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817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1105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1105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1489" w:type="dxa"/>
            <w:tcBorders>
              <w:top w:val="single" w:sz="8" w:space="0" w:color="000001"/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2E2B3B" w:rsidTr="00E91F53">
        <w:trPr>
          <w:trHeight w:val="330"/>
          <w:jc w:val="center"/>
        </w:trPr>
        <w:tc>
          <w:tcPr>
            <w:tcW w:w="25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81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42 051</w:t>
            </w:r>
          </w:p>
        </w:tc>
        <w:tc>
          <w:tcPr>
            <w:tcW w:w="999" w:type="dxa"/>
            <w:tcBorders>
              <w:top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44 003</w:t>
            </w:r>
          </w:p>
        </w:tc>
        <w:tc>
          <w:tcPr>
            <w:tcW w:w="1105" w:type="dxa"/>
            <w:tcBorders>
              <w:top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42 051</w:t>
            </w:r>
          </w:p>
        </w:tc>
        <w:tc>
          <w:tcPr>
            <w:tcW w:w="1105" w:type="dxa"/>
            <w:tcBorders>
              <w:top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44 003</w:t>
            </w:r>
          </w:p>
        </w:tc>
      </w:tr>
      <w:tr w:rsidR="002E2B3B" w:rsidTr="00E91F53">
        <w:trPr>
          <w:trHeight w:val="369"/>
          <w:jc w:val="center"/>
        </w:trPr>
        <w:tc>
          <w:tcPr>
            <w:tcW w:w="253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záručné opravy a reklamácie</w:t>
            </w:r>
          </w:p>
        </w:tc>
        <w:tc>
          <w:tcPr>
            <w:tcW w:w="181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42 051</w:t>
            </w:r>
          </w:p>
        </w:tc>
        <w:tc>
          <w:tcPr>
            <w:tcW w:w="999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44 003</w:t>
            </w:r>
          </w:p>
        </w:tc>
        <w:tc>
          <w:tcPr>
            <w:tcW w:w="1105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42 051</w:t>
            </w:r>
          </w:p>
        </w:tc>
        <w:tc>
          <w:tcPr>
            <w:tcW w:w="1105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44 003</w:t>
            </w:r>
          </w:p>
        </w:tc>
      </w:tr>
      <w:tr w:rsidR="002E2B3B" w:rsidTr="00E91F53">
        <w:trPr>
          <w:trHeight w:val="330"/>
          <w:jc w:val="center"/>
        </w:trPr>
        <w:tc>
          <w:tcPr>
            <w:tcW w:w="253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81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53 358</w:t>
            </w:r>
          </w:p>
        </w:tc>
        <w:tc>
          <w:tcPr>
            <w:tcW w:w="999" w:type="dxa"/>
            <w:tcBorders>
              <w:top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90 242</w:t>
            </w:r>
          </w:p>
        </w:tc>
      </w:tr>
      <w:tr w:rsidR="002E2B3B" w:rsidTr="00E91F53">
        <w:trPr>
          <w:trHeight w:val="369"/>
          <w:jc w:val="center"/>
        </w:trPr>
        <w:tc>
          <w:tcPr>
            <w:tcW w:w="253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</w:t>
            </w:r>
          </w:p>
        </w:tc>
        <w:tc>
          <w:tcPr>
            <w:tcW w:w="181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24 519</w:t>
            </w:r>
          </w:p>
        </w:tc>
        <w:tc>
          <w:tcPr>
            <w:tcW w:w="999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30 266</w:t>
            </w:r>
          </w:p>
        </w:tc>
        <w:tc>
          <w:tcPr>
            <w:tcW w:w="1105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22 689</w:t>
            </w:r>
          </w:p>
        </w:tc>
        <w:tc>
          <w:tcPr>
            <w:tcW w:w="1105" w:type="dxa"/>
            <w:tcBorders>
              <w:top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1 830</w:t>
            </w:r>
          </w:p>
        </w:tc>
        <w:tc>
          <w:tcPr>
            <w:tcW w:w="1489" w:type="dxa"/>
            <w:tcBorders>
              <w:top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30 266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253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nevyfakturované dodávky</w:t>
            </w:r>
          </w:p>
        </w:tc>
        <w:tc>
          <w:tcPr>
            <w:tcW w:w="181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28 839</w:t>
            </w:r>
          </w:p>
        </w:tc>
        <w:tc>
          <w:tcPr>
            <w:tcW w:w="99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28 839</w:t>
            </w:r>
          </w:p>
        </w:tc>
      </w:tr>
      <w:tr w:rsidR="002E2B3B" w:rsidTr="00E91F53">
        <w:trPr>
          <w:trHeight w:val="369"/>
          <w:jc w:val="center"/>
        </w:trPr>
        <w:tc>
          <w:tcPr>
            <w:tcW w:w="2537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nevyfakturované dodávky</w:t>
            </w:r>
            <w:r>
              <w:rPr>
                <w:sz w:val="22"/>
                <w:szCs w:val="22"/>
              </w:rPr>
              <w:t xml:space="preserve"> - nedaňová</w:t>
            </w:r>
          </w:p>
        </w:tc>
        <w:tc>
          <w:tcPr>
            <w:tcW w:w="1817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31 137</w:t>
            </w:r>
          </w:p>
        </w:tc>
        <w:tc>
          <w:tcPr>
            <w:tcW w:w="1105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1"/>
              <w:bottom w:val="single" w:sz="8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31 137</w:t>
            </w:r>
          </w:p>
        </w:tc>
      </w:tr>
    </w:tbl>
    <w:p w:rsidR="00A414F4" w:rsidRDefault="00A414F4">
      <w:pPr>
        <w:pStyle w:val="Normlny1"/>
        <w:spacing w:before="120" w:after="200"/>
        <w:rPr>
          <w:sz w:val="22"/>
          <w:szCs w:val="22"/>
        </w:rPr>
      </w:pPr>
    </w:p>
    <w:p w:rsidR="00A414F4" w:rsidRDefault="0044003B" w:rsidP="002E2B3B">
      <w:pPr>
        <w:pStyle w:val="Normlny1"/>
        <w:spacing w:before="120" w:after="200"/>
        <w:jc w:val="both"/>
      </w:pPr>
      <w:r>
        <w:rPr>
          <w:sz w:val="22"/>
          <w:szCs w:val="22"/>
        </w:rPr>
        <w:t>V roku 2017 bola vytvorená rezerva na sporné nevyfakturované dodávky stavebných prác vo výške 31.137 €.</w:t>
      </w:r>
      <w:r w:rsidR="002E2B3B">
        <w:rPr>
          <w:sz w:val="22"/>
          <w:szCs w:val="22"/>
        </w:rPr>
        <w:t xml:space="preserve"> </w:t>
      </w:r>
    </w:p>
    <w:p w:rsidR="00A414F4" w:rsidRDefault="00A414F4" w:rsidP="002E2B3B">
      <w:pPr>
        <w:pStyle w:val="Nadpis1"/>
        <w:ind w:left="502" w:hanging="360"/>
        <w:jc w:val="both"/>
        <w:rPr>
          <w:sz w:val="22"/>
          <w:szCs w:val="22"/>
        </w:rPr>
      </w:pPr>
    </w:p>
    <w:p w:rsidR="0056650F" w:rsidRDefault="0056650F" w:rsidP="0056650F">
      <w:pPr>
        <w:pStyle w:val="Nadpis2"/>
        <w:numPr>
          <w:ilvl w:val="1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Bankové úvery</w:t>
      </w:r>
      <w:r>
        <w:rPr>
          <w:sz w:val="22"/>
          <w:szCs w:val="22"/>
        </w:rPr>
        <w:t xml:space="preserve"> (r.</w:t>
      </w:r>
      <w:r w:rsidR="0072489F">
        <w:rPr>
          <w:sz w:val="22"/>
          <w:szCs w:val="22"/>
        </w:rPr>
        <w:t>139</w:t>
      </w:r>
      <w:r>
        <w:rPr>
          <w:sz w:val="22"/>
          <w:szCs w:val="22"/>
        </w:rPr>
        <w:t xml:space="preserve"> Súvahy)</w:t>
      </w:r>
    </w:p>
    <w:p w:rsidR="00A414F4" w:rsidRDefault="00A414F4">
      <w:pPr>
        <w:pStyle w:val="Normlny1"/>
        <w:rPr>
          <w:sz w:val="22"/>
          <w:szCs w:val="22"/>
        </w:rPr>
      </w:pPr>
    </w:p>
    <w:p w:rsidR="00784D5F" w:rsidRDefault="0072489F">
      <w:pPr>
        <w:pStyle w:val="Normlny1"/>
        <w:rPr>
          <w:sz w:val="22"/>
          <w:szCs w:val="22"/>
        </w:rPr>
      </w:pPr>
      <w:r>
        <w:rPr>
          <w:sz w:val="22"/>
          <w:szCs w:val="22"/>
        </w:rPr>
        <w:t xml:space="preserve">Účtovnej jednotke bol poskytnutý kontokorentný úver s limitom 750.000 € s úrokovou sadzbou 2,4 %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>. Zostatok úveru k 31.12.2017 bol 0 €.</w:t>
      </w:r>
    </w:p>
    <w:p w:rsidR="00784D5F" w:rsidRDefault="00784D5F">
      <w:pPr>
        <w:pStyle w:val="Normlny1"/>
        <w:rPr>
          <w:sz w:val="22"/>
          <w:szCs w:val="22"/>
        </w:rPr>
      </w:pPr>
    </w:p>
    <w:p w:rsidR="00784D5F" w:rsidRDefault="00784D5F">
      <w:pPr>
        <w:pStyle w:val="Normlny1"/>
        <w:rPr>
          <w:sz w:val="22"/>
          <w:szCs w:val="22"/>
        </w:rPr>
      </w:pPr>
    </w:p>
    <w:p w:rsidR="00D72139" w:rsidRDefault="00D72139">
      <w:pPr>
        <w:pStyle w:val="Normlny1"/>
        <w:rPr>
          <w:sz w:val="22"/>
          <w:szCs w:val="22"/>
        </w:rPr>
      </w:pPr>
    </w:p>
    <w:p w:rsidR="00A414F4" w:rsidRDefault="0044003B">
      <w:pPr>
        <w:pStyle w:val="Nadpis1"/>
        <w:rPr>
          <w:sz w:val="22"/>
          <w:szCs w:val="22"/>
        </w:rPr>
      </w:pPr>
      <w:r>
        <w:rPr>
          <w:sz w:val="22"/>
          <w:szCs w:val="22"/>
        </w:rPr>
        <w:t>d.   Informácie K VÝKAZU ZISKOV A</w:t>
      </w:r>
      <w:r w:rsidR="00784D5F">
        <w:rPr>
          <w:sz w:val="22"/>
          <w:szCs w:val="22"/>
        </w:rPr>
        <w:t> </w:t>
      </w:r>
      <w:r>
        <w:rPr>
          <w:sz w:val="22"/>
          <w:szCs w:val="22"/>
        </w:rPr>
        <w:t>STRÁT</w:t>
      </w:r>
    </w:p>
    <w:p w:rsidR="00784D5F" w:rsidRDefault="00784D5F">
      <w:pPr>
        <w:pStyle w:val="Nadpis1"/>
        <w:rPr>
          <w:sz w:val="22"/>
          <w:szCs w:val="22"/>
        </w:rPr>
      </w:pPr>
    </w:p>
    <w:p w:rsidR="00A414F4" w:rsidRDefault="00A414F4">
      <w:pPr>
        <w:pStyle w:val="Nadpis2"/>
        <w:ind w:left="360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sz w:val="22"/>
          <w:szCs w:val="22"/>
        </w:rPr>
      </w:pPr>
      <w:bookmarkStart w:id="7" w:name="_Toc530739914"/>
      <w:bookmarkEnd w:id="7"/>
      <w:r>
        <w:rPr>
          <w:sz w:val="22"/>
          <w:szCs w:val="22"/>
        </w:rPr>
        <w:t>1.    Výnosy (r. 2 a 29 Výkazu ziskov a strát)</w:t>
      </w:r>
    </w:p>
    <w:p w:rsidR="00A414F4" w:rsidRDefault="00A414F4">
      <w:pPr>
        <w:pStyle w:val="Telotextu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644"/>
        <w:gridCol w:w="1703"/>
        <w:gridCol w:w="1705"/>
      </w:tblGrid>
      <w:tr w:rsidR="00A414F4" w:rsidTr="002E2B3B">
        <w:trPr>
          <w:trHeight w:val="362"/>
          <w:jc w:val="center"/>
        </w:trPr>
        <w:tc>
          <w:tcPr>
            <w:tcW w:w="564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 w:rsidP="002E2B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Rok 201</w:t>
            </w:r>
            <w:r w:rsidR="002E2B3B">
              <w:rPr>
                <w:rFonts w:ascii="Times New Roman" w:hAnsi="Times New Roman"/>
              </w:rPr>
              <w:t>7</w:t>
            </w:r>
          </w:p>
        </w:tc>
        <w:tc>
          <w:tcPr>
            <w:tcW w:w="1705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A414F4" w:rsidRDefault="0044003B" w:rsidP="002E2B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Rok 201</w:t>
            </w:r>
            <w:r w:rsidR="002E2B3B">
              <w:rPr>
                <w:rFonts w:ascii="Times New Roman" w:hAnsi="Times New Roman"/>
              </w:rPr>
              <w:t>6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tovaru</w:t>
            </w:r>
          </w:p>
        </w:tc>
        <w:tc>
          <w:tcPr>
            <w:tcW w:w="1703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5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2 054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3 425 359</w:t>
            </w:r>
          </w:p>
        </w:tc>
        <w:tc>
          <w:tcPr>
            <w:tcW w:w="170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2 269 267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5 375 249</w:t>
            </w:r>
          </w:p>
        </w:tc>
        <w:tc>
          <w:tcPr>
            <w:tcW w:w="1705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5 337 301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109 603</w:t>
            </w:r>
          </w:p>
        </w:tc>
        <w:tc>
          <w:tcPr>
            <w:tcW w:w="170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5 444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predaja majetku a materiálu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6 579</w:t>
            </w:r>
          </w:p>
        </w:tc>
        <w:tc>
          <w:tcPr>
            <w:tcW w:w="170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1 050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2 148</w:t>
            </w:r>
          </w:p>
        </w:tc>
        <w:tc>
          <w:tcPr>
            <w:tcW w:w="170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7 645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 postúpených a odpísaných pohľadávok</w:t>
            </w:r>
          </w:p>
        </w:tc>
        <w:tc>
          <w:tcPr>
            <w:tcW w:w="1703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5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42 501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výnosy z hospodárskej činnosti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FA0AED" w:rsidP="00FA0AED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21 245</w:t>
            </w:r>
          </w:p>
        </w:tc>
        <w:tc>
          <w:tcPr>
            <w:tcW w:w="1705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70 119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výnosy</w:t>
            </w:r>
          </w:p>
        </w:tc>
        <w:tc>
          <w:tcPr>
            <w:tcW w:w="1703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FA0AED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</w:t>
            </w:r>
          </w:p>
        </w:tc>
        <w:tc>
          <w:tcPr>
            <w:tcW w:w="1705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</w:t>
            </w:r>
          </w:p>
        </w:tc>
      </w:tr>
      <w:tr w:rsidR="002E2B3B" w:rsidTr="002E2B3B">
        <w:trPr>
          <w:trHeight w:val="369"/>
          <w:jc w:val="center"/>
        </w:trPr>
        <w:tc>
          <w:tcPr>
            <w:tcW w:w="564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Výnosy spolu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FA0AED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8 940 392</w:t>
            </w:r>
          </w:p>
        </w:tc>
        <w:tc>
          <w:tcPr>
            <w:tcW w:w="1705" w:type="dxa"/>
            <w:tcBorders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center"/>
          </w:tcPr>
          <w:p w:rsidR="002E2B3B" w:rsidRDefault="002E2B3B" w:rsidP="002E2B3B">
            <w:pPr>
              <w:pStyle w:val="Normlny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7 735 497</w:t>
            </w:r>
          </w:p>
        </w:tc>
      </w:tr>
    </w:tbl>
    <w:p w:rsidR="00A414F4" w:rsidRDefault="00A414F4">
      <w:pPr>
        <w:pStyle w:val="Nadpis2"/>
        <w:ind w:left="360"/>
        <w:rPr>
          <w:sz w:val="22"/>
          <w:szCs w:val="22"/>
        </w:rPr>
      </w:pPr>
    </w:p>
    <w:p w:rsidR="00784D5F" w:rsidRDefault="00784D5F">
      <w:pPr>
        <w:pStyle w:val="Normlny1"/>
        <w:ind w:left="360"/>
        <w:rPr>
          <w:sz w:val="22"/>
          <w:szCs w:val="22"/>
        </w:rPr>
      </w:pPr>
    </w:p>
    <w:p w:rsidR="00784D5F" w:rsidRDefault="00784D5F">
      <w:pPr>
        <w:pStyle w:val="Normlny1"/>
        <w:ind w:left="360"/>
        <w:rPr>
          <w:sz w:val="22"/>
          <w:szCs w:val="22"/>
        </w:rPr>
      </w:pPr>
    </w:p>
    <w:p w:rsidR="00784D5F" w:rsidRDefault="00784D5F">
      <w:pPr>
        <w:pStyle w:val="Normlny1"/>
        <w:ind w:left="360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sz w:val="22"/>
          <w:szCs w:val="22"/>
        </w:rPr>
      </w:pPr>
      <w:bookmarkStart w:id="8" w:name="_MON_1405950002"/>
      <w:bookmarkEnd w:id="8"/>
      <w:r>
        <w:rPr>
          <w:sz w:val="22"/>
          <w:szCs w:val="22"/>
        </w:rPr>
        <w:t>2.    Náklady (r. 10 a 45 Výkazu ziskov a strát)</w:t>
      </w:r>
    </w:p>
    <w:p w:rsidR="00A414F4" w:rsidRDefault="00A414F4">
      <w:pPr>
        <w:pStyle w:val="Normlny1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left w:w="18" w:type="dxa"/>
          <w:right w:w="28" w:type="dxa"/>
        </w:tblCellMar>
        <w:tblLook w:val="04A0" w:firstRow="1" w:lastRow="0" w:firstColumn="1" w:lastColumn="0" w:noHBand="0" w:noVBand="1"/>
      </w:tblPr>
      <w:tblGrid>
        <w:gridCol w:w="5801"/>
        <w:gridCol w:w="1604"/>
        <w:gridCol w:w="1647"/>
      </w:tblGrid>
      <w:tr w:rsidR="00A414F4" w:rsidTr="00FA0AED">
        <w:trPr>
          <w:trHeight w:val="652"/>
          <w:jc w:val="center"/>
        </w:trPr>
        <w:tc>
          <w:tcPr>
            <w:tcW w:w="5801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A414F4" w:rsidRDefault="0044003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60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A414F4" w:rsidRDefault="00FA0AE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Rok 2017</w:t>
            </w:r>
          </w:p>
        </w:tc>
        <w:tc>
          <w:tcPr>
            <w:tcW w:w="164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A414F4" w:rsidRDefault="00FA0AE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Rok 2016</w:t>
            </w:r>
          </w:p>
        </w:tc>
      </w:tr>
      <w:tr w:rsidR="00FA0AED" w:rsidTr="00FA0AED">
        <w:trPr>
          <w:trHeight w:val="595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Náklady za poskytnuté služby</w:t>
            </w:r>
            <w:r w:rsidR="00784D5F">
              <w:rPr>
                <w:b/>
                <w:bCs/>
                <w:sz w:val="22"/>
                <w:szCs w:val="22"/>
              </w:rPr>
              <w:t xml:space="preserve"> (r. 14 výkazu) 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5 350 444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4 396 105</w:t>
            </w:r>
          </w:p>
        </w:tc>
      </w:tr>
      <w:tr w:rsidR="00FA0AED" w:rsidTr="00FA0AED">
        <w:trPr>
          <w:trHeight w:val="326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z toho </w:t>
            </w:r>
            <w:r w:rsidR="00784D5F">
              <w:rPr>
                <w:i/>
                <w:sz w:val="22"/>
                <w:szCs w:val="22"/>
              </w:rPr>
              <w:t xml:space="preserve">vybrané </w:t>
            </w:r>
            <w:r>
              <w:rPr>
                <w:i/>
                <w:sz w:val="22"/>
                <w:szCs w:val="22"/>
              </w:rPr>
              <w:t>významné položky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poddodávky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4 677 854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3 984 496</w:t>
            </w:r>
          </w:p>
        </w:tc>
      </w:tr>
      <w:tr w:rsidR="00FA0AED" w:rsidTr="00FA0AED">
        <w:trPr>
          <w:trHeight w:val="389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odvoz a zneškodnenie odpadu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61 263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64 690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opravy a údržba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47 346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38 141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cestovné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25 013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12 894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nájomné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135 948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129 866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telefón, internet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6 967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7 403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náklady na audit účtovnej závierky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3 100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2 600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</w:tcPr>
          <w:p w:rsidR="00FA0AED" w:rsidRDefault="00FA0AED" w:rsidP="00FA0AED">
            <w:pPr>
              <w:pStyle w:val="Normlny1"/>
              <w:ind w:firstLine="284"/>
              <w:jc w:val="both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reklamné služby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200 500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81 669</w:t>
            </w:r>
          </w:p>
        </w:tc>
      </w:tr>
      <w:tr w:rsidR="00784D5F" w:rsidTr="00FA0AED">
        <w:trPr>
          <w:trHeight w:val="584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784D5F" w:rsidRDefault="00784D5F" w:rsidP="00FA0AED">
            <w:pPr>
              <w:pStyle w:val="Normlny1"/>
              <w:rPr>
                <w:b/>
                <w:bCs/>
                <w:sz w:val="22"/>
                <w:szCs w:val="22"/>
              </w:rPr>
            </w:pPr>
          </w:p>
          <w:p w:rsidR="00D72139" w:rsidRDefault="00D72139" w:rsidP="00FA0AED">
            <w:pPr>
              <w:pStyle w:val="Normlny1"/>
              <w:rPr>
                <w:b/>
                <w:bCs/>
                <w:sz w:val="22"/>
                <w:szCs w:val="22"/>
              </w:rPr>
            </w:pPr>
          </w:p>
          <w:p w:rsidR="00D72139" w:rsidRDefault="00D72139" w:rsidP="00FA0AED">
            <w:pPr>
              <w:pStyle w:val="Normlny1"/>
              <w:rPr>
                <w:b/>
                <w:bCs/>
                <w:sz w:val="22"/>
                <w:szCs w:val="22"/>
              </w:rPr>
            </w:pPr>
            <w:bookmarkStart w:id="9" w:name="_GoBack"/>
            <w:bookmarkEnd w:id="9"/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784D5F" w:rsidRDefault="00784D5F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784D5F" w:rsidRDefault="00784D5F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FA0AED" w:rsidTr="00FA0AED">
        <w:trPr>
          <w:trHeight w:val="584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Významné položky nákladov z hospodárskej činnosti</w:t>
            </w:r>
            <w:r>
              <w:rPr>
                <w:b/>
                <w:sz w:val="22"/>
                <w:szCs w:val="22"/>
              </w:rPr>
              <w:t>, z toho: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84D5F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79 715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120 272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poistenie majetku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17 678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17 194</w:t>
            </w:r>
          </w:p>
        </w:tc>
      </w:tr>
      <w:tr w:rsidR="007A6117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7A6117" w:rsidRDefault="007A6117" w:rsidP="007A6117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pokuty, úroky z omeškania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7A6117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22 018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7A6117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1 195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 pohľadávok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925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84 700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a zúčtovanie OP k pohľadávkam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-25 759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</w:t>
            </w:r>
            <w:r w:rsidR="007A6117">
              <w:rPr>
                <w:sz w:val="22"/>
                <w:szCs w:val="22"/>
              </w:rPr>
              <w:t xml:space="preserve">a zúčtovanie </w:t>
            </w:r>
            <w:r>
              <w:rPr>
                <w:sz w:val="22"/>
                <w:szCs w:val="22"/>
              </w:rPr>
              <w:t>rezervy na stratu zo zákazkovej výroby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-4 909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4 909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rezervy na záručné opravy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7A6117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44 003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38 033</w:t>
            </w:r>
          </w:p>
        </w:tc>
      </w:tr>
      <w:tr w:rsidR="00FA0AED" w:rsidTr="00784D5F">
        <w:trPr>
          <w:trHeight w:val="574"/>
          <w:jc w:val="center"/>
        </w:trPr>
        <w:tc>
          <w:tcPr>
            <w:tcW w:w="5801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Finančné náklady</w:t>
            </w:r>
          </w:p>
        </w:tc>
        <w:tc>
          <w:tcPr>
            <w:tcW w:w="1604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44 191</w:t>
            </w:r>
          </w:p>
        </w:tc>
        <w:tc>
          <w:tcPr>
            <w:tcW w:w="1647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22 495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z toho významné položky: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i/>
                <w:szCs w:val="22"/>
              </w:rPr>
            </w:pP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32 086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8 165</w:t>
            </w:r>
          </w:p>
        </w:tc>
      </w:tr>
      <w:tr w:rsidR="00FA0AED" w:rsidTr="00FA0AED">
        <w:trPr>
          <w:trHeight w:val="330"/>
          <w:jc w:val="center"/>
        </w:trPr>
        <w:tc>
          <w:tcPr>
            <w:tcW w:w="5801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z úverov, pôžičiek a leasingov</w:t>
            </w:r>
          </w:p>
        </w:tc>
        <w:tc>
          <w:tcPr>
            <w:tcW w:w="1604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11 002</w:t>
            </w:r>
          </w:p>
        </w:tc>
        <w:tc>
          <w:tcPr>
            <w:tcW w:w="1647" w:type="dxa"/>
            <w:tcBorders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14 330</w:t>
            </w:r>
          </w:p>
        </w:tc>
      </w:tr>
      <w:tr w:rsidR="00FA0AED" w:rsidTr="00FA0AED">
        <w:trPr>
          <w:trHeight w:val="345"/>
          <w:jc w:val="center"/>
        </w:trPr>
        <w:tc>
          <w:tcPr>
            <w:tcW w:w="5801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Normlny1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ostatné</w:t>
            </w:r>
          </w:p>
        </w:tc>
        <w:tc>
          <w:tcPr>
            <w:tcW w:w="160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1 103</w:t>
            </w:r>
          </w:p>
        </w:tc>
        <w:tc>
          <w:tcPr>
            <w:tcW w:w="1647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18" w:type="dxa"/>
            </w:tcMar>
            <w:vAlign w:val="center"/>
          </w:tcPr>
          <w:p w:rsidR="00FA0AED" w:rsidRDefault="00FA0AED" w:rsidP="00FA0AED">
            <w:pPr>
              <w:pStyle w:val="Value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A414F4" w:rsidRDefault="0044003B">
      <w:pPr>
        <w:pStyle w:val="Normlny1"/>
        <w:jc w:val="both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</w:t>
      </w:r>
    </w:p>
    <w:p w:rsidR="00A414F4" w:rsidRDefault="00A414F4">
      <w:pPr>
        <w:pStyle w:val="Normlny1"/>
        <w:jc w:val="both"/>
        <w:rPr>
          <w:sz w:val="22"/>
          <w:szCs w:val="22"/>
          <w:lang w:eastAsia="sk-SK"/>
        </w:rPr>
      </w:pPr>
    </w:p>
    <w:p w:rsidR="00A414F4" w:rsidRDefault="00A414F4">
      <w:pPr>
        <w:pStyle w:val="Normlny1"/>
        <w:jc w:val="both"/>
        <w:rPr>
          <w:sz w:val="22"/>
          <w:szCs w:val="22"/>
          <w:lang w:eastAsia="sk-SK"/>
        </w:rPr>
      </w:pP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sz w:val="22"/>
          <w:szCs w:val="22"/>
        </w:rPr>
      </w:pPr>
      <w:r>
        <w:rPr>
          <w:sz w:val="22"/>
          <w:szCs w:val="22"/>
        </w:rPr>
        <w:t>E.   INFORMÁCIE O INÝCH POVINNOSTIACH</w:t>
      </w:r>
    </w:p>
    <w:p w:rsidR="00A414F4" w:rsidRDefault="00A414F4">
      <w:pPr>
        <w:pStyle w:val="Nadpis2"/>
        <w:ind w:left="360"/>
        <w:rPr>
          <w:sz w:val="22"/>
          <w:szCs w:val="22"/>
        </w:rPr>
      </w:pPr>
    </w:p>
    <w:p w:rsidR="00A414F4" w:rsidRDefault="0044003B">
      <w:pPr>
        <w:pStyle w:val="Nadpis2"/>
        <w:ind w:left="360" w:hanging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1.   Spoločnosť neposkytla žiadne pôžičky, záruky ani iné výhody členom štatutárnych orgánom.</w:t>
      </w:r>
    </w:p>
    <w:p w:rsidR="00A414F4" w:rsidRDefault="0044003B">
      <w:pPr>
        <w:pStyle w:val="Nadpis2"/>
        <w:ind w:left="360" w:hanging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2.   Transakcie so spriaznenými osobami sa uskutočňujú za obvyklých podmienok a za obvyklé ceny.</w:t>
      </w:r>
    </w:p>
    <w:p w:rsidR="00A414F4" w:rsidRDefault="0044003B">
      <w:pPr>
        <w:pStyle w:val="Nadpis2"/>
        <w:ind w:left="360" w:hanging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3.   Spoločnosť neeviduje žiadne finančné povinnosti, ktoré nie sú evidované v súvahe a neboli jej udelené žiadne výlučné alebo osobitné práva poskytovať služby vo verejnom záujme.</w:t>
      </w:r>
    </w:p>
    <w:p w:rsidR="00A414F4" w:rsidRDefault="00A414F4">
      <w:pPr>
        <w:pStyle w:val="Normlny1"/>
        <w:rPr>
          <w:sz w:val="22"/>
          <w:szCs w:val="22"/>
        </w:rPr>
      </w:pPr>
    </w:p>
    <w:p w:rsidR="00A414F4" w:rsidRDefault="00A414F4">
      <w:pPr>
        <w:pStyle w:val="Normlny1"/>
        <w:rPr>
          <w:sz w:val="22"/>
          <w:szCs w:val="22"/>
        </w:rPr>
      </w:pPr>
    </w:p>
    <w:p w:rsidR="00FA0AED" w:rsidRDefault="00FA0AED">
      <w:pPr>
        <w:pStyle w:val="Normlny1"/>
        <w:rPr>
          <w:sz w:val="22"/>
          <w:szCs w:val="22"/>
        </w:rPr>
      </w:pPr>
    </w:p>
    <w:p w:rsidR="00A414F4" w:rsidRDefault="0044003B" w:rsidP="00FA0AED">
      <w:pPr>
        <w:pStyle w:val="Nadpis1"/>
        <w:rPr>
          <w:sz w:val="22"/>
          <w:szCs w:val="22"/>
        </w:rPr>
      </w:pPr>
      <w:r>
        <w:rPr>
          <w:sz w:val="22"/>
          <w:szCs w:val="22"/>
        </w:rPr>
        <w:t>F.   Informácie o skutočnostiach, ktoré nastali po dni, ku ktorému sa    zostavuje účtovná závierka, do dňa zostavenia účtovnej závierky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44003B">
      <w:pPr>
        <w:pStyle w:val="Telotextu"/>
      </w:pPr>
      <w:r>
        <w:rPr>
          <w:sz w:val="22"/>
          <w:szCs w:val="22"/>
        </w:rPr>
        <w:t>Po 31. decembri 2017 d</w:t>
      </w:r>
      <w:r>
        <w:rPr>
          <w:sz w:val="22"/>
          <w:szCs w:val="22"/>
          <w:lang w:eastAsia="sk-SK"/>
        </w:rPr>
        <w:t>o dňa zostavenia účtovnej závierky nenastali žiadne také udalosti, ktoré by  významným spôsobom ovplyvnili aktíva, pasíva, náklady a výnosy spoločnosti.</w:t>
      </w:r>
    </w:p>
    <w:p w:rsidR="00A414F4" w:rsidRDefault="00A414F4">
      <w:pPr>
        <w:pStyle w:val="Telotextu"/>
        <w:rPr>
          <w:sz w:val="22"/>
          <w:szCs w:val="22"/>
        </w:rPr>
      </w:pPr>
    </w:p>
    <w:p w:rsidR="00A414F4" w:rsidRDefault="00A414F4">
      <w:pPr>
        <w:pStyle w:val="Telotextu"/>
      </w:pPr>
    </w:p>
    <w:sectPr w:rsidR="00A414F4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08"/>
      <w:formProt w:val="0"/>
      <w:docGrid w:linePitch="24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003B" w:rsidRDefault="0044003B">
      <w:pPr>
        <w:spacing w:line="240" w:lineRule="auto"/>
      </w:pPr>
      <w:r>
        <w:separator/>
      </w:r>
    </w:p>
  </w:endnote>
  <w:endnote w:type="continuationSeparator" w:id="0">
    <w:p w:rsidR="0044003B" w:rsidRDefault="004400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Univers 55"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003B" w:rsidRDefault="0044003B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 w:rsidR="00D72139">
      <w:rPr>
        <w:noProof/>
      </w:rPr>
      <w:t>8</w:t>
    </w:r>
    <w:r>
      <w:fldChar w:fldCharType="end"/>
    </w:r>
  </w:p>
  <w:p w:rsidR="0044003B" w:rsidRDefault="00440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003B" w:rsidRDefault="0044003B">
      <w:pPr>
        <w:spacing w:line="240" w:lineRule="auto"/>
      </w:pPr>
      <w:r>
        <w:separator/>
      </w:r>
    </w:p>
  </w:footnote>
  <w:footnote w:type="continuationSeparator" w:id="0">
    <w:p w:rsidR="0044003B" w:rsidRDefault="0044003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25" w:type="dxa"/>
      <w:tblInd w:w="115" w:type="dxa"/>
      <w:tblBorders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  <w:insideH w:val="single" w:sz="4" w:space="0" w:color="000001"/>
        <w:insideV w:val="single" w:sz="4" w:space="0" w:color="000001"/>
      </w:tblBorders>
      <w:tblCellMar>
        <w:left w:w="65" w:type="dxa"/>
        <w:right w:w="70" w:type="dxa"/>
      </w:tblCellMar>
      <w:tblLook w:val="04A0" w:firstRow="1" w:lastRow="0" w:firstColumn="1" w:lastColumn="0" w:noHBand="0" w:noVBand="1"/>
    </w:tblPr>
    <w:tblGrid>
      <w:gridCol w:w="2678"/>
      <w:gridCol w:w="2181"/>
      <w:gridCol w:w="567"/>
      <w:gridCol w:w="298"/>
      <w:gridCol w:w="299"/>
      <w:gridCol w:w="298"/>
      <w:gridCol w:w="298"/>
      <w:gridCol w:w="298"/>
      <w:gridCol w:w="299"/>
      <w:gridCol w:w="298"/>
      <w:gridCol w:w="298"/>
      <w:gridCol w:w="298"/>
      <w:gridCol w:w="315"/>
    </w:tblGrid>
    <w:tr w:rsidR="0044003B">
      <w:trPr>
        <w:trHeight w:val="330"/>
      </w:trPr>
      <w:tc>
        <w:tcPr>
          <w:tcW w:w="2677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44003B" w:rsidRDefault="0044003B">
          <w:pPr>
            <w:pStyle w:val="Normlny1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PODV 3 - 01</w:t>
          </w:r>
        </w:p>
      </w:tc>
      <w:tc>
        <w:tcPr>
          <w:tcW w:w="2181" w:type="dxa"/>
          <w:shd w:val="clear" w:color="auto" w:fill="auto"/>
          <w:vAlign w:val="bottom"/>
        </w:tcPr>
        <w:p w:rsidR="0044003B" w:rsidRDefault="0044003B">
          <w:pPr>
            <w:pStyle w:val="Normlny1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67" w:type="dxa"/>
          <w:shd w:val="clear" w:color="auto" w:fill="auto"/>
          <w:vAlign w:val="bottom"/>
        </w:tcPr>
        <w:p w:rsidR="0044003B" w:rsidRDefault="0044003B">
          <w:pPr>
            <w:pStyle w:val="Normlny1"/>
            <w:jc w:val="righ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8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9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9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31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9</w:t>
          </w:r>
        </w:p>
      </w:tc>
    </w:tr>
  </w:tbl>
  <w:p w:rsidR="0044003B" w:rsidRDefault="0044003B">
    <w:pPr>
      <w:pStyle w:val="Hlavika"/>
    </w:pPr>
    <w:r>
      <w:tab/>
    </w:r>
    <w:r>
      <w:tab/>
      <w:t xml:space="preserve">              </w:t>
    </w:r>
  </w:p>
  <w:tbl>
    <w:tblPr>
      <w:tblW w:w="7883" w:type="dxa"/>
      <w:tblInd w:w="11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476"/>
      <w:gridCol w:w="304"/>
      <w:gridCol w:w="303"/>
      <w:gridCol w:w="304"/>
      <w:gridCol w:w="303"/>
      <w:gridCol w:w="273"/>
      <w:gridCol w:w="303"/>
      <w:gridCol w:w="304"/>
      <w:gridCol w:w="313"/>
    </w:tblGrid>
    <w:tr w:rsidR="0044003B">
      <w:trPr>
        <w:trHeight w:val="269"/>
      </w:trPr>
      <w:tc>
        <w:tcPr>
          <w:tcW w:w="5475" w:type="dxa"/>
          <w:shd w:val="clear" w:color="auto" w:fill="auto"/>
          <w:vAlign w:val="bottom"/>
        </w:tcPr>
        <w:p w:rsidR="0044003B" w:rsidRDefault="0044003B">
          <w:pPr>
            <w:pStyle w:val="Normlny1"/>
            <w:jc w:val="righ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                                                                                                                                IČO</w:t>
          </w:r>
        </w:p>
      </w:tc>
      <w:tc>
        <w:tcPr>
          <w:tcW w:w="30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30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30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30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7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304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313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vAlign w:val="center"/>
        </w:tcPr>
        <w:p w:rsidR="0044003B" w:rsidRDefault="0044003B">
          <w:pPr>
            <w:pStyle w:val="Normlny1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</w:tr>
  </w:tbl>
  <w:p w:rsidR="0044003B" w:rsidRDefault="0044003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F78F0"/>
    <w:multiLevelType w:val="multilevel"/>
    <w:tmpl w:val="E59290A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2262162"/>
    <w:multiLevelType w:val="multilevel"/>
    <w:tmpl w:val="C4102B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" w15:restartNumberingAfterBreak="0">
    <w:nsid w:val="18843C30"/>
    <w:multiLevelType w:val="multilevel"/>
    <w:tmpl w:val="8766DDA8"/>
    <w:lvl w:ilvl="0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A7E0555"/>
    <w:multiLevelType w:val="multilevel"/>
    <w:tmpl w:val="7DA8F7AA"/>
    <w:lvl w:ilvl="0">
      <w:start w:val="1"/>
      <w:numFmt w:val="lowerLetter"/>
      <w:lvlText w:val="%1)"/>
      <w:lvlJc w:val="left"/>
      <w:pPr>
        <w:ind w:left="53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3DB15E87"/>
    <w:multiLevelType w:val="multilevel"/>
    <w:tmpl w:val="4AE83B38"/>
    <w:lvl w:ilvl="0">
      <w:start w:val="1"/>
      <w:numFmt w:val="upperLetter"/>
      <w:lvlText w:val="%1."/>
      <w:lvlJc w:val="left"/>
      <w:pPr>
        <w:ind w:left="502" w:hanging="360"/>
      </w:pPr>
      <w:rPr>
        <w:b w:val="0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b w:val="0"/>
        <w:sz w:val="22"/>
      </w:r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4F4"/>
    <w:rsid w:val="000B5FA9"/>
    <w:rsid w:val="00245B14"/>
    <w:rsid w:val="002B6C88"/>
    <w:rsid w:val="002E2B3B"/>
    <w:rsid w:val="0044003B"/>
    <w:rsid w:val="0056650F"/>
    <w:rsid w:val="0072489F"/>
    <w:rsid w:val="007337AD"/>
    <w:rsid w:val="00784D5F"/>
    <w:rsid w:val="007A6117"/>
    <w:rsid w:val="00A414F4"/>
    <w:rsid w:val="00AF05C9"/>
    <w:rsid w:val="00D72139"/>
    <w:rsid w:val="00E91F53"/>
    <w:rsid w:val="00FA0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7778C2-BB76-464E-86BE-30AD0EAD7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Cs w:val="22"/>
        <w:lang w:val="sk-SK" w:eastAsia="en-US" w:bidi="ar-SA"/>
      </w:rPr>
    </w:rPrDefault>
    <w:pPrDefault>
      <w:pPr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1"/>
    <w:pPr>
      <w:keepNext/>
      <w:tabs>
        <w:tab w:val="left" w:pos="-554"/>
        <w:tab w:val="left" w:pos="-502"/>
      </w:tabs>
      <w:outlineLvl w:val="0"/>
    </w:pPr>
    <w:rPr>
      <w:b/>
      <w:caps/>
      <w:sz w:val="18"/>
    </w:rPr>
  </w:style>
  <w:style w:type="paragraph" w:styleId="Nadpis2">
    <w:name w:val="heading 2"/>
    <w:basedOn w:val="Normlny1"/>
    <w:pPr>
      <w:keepNext/>
      <w:outlineLvl w:val="1"/>
    </w:pPr>
    <w:rPr>
      <w:b/>
      <w:sz w:val="18"/>
    </w:rPr>
  </w:style>
  <w:style w:type="paragraph" w:styleId="Nadpis5">
    <w:name w:val="heading 5"/>
    <w:basedOn w:val="Normlny1"/>
    <w:pPr>
      <w:keepNext/>
      <w:keepLines/>
      <w:spacing w:before="40" w:after="200"/>
      <w:outlineLvl w:val="4"/>
    </w:pPr>
    <w:rPr>
      <w:rFonts w:ascii="Cambria" w:hAnsi="Cambria"/>
      <w:color w:val="365F91"/>
    </w:rPr>
  </w:style>
  <w:style w:type="paragraph" w:styleId="Nadpis6">
    <w:name w:val="heading 6"/>
    <w:basedOn w:val="Normlny1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1"/>
    <w:pPr>
      <w:keepNext/>
      <w:keepLines/>
      <w:spacing w:before="200" w:after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pPr>
      <w:suppressAutoHyphens/>
      <w:spacing w:line="240" w:lineRule="auto"/>
    </w:pPr>
    <w:rPr>
      <w:rFonts w:ascii="Times New Roman" w:eastAsia="Times New Roman" w:hAnsi="Times New Roman"/>
      <w:szCs w:val="20"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Nadpis1Char">
    <w:name w:val="Nadpis 1 Char"/>
    <w:basedOn w:val="Predvolenpsmoodseku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18"/>
      <w:szCs w:val="20"/>
    </w:rPr>
  </w:style>
  <w:style w:type="character" w:styleId="Odkaznapoznmkupodiarou">
    <w:name w:val="footnote reference"/>
    <w:basedOn w:val="Predvolenpsmoodseku"/>
    <w:rPr>
      <w:rFonts w:cs="Times New Roman"/>
      <w:position w:val="0"/>
      <w:sz w:val="16"/>
      <w:szCs w:val="16"/>
      <w:vertAlign w:val="baseline"/>
    </w:rPr>
  </w:style>
  <w:style w:type="character" w:customStyle="1" w:styleId="zifChar">
    <w:name w:val="zif Char"/>
    <w:basedOn w:val="Predvolenpsmoodseku"/>
    <w:rPr>
      <w:rFonts w:ascii="Times" w:eastAsia="Times New Roman" w:hAnsi="Times" w:cs="Times New Roman"/>
      <w:sz w:val="20"/>
      <w:szCs w:val="20"/>
      <w:lang w:val="en-US"/>
    </w:rPr>
  </w:style>
  <w:style w:type="character" w:customStyle="1" w:styleId="Nadpis9Char">
    <w:name w:val="Nadpis 9 Char"/>
    <w:basedOn w:val="Predvolenpsmoodseku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TextbublinyChar">
    <w:name w:val="Text bubliny Char"/>
    <w:basedOn w:val="Predvolenpsmoodseku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rPr>
      <w:sz w:val="16"/>
      <w:szCs w:val="16"/>
    </w:rPr>
  </w:style>
  <w:style w:type="character" w:customStyle="1" w:styleId="TextkomentraChar">
    <w:name w:val="Text komentára Char"/>
    <w:basedOn w:val="Predvolenpsmoodseku"/>
    <w:rPr>
      <w:rFonts w:ascii="Times New Roman" w:eastAsia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zovChar">
    <w:name w:val="Názov Char"/>
    <w:basedOn w:val="Predvolenpsmoodseku"/>
    <w:rPr>
      <w:rFonts w:ascii="Arial Narrow" w:eastAsia="Times New Roman" w:hAnsi="Arial Narrow" w:cs="Times New Roman"/>
      <w:b/>
      <w:bCs/>
      <w:szCs w:val="32"/>
    </w:rPr>
  </w:style>
  <w:style w:type="character" w:customStyle="1" w:styleId="Nadpis5Char">
    <w:name w:val="Nadpis 5 Char"/>
    <w:basedOn w:val="Predvolenpsmoodseku"/>
    <w:rPr>
      <w:rFonts w:ascii="Cambria" w:eastAsia="Times New Roman" w:hAnsi="Cambria" w:cs="Times New Roman"/>
      <w:color w:val="365F91"/>
      <w:sz w:val="20"/>
      <w:szCs w:val="20"/>
    </w:rPr>
  </w:style>
  <w:style w:type="character" w:customStyle="1" w:styleId="Znakyprepoznmkupodiarou">
    <w:name w:val="Znaky pre poznámku pod čiarou"/>
  </w:style>
  <w:style w:type="character" w:customStyle="1" w:styleId="ListLabel1">
    <w:name w:val="ListLabel 1"/>
    <w:rPr>
      <w:rFonts w:cs="Times New Roman"/>
      <w:b w:val="0"/>
      <w:sz w:val="22"/>
    </w:rPr>
  </w:style>
  <w:style w:type="character" w:customStyle="1" w:styleId="ListLabel2">
    <w:name w:val="ListLabel 2"/>
    <w:rPr>
      <w:rFonts w:eastAsia="Times New Roman" w:cs="Times New Roman"/>
    </w:rPr>
  </w:style>
  <w:style w:type="character" w:customStyle="1" w:styleId="ListLabel3">
    <w:name w:val="ListLabel 3"/>
    <w:rPr>
      <w:rFonts w:cs="Courier New"/>
    </w:rPr>
  </w:style>
  <w:style w:type="paragraph" w:customStyle="1" w:styleId="Nadpis">
    <w:name w:val="Nadpis"/>
    <w:basedOn w:val="Normlny1"/>
    <w:next w:val="Te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1"/>
    <w:pPr>
      <w:spacing w:line="288" w:lineRule="auto"/>
      <w:ind w:left="426"/>
      <w:jc w:val="both"/>
    </w:pPr>
    <w:rPr>
      <w:sz w:val="18"/>
    </w:r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1"/>
    <w:rPr>
      <w:sz w:val="24"/>
      <w:u w:val="single"/>
      <w:lang w:val="cs-CZ" w:eastAsia="sk-SK"/>
    </w:rPr>
  </w:style>
  <w:style w:type="paragraph" w:customStyle="1" w:styleId="Index">
    <w:name w:val="Index"/>
    <w:basedOn w:val="Normlny1"/>
    <w:pPr>
      <w:suppressLineNumbers/>
    </w:pPr>
    <w:rPr>
      <w:rFonts w:cs="Mangal"/>
    </w:rPr>
  </w:style>
  <w:style w:type="paragraph" w:styleId="Nzov">
    <w:name w:val="Title"/>
    <w:basedOn w:val="Normlny1"/>
    <w:pPr>
      <w:keepNext/>
      <w:spacing w:before="100" w:after="220"/>
      <w:jc w:val="center"/>
      <w:outlineLvl w:val="0"/>
    </w:pPr>
    <w:rPr>
      <w:rFonts w:ascii="Arial Narrow" w:hAnsi="Arial Narrow"/>
      <w:b/>
      <w:bCs/>
      <w:sz w:val="22"/>
      <w:szCs w:val="32"/>
    </w:rPr>
  </w:style>
  <w:style w:type="paragraph" w:styleId="Hlavika">
    <w:name w:val="header"/>
    <w:basedOn w:val="Normlny1"/>
    <w:pPr>
      <w:tabs>
        <w:tab w:val="center" w:pos="4536"/>
        <w:tab w:val="right" w:pos="9072"/>
      </w:tabs>
    </w:pPr>
  </w:style>
  <w:style w:type="paragraph" w:styleId="Pta">
    <w:name w:val="footer"/>
    <w:basedOn w:val="Normlny1"/>
    <w:pPr>
      <w:tabs>
        <w:tab w:val="center" w:pos="4536"/>
        <w:tab w:val="right" w:pos="9072"/>
      </w:tabs>
    </w:pPr>
  </w:style>
  <w:style w:type="paragraph" w:customStyle="1" w:styleId="Uvod">
    <w:name w:val="Uvod"/>
    <w:basedOn w:val="Normlny1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1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1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paragraph" w:styleId="Odsekzoznamu">
    <w:name w:val="List Paragraph"/>
    <w:basedOn w:val="Normlny1"/>
    <w:pPr>
      <w:ind w:left="708"/>
    </w:pPr>
  </w:style>
  <w:style w:type="paragraph" w:customStyle="1" w:styleId="Tabulka">
    <w:name w:val="Tabulka"/>
    <w:basedOn w:val="Normlny1"/>
    <w:rPr>
      <w:color w:val="000000"/>
      <w:sz w:val="18"/>
    </w:rPr>
  </w:style>
  <w:style w:type="paragraph" w:customStyle="1" w:styleId="Pismenka">
    <w:name w:val="Pismenka"/>
    <w:basedOn w:val="Telotextu"/>
    <w:pPr>
      <w:tabs>
        <w:tab w:val="left" w:pos="198"/>
      </w:tabs>
    </w:pPr>
    <w:rPr>
      <w:b/>
    </w:rPr>
  </w:style>
  <w:style w:type="paragraph" w:styleId="Textbubliny">
    <w:name w:val="Balloon Text"/>
    <w:basedOn w:val="Normlny1"/>
    <w:rPr>
      <w:rFonts w:ascii="Tahoma" w:hAnsi="Tahoma" w:cs="Tahoma"/>
      <w:sz w:val="16"/>
      <w:szCs w:val="16"/>
    </w:rPr>
  </w:style>
  <w:style w:type="paragraph" w:styleId="Textkomentra">
    <w:name w:val="annotation text"/>
    <w:basedOn w:val="Normlny1"/>
  </w:style>
  <w:style w:type="paragraph" w:styleId="Predmetkomentra">
    <w:name w:val="annotation subject"/>
    <w:basedOn w:val="Textkomentra"/>
    <w:rPr>
      <w:b/>
      <w:bCs/>
    </w:rPr>
  </w:style>
  <w:style w:type="paragraph" w:styleId="Revzia">
    <w:name w:val="Revision"/>
    <w:pPr>
      <w:suppressAutoHyphens/>
      <w:spacing w:line="240" w:lineRule="auto"/>
    </w:pPr>
    <w:rPr>
      <w:rFonts w:ascii="Times New Roman" w:eastAsia="Times New Roman" w:hAnsi="Times New Roman"/>
      <w:szCs w:val="20"/>
    </w:rPr>
  </w:style>
  <w:style w:type="paragraph" w:customStyle="1" w:styleId="Subhead2">
    <w:name w:val="Subhead 2"/>
    <w:basedOn w:val="Normlny1"/>
    <w:pPr>
      <w:tabs>
        <w:tab w:val="left" w:pos="1531"/>
      </w:tabs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1"/>
    <w:pPr>
      <w:spacing w:line="260" w:lineRule="exact"/>
    </w:pPr>
    <w:rPr>
      <w:rFonts w:ascii="Times" w:hAnsi="Times"/>
      <w:sz w:val="18"/>
      <w:lang w:val="en-GB"/>
    </w:rPr>
  </w:style>
  <w:style w:type="paragraph" w:styleId="Normlnywebov">
    <w:name w:val="Normal (Web)"/>
    <w:basedOn w:val="Normlny1"/>
    <w:pPr>
      <w:spacing w:before="100" w:after="100"/>
    </w:pPr>
    <w:rPr>
      <w:sz w:val="24"/>
      <w:szCs w:val="24"/>
      <w:lang w:eastAsia="sk-SK"/>
    </w:rPr>
  </w:style>
  <w:style w:type="paragraph" w:customStyle="1" w:styleId="TopHeader">
    <w:name w:val="Top Header"/>
    <w:basedOn w:val="Normlny1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1"/>
    <w:pPr>
      <w:jc w:val="right"/>
    </w:pPr>
    <w:rPr>
      <w:rFonts w:ascii="Arial Narrow" w:hAnsi="Arial Narrow"/>
      <w:sz w:val="22"/>
      <w:szCs w:val="24"/>
    </w:r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Zarkazkladnhotextu21">
    <w:name w:val="Zarážka základného textu 21"/>
    <w:basedOn w:val="Normlny1"/>
    <w:pPr>
      <w:ind w:left="284" w:hanging="284"/>
      <w:jc w:val="both"/>
    </w:pPr>
    <w:rPr>
      <w:sz w:val="24"/>
      <w:lang w:val="cs-CZ" w:eastAsia="ar-SA"/>
    </w:rPr>
  </w:style>
  <w:style w:type="paragraph" w:customStyle="1" w:styleId="Zarkazkladnhotextu31">
    <w:name w:val="Zarážka základného textu 31"/>
    <w:basedOn w:val="Normlny1"/>
    <w:pPr>
      <w:ind w:left="567" w:hanging="567"/>
      <w:jc w:val="both"/>
    </w:pPr>
    <w:rPr>
      <w:sz w:val="24"/>
      <w:lang w:val="cs-CZ" w:eastAsia="ar-SA"/>
    </w:rPr>
  </w:style>
  <w:style w:type="paragraph" w:customStyle="1" w:styleId="Zarkazkladnhotextu22">
    <w:name w:val="Zarážka základného textu 22"/>
    <w:basedOn w:val="Normlny1"/>
    <w:pPr>
      <w:ind w:left="284" w:hanging="284"/>
      <w:jc w:val="both"/>
    </w:pPr>
    <w:rPr>
      <w:sz w:val="24"/>
      <w:lang w:val="cs-CZ" w:eastAsia="ar-SA"/>
    </w:rPr>
  </w:style>
  <w:style w:type="paragraph" w:customStyle="1" w:styleId="western">
    <w:name w:val="western"/>
    <w:basedOn w:val="Normlny1"/>
    <w:pPr>
      <w:spacing w:before="100" w:after="200" w:line="288" w:lineRule="auto"/>
      <w:ind w:left="425"/>
      <w:jc w:val="both"/>
    </w:pPr>
    <w:rPr>
      <w:sz w:val="18"/>
      <w:szCs w:val="18"/>
      <w:lang w:eastAsia="sk-SK"/>
    </w:rPr>
  </w:style>
  <w:style w:type="paragraph" w:customStyle="1" w:styleId="Obsahtabuky">
    <w:name w:val="Obsah tabuľky"/>
    <w:basedOn w:val="Normlny1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numbering" w:customStyle="1" w:styleId="WWOutlineListStyle1">
    <w:name w:val="WW_OutlineListStyle_1"/>
  </w:style>
  <w:style w:type="numbering" w:customStyle="1" w:styleId="WWOutlineListStyle">
    <w:name w:val="WW_OutlineListStyle"/>
  </w:style>
  <w:style w:type="numbering" w:customStyle="1" w:styleId="LFO3">
    <w:name w:val="LFO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8</Pages>
  <Words>2136</Words>
  <Characters>12179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dunaj</cp:lastModifiedBy>
  <cp:revision>12</cp:revision>
  <cp:lastPrinted>2018-04-30T11:33:00Z</cp:lastPrinted>
  <dcterms:created xsi:type="dcterms:W3CDTF">2017-05-31T06:38:00Z</dcterms:created>
  <dcterms:modified xsi:type="dcterms:W3CDTF">2018-04-30T11:49:00Z</dcterms:modified>
  <dc:language>sk-SK</dc:language>
</cp:coreProperties>
</file>