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r>
      <w:r w:rsidRPr="00625B0D">
        <w:rPr>
          <w:rFonts w:ascii="Arial" w:hAnsi="Arial" w:cs="Arial"/>
        </w:rPr>
        <w:tab/>
      </w:r>
      <w:r w:rsidRPr="00625B0D">
        <w:rPr>
          <w:rFonts w:ascii="Arial" w:hAnsi="Arial" w:cs="Arial"/>
        </w:rPr>
        <w:tab/>
      </w:r>
    </w:p>
    <w:p w:rsidR="00625B0D" w:rsidRPr="00625B0D" w:rsidRDefault="00625B0D" w:rsidP="00625B0D">
      <w:pPr>
        <w:autoSpaceDE w:val="0"/>
        <w:autoSpaceDN w:val="0"/>
        <w:adjustRightInd w:val="0"/>
        <w:spacing w:after="0" w:line="240" w:lineRule="auto"/>
        <w:jc w:val="center"/>
        <w:rPr>
          <w:rFonts w:ascii="Arial" w:hAnsi="Arial" w:cs="Arial"/>
          <w:b/>
          <w:bCs/>
        </w:rPr>
      </w:pPr>
      <w:r w:rsidRPr="00625B0D">
        <w:rPr>
          <w:rFonts w:ascii="Arial" w:hAnsi="Arial" w:cs="Arial"/>
          <w:b/>
          <w:bCs/>
        </w:rPr>
        <w:t>Čl. I</w:t>
      </w:r>
    </w:p>
    <w:p w:rsidR="00625B0D" w:rsidRPr="00625B0D" w:rsidRDefault="00625B0D" w:rsidP="00625B0D">
      <w:pPr>
        <w:autoSpaceDE w:val="0"/>
        <w:autoSpaceDN w:val="0"/>
        <w:adjustRightInd w:val="0"/>
        <w:spacing w:after="0" w:line="240" w:lineRule="auto"/>
        <w:jc w:val="center"/>
        <w:rPr>
          <w:rFonts w:ascii="Arial" w:hAnsi="Arial" w:cs="Arial"/>
        </w:rPr>
      </w:pPr>
      <w:r w:rsidRPr="00625B0D">
        <w:rPr>
          <w:rFonts w:ascii="Arial" w:hAnsi="Arial" w:cs="Arial"/>
          <w:b/>
          <w:bCs/>
        </w:rPr>
        <w:t>Všeobecné údaje</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(1)</w:t>
      </w:r>
      <w:r w:rsidRPr="00625B0D">
        <w:rPr>
          <w:rFonts w:ascii="Arial" w:hAnsi="Arial" w:cs="Arial"/>
        </w:rPr>
        <w:tab/>
        <w:t>I</w:t>
      </w:r>
      <w:r w:rsidRPr="00625B0D">
        <w:rPr>
          <w:rFonts w:ascii="Arial" w:hAnsi="Arial" w:cs="Arial"/>
          <w:b/>
          <w:bCs/>
        </w:rPr>
        <w:t>dentifikačné údaje účtovnej jednotky</w:t>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 xml:space="preserve">a) názov a sídlo  účtovnej jednotky zostavujúcej účtovnú </w:t>
      </w:r>
      <w:proofErr w:type="spellStart"/>
      <w:r w:rsidRPr="00625B0D">
        <w:rPr>
          <w:rFonts w:ascii="Arial" w:hAnsi="Arial" w:cs="Arial"/>
        </w:rPr>
        <w:t>závierku:Základná</w:t>
      </w:r>
      <w:proofErr w:type="spellEnd"/>
      <w:r w:rsidRPr="00625B0D">
        <w:rPr>
          <w:rFonts w:ascii="Arial" w:hAnsi="Arial" w:cs="Arial"/>
        </w:rPr>
        <w:t xml:space="preserve"> škola s </w:t>
      </w:r>
      <w:r w:rsidR="00484CD1">
        <w:rPr>
          <w:rFonts w:ascii="Arial" w:hAnsi="Arial" w:cs="Arial"/>
        </w:rPr>
        <w:t xml:space="preserve">    </w:t>
      </w:r>
      <w:r w:rsidRPr="00625B0D">
        <w:rPr>
          <w:rFonts w:ascii="Arial" w:hAnsi="Arial" w:cs="Arial"/>
        </w:rPr>
        <w:t>materskou školou Bušince</w:t>
      </w:r>
      <w:r w:rsidR="00484CD1">
        <w:rPr>
          <w:rFonts w:ascii="Arial" w:hAnsi="Arial" w:cs="Arial"/>
        </w:rPr>
        <w:t xml:space="preserve">, </w:t>
      </w:r>
      <w:proofErr w:type="spellStart"/>
      <w:r w:rsidR="00484CD1">
        <w:rPr>
          <w:rFonts w:ascii="Arial" w:hAnsi="Arial" w:cs="Arial"/>
        </w:rPr>
        <w:t>Krtíšska</w:t>
      </w:r>
      <w:proofErr w:type="spellEnd"/>
      <w:r w:rsidR="00484CD1">
        <w:rPr>
          <w:rFonts w:ascii="Arial" w:hAnsi="Arial" w:cs="Arial"/>
        </w:rPr>
        <w:t xml:space="preserve"> 26, 99122 Bušince</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 xml:space="preserve">             identifikačné číslo organizácie: 37831801</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 xml:space="preserve">            dátum zriadenia: 01.04.2002</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 xml:space="preserve">            spôsob  zriadenia: zriaďovacia listina</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 xml:space="preserve">            názov a sídlo zriaďovateľa: Obec Bušince, Železničná4/320, 991 22 Bušince </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b) právny dôvod na zostavenie účtovnej závierky: riadna</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c) informácia, či je účtovná jednotka súčasťou konsolidovaného celku: áno</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(2)</w:t>
      </w:r>
      <w:r w:rsidRPr="00625B0D">
        <w:rPr>
          <w:rFonts w:ascii="Arial" w:hAnsi="Arial" w:cs="Arial"/>
        </w:rPr>
        <w:tab/>
      </w:r>
      <w:r w:rsidRPr="00625B0D">
        <w:rPr>
          <w:rFonts w:ascii="Arial" w:hAnsi="Arial" w:cs="Arial"/>
          <w:b/>
          <w:bCs/>
        </w:rPr>
        <w:t>Opis činnosti účtovnej jednotky</w:t>
      </w:r>
      <w:r w:rsidRPr="00625B0D">
        <w:rPr>
          <w:rFonts w:ascii="Arial" w:hAnsi="Arial" w:cs="Arial"/>
        </w:rPr>
        <w:t xml:space="preserve">: Základné školstvo </w:t>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(3)</w:t>
      </w:r>
      <w:r w:rsidRPr="00625B0D">
        <w:rPr>
          <w:rFonts w:ascii="Arial" w:hAnsi="Arial" w:cs="Arial"/>
        </w:rPr>
        <w:tab/>
      </w:r>
      <w:r w:rsidRPr="00625B0D">
        <w:rPr>
          <w:rFonts w:ascii="Arial" w:hAnsi="Arial" w:cs="Arial"/>
          <w:b/>
          <w:bCs/>
        </w:rPr>
        <w:t>Informácie o štatutárnych zástupcoch a o organizačnej štruktúre účtovnej jednotky</w:t>
      </w:r>
      <w:r w:rsidRPr="00625B0D">
        <w:rPr>
          <w:rFonts w:ascii="Arial" w:hAnsi="Arial" w:cs="Arial"/>
        </w:rPr>
        <w:t>.</w:t>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 xml:space="preserve">Mená a priezviská štatutárnych zástupcov: Mgr. Pavel </w:t>
      </w:r>
      <w:proofErr w:type="spellStart"/>
      <w:r w:rsidRPr="00625B0D">
        <w:rPr>
          <w:rFonts w:ascii="Arial" w:hAnsi="Arial" w:cs="Arial"/>
        </w:rPr>
        <w:t>Kukčka</w:t>
      </w:r>
      <w:proofErr w:type="spellEnd"/>
      <w:r w:rsidRPr="00625B0D">
        <w:rPr>
          <w:rFonts w:ascii="Arial" w:hAnsi="Arial" w:cs="Arial"/>
        </w:rPr>
        <w:t xml:space="preserve"> riaditeľ školy</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 xml:space="preserve">            funkcie štatutárnych zástupcov: Mgr. Dana </w:t>
      </w:r>
      <w:proofErr w:type="spellStart"/>
      <w:r w:rsidRPr="00625B0D">
        <w:rPr>
          <w:rFonts w:ascii="Arial" w:hAnsi="Arial" w:cs="Arial"/>
        </w:rPr>
        <w:t>Strhárová</w:t>
      </w:r>
      <w:proofErr w:type="spellEnd"/>
      <w:r w:rsidRPr="00625B0D">
        <w:rPr>
          <w:rFonts w:ascii="Arial" w:hAnsi="Arial" w:cs="Arial"/>
        </w:rPr>
        <w:t xml:space="preserve"> zástupca riaditeľa školy</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 xml:space="preserve">           priemerný počet zamestnancov počas účtovného obdobia: 36,6</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 xml:space="preserve">           počet zamestnancov ku dňu, ku ktorému sa zostavuje účtovná závierka účtovnej jednotky: 38</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 xml:space="preserve">           z toho počet vedúcich zamestnancov:4  </w:t>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r>
    </w:p>
    <w:p w:rsidR="00625B0D" w:rsidRPr="00625B0D" w:rsidRDefault="00625B0D" w:rsidP="00625B0D">
      <w:pPr>
        <w:autoSpaceDE w:val="0"/>
        <w:autoSpaceDN w:val="0"/>
        <w:adjustRightInd w:val="0"/>
        <w:spacing w:after="0" w:line="240" w:lineRule="auto"/>
        <w:jc w:val="center"/>
        <w:rPr>
          <w:rFonts w:ascii="Arial" w:hAnsi="Arial" w:cs="Arial"/>
          <w:b/>
          <w:bCs/>
        </w:rPr>
      </w:pPr>
      <w:r w:rsidRPr="00625B0D">
        <w:rPr>
          <w:rFonts w:ascii="Arial" w:hAnsi="Arial" w:cs="Arial"/>
          <w:b/>
          <w:bCs/>
        </w:rPr>
        <w:t>Čl. II</w:t>
      </w:r>
    </w:p>
    <w:p w:rsidR="00625B0D" w:rsidRPr="00625B0D" w:rsidRDefault="00625B0D" w:rsidP="00625B0D">
      <w:pPr>
        <w:autoSpaceDE w:val="0"/>
        <w:autoSpaceDN w:val="0"/>
        <w:adjustRightInd w:val="0"/>
        <w:spacing w:after="0" w:line="240" w:lineRule="auto"/>
        <w:jc w:val="center"/>
        <w:rPr>
          <w:rFonts w:ascii="Arial" w:hAnsi="Arial" w:cs="Arial"/>
        </w:rPr>
      </w:pPr>
      <w:r w:rsidRPr="00625B0D">
        <w:rPr>
          <w:rFonts w:ascii="Arial" w:hAnsi="Arial" w:cs="Arial"/>
          <w:b/>
          <w:bCs/>
        </w:rPr>
        <w:t>Informácie o účtovných zásadách a účtovných metódach</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(1)</w:t>
      </w:r>
      <w:r w:rsidRPr="00625B0D">
        <w:rPr>
          <w:rFonts w:ascii="Arial" w:hAnsi="Arial" w:cs="Arial"/>
          <w:b/>
          <w:bCs/>
        </w:rPr>
        <w:tab/>
        <w:t>Informácia, či je účtovná závierka zostavená za splnenia predpokladu, že účtovná jednotka bude nepretržite pokračovať vo svojej činnosti</w:t>
      </w:r>
      <w:r w:rsidRPr="00625B0D">
        <w:rPr>
          <w:rFonts w:ascii="Arial" w:hAnsi="Arial" w:cs="Arial"/>
        </w:rPr>
        <w:t>: áno</w:t>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 xml:space="preserve"> </w:t>
      </w:r>
      <w:r w:rsidRPr="00625B0D">
        <w:rPr>
          <w:rFonts w:ascii="Arial" w:hAnsi="Arial" w:cs="Arial"/>
        </w:rPr>
        <w:tab/>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(2)</w:t>
      </w:r>
      <w:r w:rsidRPr="00625B0D">
        <w:rPr>
          <w:rFonts w:ascii="Arial" w:hAnsi="Arial" w:cs="Arial"/>
        </w:rPr>
        <w:tab/>
      </w:r>
      <w:r w:rsidRPr="00625B0D">
        <w:rPr>
          <w:rFonts w:ascii="Arial" w:hAnsi="Arial" w:cs="Arial"/>
          <w:b/>
          <w:bCs/>
        </w:rPr>
        <w:t>Zmeny účtovných metód a účtovných zásad s uvedením dôvodov týchto zmien a vyčíslením ich vplyvu na hodnotu majetku, záväzkov, vlastného imania a výsledku hospodárenia</w:t>
      </w:r>
      <w:r w:rsidRPr="00625B0D">
        <w:rPr>
          <w:rFonts w:ascii="Arial" w:hAnsi="Arial" w:cs="Arial"/>
        </w:rPr>
        <w:t xml:space="preserve">: nie </w:t>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(3)</w:t>
      </w:r>
      <w:r w:rsidRPr="00625B0D">
        <w:rPr>
          <w:rFonts w:ascii="Arial" w:hAnsi="Arial" w:cs="Arial"/>
        </w:rPr>
        <w:tab/>
      </w:r>
      <w:r w:rsidRPr="00625B0D">
        <w:rPr>
          <w:rFonts w:ascii="Arial" w:hAnsi="Arial" w:cs="Arial"/>
          <w:b/>
          <w:bCs/>
        </w:rPr>
        <w:t>Spôsob ocenenia jednotlivých položiek</w:t>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a) dlhodobý nehmotný majetok nakupovaný: obstarávacou cenou</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b) dlhodobý nehmotný majetok vytvorený vlastnou činnosťou,</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c) dlhodobý hmotný majetok nakupovaný: obstarávacou cenou</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d) dlhodobý hmotný majetok vytvorený vlastnou činnosťou,</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 xml:space="preserve">e) dlhodobý nehmotný majetok a dlhodobý hmotný majetok získaný </w:t>
      </w:r>
      <w:proofErr w:type="spellStart"/>
      <w:r w:rsidRPr="00625B0D">
        <w:rPr>
          <w:rFonts w:ascii="Arial" w:hAnsi="Arial" w:cs="Arial"/>
        </w:rPr>
        <w:t>bezodplatne:reprodukčnou</w:t>
      </w:r>
      <w:proofErr w:type="spellEnd"/>
      <w:r w:rsidRPr="00625B0D">
        <w:rPr>
          <w:rFonts w:ascii="Arial" w:hAnsi="Arial" w:cs="Arial"/>
        </w:rPr>
        <w:t xml:space="preserve"> obstarávacou cenou</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f) dlhodobý finančný majetok: obstarávacou cenou</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 xml:space="preserve">g) zásoby nakupované: obstarávacou cenou </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h) zásoby vytvorené vlastnou činnosťou,</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i) zásoby získané  bezodplatne,</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j) pohľadávky: menovitou hodnotou</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k) krátkodobý finančný majetok: menovitou hodnotou</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l) časové rozlíšenie na strane aktív,</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m) záväzky, vrátane rezerv, dlhopisov, pôžičiek a úverov,</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lastRenderedPageBreak/>
        <w:tab/>
        <w:t>n) časové rozlíšenie na strane pasív,</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o) deriváty,</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p) majetok a záväzky zabezpečené derivátmi.</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(4)</w:t>
      </w:r>
      <w:r w:rsidRPr="00625B0D">
        <w:rPr>
          <w:rFonts w:ascii="Arial" w:hAnsi="Arial" w:cs="Arial"/>
        </w:rPr>
        <w:tab/>
      </w:r>
      <w:r w:rsidRPr="00625B0D">
        <w:rPr>
          <w:rFonts w:ascii="Arial" w:hAnsi="Arial" w:cs="Arial"/>
          <w:b/>
          <w:bCs/>
        </w:rPr>
        <w:t>Spôsob zostavenia odpisového plánu pre dlhodobý majetok, doba odpisovania, sadzby odpisov a odpisové metódy pri stanovení účtovných odpisov.</w:t>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 xml:space="preserve">Odpisy dlhodobého nehmotného majetku a dlhodobého hmotného majetku sú stanovené tak, že sa vychádza z predpokladanej doby jeho užívania a predpokladaného priebehu jeho opotrebenia. </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 xml:space="preserve"> Odpisovať sa začína: odo dňa jeho zaradenia do používania </w:t>
      </w:r>
    </w:p>
    <w:p w:rsidR="00625B0D" w:rsidRPr="00625B0D" w:rsidRDefault="00625B0D" w:rsidP="00625B0D">
      <w:pPr>
        <w:autoSpaceDE w:val="0"/>
        <w:autoSpaceDN w:val="0"/>
        <w:adjustRightInd w:val="0"/>
        <w:spacing w:after="0" w:line="240" w:lineRule="auto"/>
        <w:rPr>
          <w:rFonts w:ascii="Arial" w:hAnsi="Arial" w:cs="Arial"/>
        </w:rPr>
      </w:pPr>
    </w:p>
    <w:tbl>
      <w:tblPr>
        <w:tblW w:w="0" w:type="auto"/>
        <w:tblInd w:w="108" w:type="dxa"/>
        <w:tblBorders>
          <w:top w:val="single" w:sz="4" w:space="0" w:color="auto"/>
          <w:left w:val="single" w:sz="4" w:space="0" w:color="auto"/>
          <w:bottom w:val="single" w:sz="4" w:space="0" w:color="auto"/>
          <w:right w:val="single" w:sz="4" w:space="0" w:color="auto"/>
        </w:tblBorders>
        <w:tblLayout w:type="fixed"/>
        <w:tblLook w:val="0000"/>
      </w:tblPr>
      <w:tblGrid>
        <w:gridCol w:w="2962"/>
        <w:gridCol w:w="3071"/>
        <w:gridCol w:w="4173"/>
      </w:tblGrid>
      <w:tr w:rsidR="00625B0D" w:rsidRPr="00625B0D">
        <w:tc>
          <w:tcPr>
            <w:tcW w:w="2962" w:type="dxa"/>
            <w:tcBorders>
              <w:top w:val="single" w:sz="6" w:space="0" w:color="auto"/>
              <w:left w:val="single" w:sz="6" w:space="0" w:color="auto"/>
              <w:bottom w:val="single" w:sz="6" w:space="0" w:color="auto"/>
              <w:right w:val="single" w:sz="6" w:space="0" w:color="auto"/>
            </w:tcBorders>
          </w:tcPr>
          <w:p w:rsidR="00625B0D" w:rsidRPr="00625B0D" w:rsidRDefault="00625B0D" w:rsidP="00625B0D">
            <w:pPr>
              <w:autoSpaceDE w:val="0"/>
              <w:autoSpaceDN w:val="0"/>
              <w:adjustRightInd w:val="0"/>
              <w:spacing w:after="0"/>
              <w:rPr>
                <w:rFonts w:ascii="Times New Roman" w:hAnsi="Times New Roman" w:cs="Times New Roman"/>
                <w:sz w:val="20"/>
                <w:szCs w:val="20"/>
              </w:rPr>
            </w:pPr>
            <w:r w:rsidRPr="00625B0D">
              <w:rPr>
                <w:rFonts w:ascii="Times New Roman" w:hAnsi="Times New Roman" w:cs="Times New Roman"/>
                <w:sz w:val="20"/>
                <w:szCs w:val="20"/>
              </w:rPr>
              <w:t>Odpisová skupina</w:t>
            </w:r>
          </w:p>
        </w:tc>
        <w:tc>
          <w:tcPr>
            <w:tcW w:w="3071" w:type="dxa"/>
            <w:tcBorders>
              <w:top w:val="single" w:sz="6" w:space="0" w:color="auto"/>
              <w:left w:val="single" w:sz="6" w:space="0" w:color="auto"/>
              <w:bottom w:val="single" w:sz="6" w:space="0" w:color="auto"/>
              <w:right w:val="single" w:sz="6" w:space="0" w:color="auto"/>
            </w:tcBorders>
          </w:tcPr>
          <w:p w:rsidR="00625B0D" w:rsidRPr="00625B0D" w:rsidRDefault="00625B0D" w:rsidP="00625B0D">
            <w:pPr>
              <w:autoSpaceDE w:val="0"/>
              <w:autoSpaceDN w:val="0"/>
              <w:adjustRightInd w:val="0"/>
              <w:spacing w:after="0"/>
              <w:rPr>
                <w:rFonts w:ascii="Times New Roman" w:hAnsi="Times New Roman" w:cs="Times New Roman"/>
                <w:sz w:val="20"/>
                <w:szCs w:val="20"/>
              </w:rPr>
            </w:pPr>
            <w:r w:rsidRPr="00625B0D">
              <w:rPr>
                <w:rFonts w:ascii="Times New Roman" w:hAnsi="Times New Roman" w:cs="Times New Roman"/>
                <w:sz w:val="20"/>
                <w:szCs w:val="20"/>
              </w:rPr>
              <w:t>Predpokladaná doba  používania v          Ročná odpisová sadzba v %</w:t>
            </w:r>
          </w:p>
        </w:tc>
        <w:tc>
          <w:tcPr>
            <w:tcW w:w="4173" w:type="dxa"/>
            <w:tcBorders>
              <w:top w:val="single" w:sz="6" w:space="0" w:color="auto"/>
              <w:left w:val="single" w:sz="6" w:space="0" w:color="auto"/>
              <w:bottom w:val="single" w:sz="6" w:space="0" w:color="auto"/>
              <w:right w:val="single" w:sz="6" w:space="0" w:color="auto"/>
            </w:tcBorders>
          </w:tcPr>
          <w:p w:rsidR="00625B0D" w:rsidRPr="00625B0D" w:rsidRDefault="00625B0D" w:rsidP="00625B0D">
            <w:pPr>
              <w:autoSpaceDE w:val="0"/>
              <w:autoSpaceDN w:val="0"/>
              <w:adjustRightInd w:val="0"/>
              <w:spacing w:after="0"/>
              <w:rPr>
                <w:rFonts w:ascii="Times New Roman" w:hAnsi="Times New Roman" w:cs="Times New Roman"/>
                <w:sz w:val="20"/>
                <w:szCs w:val="20"/>
              </w:rPr>
            </w:pPr>
          </w:p>
        </w:tc>
      </w:tr>
      <w:tr w:rsidR="00625B0D" w:rsidRPr="00625B0D">
        <w:tc>
          <w:tcPr>
            <w:tcW w:w="2962" w:type="dxa"/>
            <w:tcBorders>
              <w:top w:val="single" w:sz="6" w:space="0" w:color="auto"/>
              <w:left w:val="single" w:sz="6" w:space="0" w:color="auto"/>
              <w:bottom w:val="single" w:sz="6" w:space="0" w:color="auto"/>
              <w:right w:val="single" w:sz="6" w:space="0" w:color="auto"/>
            </w:tcBorders>
          </w:tcPr>
          <w:p w:rsidR="00625B0D" w:rsidRPr="00625B0D" w:rsidRDefault="00625B0D" w:rsidP="00625B0D">
            <w:pPr>
              <w:autoSpaceDE w:val="0"/>
              <w:autoSpaceDN w:val="0"/>
              <w:adjustRightInd w:val="0"/>
              <w:spacing w:after="0"/>
              <w:rPr>
                <w:rFonts w:ascii="Times New Roman" w:hAnsi="Times New Roman" w:cs="Times New Roman"/>
                <w:sz w:val="20"/>
                <w:szCs w:val="20"/>
              </w:rPr>
            </w:pPr>
          </w:p>
        </w:tc>
        <w:tc>
          <w:tcPr>
            <w:tcW w:w="3071" w:type="dxa"/>
            <w:tcBorders>
              <w:top w:val="single" w:sz="6" w:space="0" w:color="auto"/>
              <w:left w:val="single" w:sz="6" w:space="0" w:color="auto"/>
              <w:bottom w:val="single" w:sz="6" w:space="0" w:color="auto"/>
              <w:right w:val="single" w:sz="6" w:space="0" w:color="auto"/>
            </w:tcBorders>
          </w:tcPr>
          <w:p w:rsidR="00625B0D" w:rsidRPr="00625B0D" w:rsidRDefault="00625B0D" w:rsidP="00625B0D">
            <w:pPr>
              <w:autoSpaceDE w:val="0"/>
              <w:autoSpaceDN w:val="0"/>
              <w:adjustRightInd w:val="0"/>
              <w:spacing w:after="0"/>
              <w:rPr>
                <w:rFonts w:ascii="Times New Roman" w:hAnsi="Times New Roman" w:cs="Times New Roman"/>
                <w:sz w:val="20"/>
                <w:szCs w:val="20"/>
              </w:rPr>
            </w:pPr>
            <w:r w:rsidRPr="00625B0D">
              <w:rPr>
                <w:rFonts w:ascii="Times New Roman" w:hAnsi="Times New Roman" w:cs="Times New Roman"/>
                <w:sz w:val="20"/>
                <w:szCs w:val="20"/>
              </w:rPr>
              <w:t>v rokoch</w:t>
            </w:r>
          </w:p>
        </w:tc>
        <w:tc>
          <w:tcPr>
            <w:tcW w:w="4173" w:type="dxa"/>
            <w:tcBorders>
              <w:top w:val="single" w:sz="6" w:space="0" w:color="auto"/>
              <w:left w:val="single" w:sz="6" w:space="0" w:color="auto"/>
              <w:bottom w:val="single" w:sz="6" w:space="0" w:color="auto"/>
              <w:right w:val="single" w:sz="6" w:space="0" w:color="auto"/>
            </w:tcBorders>
          </w:tcPr>
          <w:p w:rsidR="00625B0D" w:rsidRPr="00625B0D" w:rsidRDefault="00625B0D" w:rsidP="00625B0D">
            <w:pPr>
              <w:autoSpaceDE w:val="0"/>
              <w:autoSpaceDN w:val="0"/>
              <w:adjustRightInd w:val="0"/>
              <w:spacing w:after="0"/>
              <w:rPr>
                <w:rFonts w:ascii="Times New Roman" w:hAnsi="Times New Roman" w:cs="Times New Roman"/>
                <w:sz w:val="20"/>
                <w:szCs w:val="20"/>
              </w:rPr>
            </w:pPr>
          </w:p>
        </w:tc>
      </w:tr>
      <w:tr w:rsidR="00625B0D" w:rsidRPr="00625B0D">
        <w:tc>
          <w:tcPr>
            <w:tcW w:w="2962" w:type="dxa"/>
            <w:tcBorders>
              <w:top w:val="single" w:sz="6" w:space="0" w:color="auto"/>
              <w:left w:val="single" w:sz="6" w:space="0" w:color="auto"/>
              <w:bottom w:val="single" w:sz="6" w:space="0" w:color="auto"/>
              <w:right w:val="single" w:sz="6" w:space="0" w:color="auto"/>
            </w:tcBorders>
          </w:tcPr>
          <w:p w:rsidR="00625B0D" w:rsidRPr="00625B0D" w:rsidRDefault="00625B0D" w:rsidP="00625B0D">
            <w:pPr>
              <w:autoSpaceDE w:val="0"/>
              <w:autoSpaceDN w:val="0"/>
              <w:adjustRightInd w:val="0"/>
              <w:spacing w:after="0"/>
              <w:rPr>
                <w:rFonts w:ascii="Times New Roman" w:hAnsi="Times New Roman" w:cs="Times New Roman"/>
                <w:sz w:val="20"/>
                <w:szCs w:val="20"/>
              </w:rPr>
            </w:pPr>
            <w:r w:rsidRPr="00625B0D">
              <w:rPr>
                <w:rFonts w:ascii="Times New Roman" w:hAnsi="Times New Roman" w:cs="Times New Roman"/>
                <w:sz w:val="20"/>
                <w:szCs w:val="20"/>
              </w:rPr>
              <w:t>1</w:t>
            </w:r>
          </w:p>
        </w:tc>
        <w:tc>
          <w:tcPr>
            <w:tcW w:w="3071" w:type="dxa"/>
            <w:tcBorders>
              <w:top w:val="single" w:sz="6" w:space="0" w:color="auto"/>
              <w:left w:val="single" w:sz="6" w:space="0" w:color="auto"/>
              <w:bottom w:val="single" w:sz="6" w:space="0" w:color="auto"/>
              <w:right w:val="single" w:sz="6" w:space="0" w:color="auto"/>
            </w:tcBorders>
          </w:tcPr>
          <w:p w:rsidR="00625B0D" w:rsidRPr="00625B0D" w:rsidRDefault="00625B0D" w:rsidP="00625B0D">
            <w:pPr>
              <w:autoSpaceDE w:val="0"/>
              <w:autoSpaceDN w:val="0"/>
              <w:adjustRightInd w:val="0"/>
              <w:spacing w:after="0"/>
              <w:rPr>
                <w:rFonts w:ascii="Times New Roman" w:hAnsi="Times New Roman" w:cs="Times New Roman"/>
                <w:sz w:val="20"/>
                <w:szCs w:val="20"/>
              </w:rPr>
            </w:pPr>
            <w:r w:rsidRPr="00625B0D">
              <w:rPr>
                <w:rFonts w:ascii="Times New Roman" w:hAnsi="Times New Roman" w:cs="Times New Roman"/>
                <w:sz w:val="20"/>
                <w:szCs w:val="20"/>
              </w:rPr>
              <w:t>4</w:t>
            </w:r>
          </w:p>
        </w:tc>
        <w:tc>
          <w:tcPr>
            <w:tcW w:w="4173" w:type="dxa"/>
            <w:tcBorders>
              <w:top w:val="single" w:sz="6" w:space="0" w:color="auto"/>
              <w:left w:val="single" w:sz="6" w:space="0" w:color="auto"/>
              <w:bottom w:val="single" w:sz="6" w:space="0" w:color="auto"/>
              <w:right w:val="single" w:sz="6" w:space="0" w:color="auto"/>
            </w:tcBorders>
          </w:tcPr>
          <w:p w:rsidR="00625B0D" w:rsidRPr="00625B0D" w:rsidRDefault="00625B0D" w:rsidP="00625B0D">
            <w:pPr>
              <w:autoSpaceDE w:val="0"/>
              <w:autoSpaceDN w:val="0"/>
              <w:adjustRightInd w:val="0"/>
              <w:spacing w:after="0"/>
              <w:rPr>
                <w:rFonts w:ascii="Times New Roman" w:hAnsi="Times New Roman" w:cs="Times New Roman"/>
                <w:sz w:val="20"/>
                <w:szCs w:val="20"/>
              </w:rPr>
            </w:pPr>
            <w:r w:rsidRPr="00625B0D">
              <w:rPr>
                <w:rFonts w:ascii="Times New Roman" w:hAnsi="Times New Roman" w:cs="Times New Roman"/>
                <w:sz w:val="20"/>
                <w:szCs w:val="20"/>
              </w:rPr>
              <w:t>25</w:t>
            </w:r>
          </w:p>
        </w:tc>
      </w:tr>
      <w:tr w:rsidR="00625B0D" w:rsidRPr="00625B0D">
        <w:tc>
          <w:tcPr>
            <w:tcW w:w="2962" w:type="dxa"/>
            <w:tcBorders>
              <w:top w:val="single" w:sz="6" w:space="0" w:color="auto"/>
              <w:left w:val="single" w:sz="6" w:space="0" w:color="auto"/>
              <w:bottom w:val="single" w:sz="6" w:space="0" w:color="auto"/>
              <w:right w:val="single" w:sz="6" w:space="0" w:color="auto"/>
            </w:tcBorders>
          </w:tcPr>
          <w:p w:rsidR="00625B0D" w:rsidRPr="00625B0D" w:rsidRDefault="00625B0D" w:rsidP="00625B0D">
            <w:pPr>
              <w:autoSpaceDE w:val="0"/>
              <w:autoSpaceDN w:val="0"/>
              <w:adjustRightInd w:val="0"/>
              <w:spacing w:after="0"/>
              <w:rPr>
                <w:rFonts w:ascii="Times New Roman" w:hAnsi="Times New Roman" w:cs="Times New Roman"/>
                <w:sz w:val="20"/>
                <w:szCs w:val="20"/>
              </w:rPr>
            </w:pPr>
            <w:r w:rsidRPr="00625B0D">
              <w:rPr>
                <w:rFonts w:ascii="Times New Roman" w:hAnsi="Times New Roman" w:cs="Times New Roman"/>
                <w:sz w:val="20"/>
                <w:szCs w:val="20"/>
              </w:rPr>
              <w:t>2</w:t>
            </w:r>
          </w:p>
        </w:tc>
        <w:tc>
          <w:tcPr>
            <w:tcW w:w="3071" w:type="dxa"/>
            <w:tcBorders>
              <w:top w:val="single" w:sz="6" w:space="0" w:color="auto"/>
              <w:left w:val="single" w:sz="6" w:space="0" w:color="auto"/>
              <w:bottom w:val="single" w:sz="6" w:space="0" w:color="auto"/>
              <w:right w:val="single" w:sz="6" w:space="0" w:color="auto"/>
            </w:tcBorders>
          </w:tcPr>
          <w:p w:rsidR="00625B0D" w:rsidRPr="00625B0D" w:rsidRDefault="00625B0D" w:rsidP="00625B0D">
            <w:pPr>
              <w:autoSpaceDE w:val="0"/>
              <w:autoSpaceDN w:val="0"/>
              <w:adjustRightInd w:val="0"/>
              <w:spacing w:after="0"/>
              <w:rPr>
                <w:rFonts w:ascii="Times New Roman" w:hAnsi="Times New Roman" w:cs="Times New Roman"/>
                <w:sz w:val="20"/>
                <w:szCs w:val="20"/>
              </w:rPr>
            </w:pPr>
            <w:r w:rsidRPr="00625B0D">
              <w:rPr>
                <w:rFonts w:ascii="Times New Roman" w:hAnsi="Times New Roman" w:cs="Times New Roman"/>
                <w:sz w:val="20"/>
                <w:szCs w:val="20"/>
              </w:rPr>
              <w:t>6</w:t>
            </w:r>
          </w:p>
        </w:tc>
        <w:tc>
          <w:tcPr>
            <w:tcW w:w="4173" w:type="dxa"/>
            <w:tcBorders>
              <w:top w:val="single" w:sz="6" w:space="0" w:color="auto"/>
              <w:left w:val="single" w:sz="6" w:space="0" w:color="auto"/>
              <w:bottom w:val="single" w:sz="6" w:space="0" w:color="auto"/>
              <w:right w:val="single" w:sz="6" w:space="0" w:color="auto"/>
            </w:tcBorders>
          </w:tcPr>
          <w:p w:rsidR="00625B0D" w:rsidRPr="00625B0D" w:rsidRDefault="00625B0D" w:rsidP="00625B0D">
            <w:pPr>
              <w:autoSpaceDE w:val="0"/>
              <w:autoSpaceDN w:val="0"/>
              <w:adjustRightInd w:val="0"/>
              <w:spacing w:after="0"/>
              <w:rPr>
                <w:rFonts w:ascii="Times New Roman" w:hAnsi="Times New Roman" w:cs="Times New Roman"/>
                <w:sz w:val="20"/>
                <w:szCs w:val="20"/>
              </w:rPr>
            </w:pPr>
            <w:r w:rsidRPr="00625B0D">
              <w:rPr>
                <w:rFonts w:ascii="Times New Roman" w:hAnsi="Times New Roman" w:cs="Times New Roman"/>
                <w:sz w:val="20"/>
                <w:szCs w:val="20"/>
              </w:rPr>
              <w:t>16,7</w:t>
            </w:r>
          </w:p>
        </w:tc>
      </w:tr>
      <w:tr w:rsidR="00625B0D" w:rsidRPr="00625B0D">
        <w:tc>
          <w:tcPr>
            <w:tcW w:w="2962" w:type="dxa"/>
            <w:tcBorders>
              <w:top w:val="single" w:sz="6" w:space="0" w:color="auto"/>
              <w:left w:val="single" w:sz="6" w:space="0" w:color="auto"/>
              <w:bottom w:val="single" w:sz="6" w:space="0" w:color="auto"/>
              <w:right w:val="single" w:sz="6" w:space="0" w:color="auto"/>
            </w:tcBorders>
          </w:tcPr>
          <w:p w:rsidR="00625B0D" w:rsidRPr="00625B0D" w:rsidRDefault="00625B0D" w:rsidP="00625B0D">
            <w:pPr>
              <w:autoSpaceDE w:val="0"/>
              <w:autoSpaceDN w:val="0"/>
              <w:adjustRightInd w:val="0"/>
              <w:spacing w:after="0"/>
              <w:rPr>
                <w:rFonts w:ascii="Times New Roman" w:hAnsi="Times New Roman" w:cs="Times New Roman"/>
                <w:sz w:val="20"/>
                <w:szCs w:val="20"/>
              </w:rPr>
            </w:pPr>
            <w:r w:rsidRPr="00625B0D">
              <w:rPr>
                <w:rFonts w:ascii="Times New Roman" w:hAnsi="Times New Roman" w:cs="Times New Roman"/>
                <w:sz w:val="20"/>
                <w:szCs w:val="20"/>
              </w:rPr>
              <w:t>3</w:t>
            </w:r>
          </w:p>
        </w:tc>
        <w:tc>
          <w:tcPr>
            <w:tcW w:w="3071" w:type="dxa"/>
            <w:tcBorders>
              <w:top w:val="single" w:sz="6" w:space="0" w:color="auto"/>
              <w:left w:val="single" w:sz="6" w:space="0" w:color="auto"/>
              <w:bottom w:val="single" w:sz="6" w:space="0" w:color="auto"/>
              <w:right w:val="single" w:sz="6" w:space="0" w:color="auto"/>
            </w:tcBorders>
          </w:tcPr>
          <w:p w:rsidR="00625B0D" w:rsidRPr="00625B0D" w:rsidRDefault="00625B0D" w:rsidP="00625B0D">
            <w:pPr>
              <w:autoSpaceDE w:val="0"/>
              <w:autoSpaceDN w:val="0"/>
              <w:adjustRightInd w:val="0"/>
              <w:spacing w:after="0"/>
              <w:rPr>
                <w:rFonts w:ascii="Times New Roman" w:hAnsi="Times New Roman" w:cs="Times New Roman"/>
                <w:sz w:val="20"/>
                <w:szCs w:val="20"/>
              </w:rPr>
            </w:pPr>
            <w:r w:rsidRPr="00625B0D">
              <w:rPr>
                <w:rFonts w:ascii="Times New Roman" w:hAnsi="Times New Roman" w:cs="Times New Roman"/>
                <w:sz w:val="20"/>
                <w:szCs w:val="20"/>
              </w:rPr>
              <w:t>12</w:t>
            </w:r>
          </w:p>
        </w:tc>
        <w:tc>
          <w:tcPr>
            <w:tcW w:w="4173" w:type="dxa"/>
            <w:tcBorders>
              <w:top w:val="single" w:sz="6" w:space="0" w:color="auto"/>
              <w:left w:val="single" w:sz="6" w:space="0" w:color="auto"/>
              <w:bottom w:val="single" w:sz="6" w:space="0" w:color="auto"/>
              <w:right w:val="single" w:sz="6" w:space="0" w:color="auto"/>
            </w:tcBorders>
          </w:tcPr>
          <w:p w:rsidR="00625B0D" w:rsidRPr="00625B0D" w:rsidRDefault="00625B0D" w:rsidP="00625B0D">
            <w:pPr>
              <w:autoSpaceDE w:val="0"/>
              <w:autoSpaceDN w:val="0"/>
              <w:adjustRightInd w:val="0"/>
              <w:spacing w:after="0"/>
              <w:rPr>
                <w:rFonts w:ascii="Times New Roman" w:hAnsi="Times New Roman" w:cs="Times New Roman"/>
                <w:sz w:val="20"/>
                <w:szCs w:val="20"/>
              </w:rPr>
            </w:pPr>
            <w:r w:rsidRPr="00625B0D">
              <w:rPr>
                <w:rFonts w:ascii="Times New Roman" w:hAnsi="Times New Roman" w:cs="Times New Roman"/>
                <w:sz w:val="20"/>
                <w:szCs w:val="20"/>
              </w:rPr>
              <w:t>8,4</w:t>
            </w:r>
          </w:p>
        </w:tc>
      </w:tr>
      <w:tr w:rsidR="00625B0D" w:rsidRPr="00625B0D">
        <w:tc>
          <w:tcPr>
            <w:tcW w:w="2962" w:type="dxa"/>
            <w:tcBorders>
              <w:top w:val="single" w:sz="6" w:space="0" w:color="auto"/>
              <w:left w:val="single" w:sz="6" w:space="0" w:color="auto"/>
              <w:bottom w:val="single" w:sz="6" w:space="0" w:color="auto"/>
              <w:right w:val="single" w:sz="6" w:space="0" w:color="auto"/>
            </w:tcBorders>
          </w:tcPr>
          <w:p w:rsidR="00625B0D" w:rsidRPr="00625B0D" w:rsidRDefault="00625B0D" w:rsidP="00625B0D">
            <w:pPr>
              <w:autoSpaceDE w:val="0"/>
              <w:autoSpaceDN w:val="0"/>
              <w:adjustRightInd w:val="0"/>
              <w:spacing w:after="0"/>
              <w:rPr>
                <w:rFonts w:ascii="Times New Roman" w:hAnsi="Times New Roman" w:cs="Times New Roman"/>
                <w:sz w:val="20"/>
                <w:szCs w:val="20"/>
              </w:rPr>
            </w:pPr>
            <w:r w:rsidRPr="00625B0D">
              <w:rPr>
                <w:rFonts w:ascii="Times New Roman" w:hAnsi="Times New Roman" w:cs="Times New Roman"/>
                <w:sz w:val="20"/>
                <w:szCs w:val="20"/>
              </w:rPr>
              <w:t>4</w:t>
            </w:r>
          </w:p>
        </w:tc>
        <w:tc>
          <w:tcPr>
            <w:tcW w:w="3071" w:type="dxa"/>
            <w:tcBorders>
              <w:top w:val="single" w:sz="6" w:space="0" w:color="auto"/>
              <w:left w:val="single" w:sz="6" w:space="0" w:color="auto"/>
              <w:bottom w:val="single" w:sz="6" w:space="0" w:color="auto"/>
              <w:right w:val="single" w:sz="6" w:space="0" w:color="auto"/>
            </w:tcBorders>
          </w:tcPr>
          <w:p w:rsidR="00625B0D" w:rsidRPr="00625B0D" w:rsidRDefault="00625B0D" w:rsidP="00625B0D">
            <w:pPr>
              <w:autoSpaceDE w:val="0"/>
              <w:autoSpaceDN w:val="0"/>
              <w:adjustRightInd w:val="0"/>
              <w:spacing w:after="0"/>
              <w:rPr>
                <w:rFonts w:ascii="Times New Roman" w:hAnsi="Times New Roman" w:cs="Times New Roman"/>
                <w:sz w:val="20"/>
                <w:szCs w:val="20"/>
              </w:rPr>
            </w:pPr>
            <w:r w:rsidRPr="00625B0D">
              <w:rPr>
                <w:rFonts w:ascii="Times New Roman" w:hAnsi="Times New Roman" w:cs="Times New Roman"/>
                <w:sz w:val="20"/>
                <w:szCs w:val="20"/>
              </w:rPr>
              <w:t>20</w:t>
            </w:r>
          </w:p>
        </w:tc>
        <w:tc>
          <w:tcPr>
            <w:tcW w:w="4173" w:type="dxa"/>
            <w:tcBorders>
              <w:top w:val="single" w:sz="6" w:space="0" w:color="auto"/>
              <w:left w:val="single" w:sz="6" w:space="0" w:color="auto"/>
              <w:bottom w:val="single" w:sz="6" w:space="0" w:color="auto"/>
              <w:right w:val="single" w:sz="6" w:space="0" w:color="auto"/>
            </w:tcBorders>
          </w:tcPr>
          <w:p w:rsidR="00625B0D" w:rsidRPr="00625B0D" w:rsidRDefault="00625B0D" w:rsidP="00625B0D">
            <w:pPr>
              <w:autoSpaceDE w:val="0"/>
              <w:autoSpaceDN w:val="0"/>
              <w:adjustRightInd w:val="0"/>
              <w:spacing w:after="0"/>
              <w:rPr>
                <w:rFonts w:ascii="Times New Roman" w:hAnsi="Times New Roman" w:cs="Times New Roman"/>
                <w:sz w:val="20"/>
                <w:szCs w:val="20"/>
              </w:rPr>
            </w:pPr>
            <w:r w:rsidRPr="00625B0D">
              <w:rPr>
                <w:rFonts w:ascii="Times New Roman" w:hAnsi="Times New Roman" w:cs="Times New Roman"/>
                <w:sz w:val="20"/>
                <w:szCs w:val="20"/>
              </w:rPr>
              <w:t>5</w:t>
            </w:r>
          </w:p>
        </w:tc>
      </w:tr>
    </w:tbl>
    <w:p w:rsidR="00625B0D" w:rsidRPr="00625B0D" w:rsidRDefault="00625B0D" w:rsidP="00625B0D">
      <w:pPr>
        <w:autoSpaceDE w:val="0"/>
        <w:autoSpaceDN w:val="0"/>
        <w:adjustRightInd w:val="0"/>
        <w:spacing w:after="0" w:line="240" w:lineRule="auto"/>
        <w:rPr>
          <w:rFonts w:ascii="Times New Roman" w:hAnsi="Times New Roman" w:cs="Times New Roman"/>
          <w:sz w:val="20"/>
          <w:szCs w:val="20"/>
        </w:rPr>
      </w:pPr>
    </w:p>
    <w:p w:rsidR="00625B0D" w:rsidRPr="00625B0D" w:rsidRDefault="00625B0D" w:rsidP="00625B0D">
      <w:pPr>
        <w:autoSpaceDE w:val="0"/>
        <w:autoSpaceDN w:val="0"/>
        <w:adjustRightInd w:val="0"/>
        <w:spacing w:after="0" w:line="240" w:lineRule="auto"/>
        <w:rPr>
          <w:rFonts w:ascii="Arial" w:hAnsi="Arial" w:cs="Arial"/>
        </w:rPr>
      </w:pP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(5)</w:t>
      </w:r>
      <w:r w:rsidRPr="00625B0D">
        <w:rPr>
          <w:rFonts w:ascii="Arial" w:hAnsi="Arial" w:cs="Arial"/>
        </w:rPr>
        <w:tab/>
      </w:r>
      <w:r w:rsidRPr="00625B0D">
        <w:rPr>
          <w:rFonts w:ascii="Arial" w:hAnsi="Arial" w:cs="Arial"/>
          <w:b/>
          <w:bCs/>
        </w:rPr>
        <w:t xml:space="preserve"> Zásady pre zohľadnenie zníženia hodnoty majetku</w:t>
      </w:r>
      <w:r w:rsidRPr="00625B0D">
        <w:rPr>
          <w:rFonts w:ascii="Arial" w:hAnsi="Arial" w:cs="Arial"/>
        </w:rPr>
        <w:t>.</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Účtovná jednotka netvorila opravné položky</w:t>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 xml:space="preserve">(6) </w:t>
      </w:r>
      <w:r w:rsidRPr="00625B0D">
        <w:rPr>
          <w:rFonts w:ascii="Arial" w:hAnsi="Arial" w:cs="Arial"/>
        </w:rPr>
        <w:tab/>
      </w:r>
      <w:r w:rsidRPr="00625B0D">
        <w:rPr>
          <w:rFonts w:ascii="Arial" w:hAnsi="Arial" w:cs="Arial"/>
          <w:b/>
          <w:bCs/>
        </w:rPr>
        <w:t>Zásady pre vykazovanie transferov.</w:t>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O nároku na dotácie zo štátneho rozpočtu sa účtuje, ak je takmer isté, že sa splnia všetky podmienky súvisiace s dotáciou a súčasne, že sa dotácia poskytne.</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b/>
          <w:bCs/>
        </w:rPr>
        <w:t>Bežný transfer</w:t>
      </w:r>
    </w:p>
    <w:p w:rsidR="00625B0D" w:rsidRPr="00625B0D" w:rsidRDefault="00625B0D" w:rsidP="00625B0D">
      <w:pPr>
        <w:autoSpaceDE w:val="0"/>
        <w:autoSpaceDN w:val="0"/>
        <w:adjustRightInd w:val="0"/>
        <w:spacing w:after="0" w:line="240" w:lineRule="auto"/>
        <w:ind w:left="200" w:hanging="200"/>
        <w:rPr>
          <w:rFonts w:ascii="Arial" w:hAnsi="Arial" w:cs="Arial"/>
        </w:rPr>
      </w:pPr>
      <w:r w:rsidRPr="00625B0D">
        <w:rPr>
          <w:rFonts w:ascii="Arial" w:hAnsi="Arial" w:cs="Arial"/>
        </w:rPr>
        <w:t xml:space="preserve">prijatý od cudzích subjektov sa zúčtujú do výnosov vo vecnej a časovej súvislosti s </w:t>
      </w:r>
      <w:proofErr w:type="spellStart"/>
      <w:r w:rsidRPr="00625B0D">
        <w:rPr>
          <w:rFonts w:ascii="Arial" w:hAnsi="Arial" w:cs="Arial"/>
        </w:rPr>
        <w:t>nákldmi</w:t>
      </w:r>
      <w:proofErr w:type="spellEnd"/>
    </w:p>
    <w:p w:rsidR="00625B0D" w:rsidRPr="00625B0D" w:rsidRDefault="00625B0D" w:rsidP="00625B0D">
      <w:pPr>
        <w:autoSpaceDE w:val="0"/>
        <w:autoSpaceDN w:val="0"/>
        <w:adjustRightInd w:val="0"/>
        <w:spacing w:after="0" w:line="240" w:lineRule="auto"/>
        <w:ind w:left="200" w:hanging="200"/>
        <w:rPr>
          <w:rFonts w:ascii="Arial" w:hAnsi="Arial" w:cs="Arial"/>
        </w:rPr>
      </w:pPr>
      <w:r w:rsidRPr="00625B0D">
        <w:rPr>
          <w:rFonts w:ascii="Arial" w:hAnsi="Arial" w:cs="Arial"/>
        </w:rPr>
        <w:t xml:space="preserve">prijatý od zriaďovateľa sa zúčtuje do výnosov vo vecnej a časovej súvislosti s výdavkami </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(7)</w:t>
      </w:r>
      <w:r w:rsidRPr="00625B0D">
        <w:rPr>
          <w:rFonts w:ascii="Arial" w:hAnsi="Arial" w:cs="Arial"/>
        </w:rPr>
        <w:tab/>
        <w:t>Spôsob prepočtu údajov v cudzích menách na menu euro.</w:t>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r>
    </w:p>
    <w:p w:rsidR="00625B0D" w:rsidRPr="00625B0D" w:rsidRDefault="00625B0D" w:rsidP="00625B0D">
      <w:pPr>
        <w:autoSpaceDE w:val="0"/>
        <w:autoSpaceDN w:val="0"/>
        <w:adjustRightInd w:val="0"/>
        <w:spacing w:after="0" w:line="240" w:lineRule="auto"/>
        <w:jc w:val="center"/>
        <w:rPr>
          <w:rFonts w:ascii="Arial" w:hAnsi="Arial" w:cs="Arial"/>
          <w:b/>
          <w:bCs/>
        </w:rPr>
      </w:pPr>
      <w:r w:rsidRPr="00625B0D">
        <w:rPr>
          <w:rFonts w:ascii="Arial" w:hAnsi="Arial" w:cs="Arial"/>
          <w:b/>
          <w:bCs/>
        </w:rPr>
        <w:t>Čl. III</w:t>
      </w:r>
    </w:p>
    <w:p w:rsidR="00625B0D" w:rsidRPr="00625B0D" w:rsidRDefault="00625B0D" w:rsidP="00625B0D">
      <w:pPr>
        <w:autoSpaceDE w:val="0"/>
        <w:autoSpaceDN w:val="0"/>
        <w:adjustRightInd w:val="0"/>
        <w:spacing w:after="0" w:line="240" w:lineRule="auto"/>
        <w:jc w:val="center"/>
        <w:rPr>
          <w:rFonts w:ascii="Arial" w:hAnsi="Arial" w:cs="Arial"/>
        </w:rPr>
      </w:pPr>
      <w:r w:rsidRPr="00625B0D">
        <w:rPr>
          <w:rFonts w:ascii="Arial" w:hAnsi="Arial" w:cs="Arial"/>
          <w:b/>
          <w:bCs/>
        </w:rPr>
        <w:t>Informácie o údajoch na strane aktív súvahy</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b/>
          <w:bCs/>
        </w:rPr>
      </w:pPr>
      <w:r w:rsidRPr="00625B0D">
        <w:rPr>
          <w:rFonts w:ascii="Arial" w:hAnsi="Arial" w:cs="Arial"/>
        </w:rPr>
        <w:t>A</w:t>
      </w:r>
      <w:r w:rsidRPr="00625B0D">
        <w:rPr>
          <w:rFonts w:ascii="Arial" w:hAnsi="Arial" w:cs="Arial"/>
        </w:rPr>
        <w:tab/>
      </w:r>
      <w:r w:rsidRPr="00625B0D">
        <w:rPr>
          <w:rFonts w:ascii="Arial" w:hAnsi="Arial" w:cs="Arial"/>
          <w:b/>
          <w:bCs/>
        </w:rPr>
        <w:t>Neobežný majetok</w:t>
      </w:r>
      <w:r w:rsidRPr="00625B0D">
        <w:rPr>
          <w:rFonts w:ascii="Arial" w:hAnsi="Arial" w:cs="Arial"/>
          <w:b/>
          <w:bCs/>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b/>
          <w:bCs/>
        </w:rPr>
        <w:t xml:space="preserve">(1)  </w:t>
      </w:r>
      <w:r w:rsidRPr="00625B0D">
        <w:rPr>
          <w:rFonts w:ascii="Arial" w:hAnsi="Arial" w:cs="Arial"/>
          <w:b/>
          <w:bCs/>
        </w:rPr>
        <w:tab/>
        <w:t>Dlhodobý nehmotný majetok a dlhodobý hmotný majetok</w:t>
      </w:r>
      <w:r w:rsidRPr="00625B0D">
        <w:rPr>
          <w:rFonts w:ascii="Arial" w:hAnsi="Arial" w:cs="Arial"/>
          <w:b/>
          <w:bCs/>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 xml:space="preserve">a) prehľad o pohybe dlhodobého majetku, pohybe obstarávacích cien,  pohybe oprávok a opravných položiek,  pohybe zostatkových cien podľa jednotlivých zložiek tohto majetku v členení podľa jednotlivých položiek súvahy  </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v tabuľkovej časti poznámok- tabuľka č. 1</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b) spôsob a výška poistenia dlhodobého nehmotného majetku a dlhodobého hmotného majetku,</w:t>
      </w:r>
    </w:p>
    <w:p w:rsidR="00625B0D" w:rsidRPr="00625B0D" w:rsidRDefault="00625B0D" w:rsidP="00625B0D">
      <w:pPr>
        <w:autoSpaceDE w:val="0"/>
        <w:autoSpaceDN w:val="0"/>
        <w:adjustRightInd w:val="0"/>
        <w:spacing w:after="0" w:line="240" w:lineRule="auto"/>
        <w:rPr>
          <w:rFonts w:ascii="Arial" w:hAnsi="Arial" w:cs="Arial"/>
        </w:rPr>
      </w:pPr>
      <w:proofErr w:type="spellStart"/>
      <w:r w:rsidRPr="00625B0D">
        <w:rPr>
          <w:rFonts w:ascii="Arial" w:hAnsi="Arial" w:cs="Arial"/>
        </w:rPr>
        <w:t>Poisť</w:t>
      </w:r>
      <w:r w:rsidR="00484CD1">
        <w:rPr>
          <w:rFonts w:ascii="Arial" w:hAnsi="Arial" w:cs="Arial"/>
        </w:rPr>
        <w:t>ovňe</w:t>
      </w:r>
      <w:proofErr w:type="spellEnd"/>
      <w:r w:rsidR="00484CD1">
        <w:rPr>
          <w:rFonts w:ascii="Arial" w:hAnsi="Arial" w:cs="Arial"/>
        </w:rPr>
        <w:t xml:space="preserve"> - </w:t>
      </w:r>
      <w:proofErr w:type="spellStart"/>
      <w:r w:rsidR="00484CD1">
        <w:rPr>
          <w:rFonts w:ascii="Arial" w:hAnsi="Arial" w:cs="Arial"/>
        </w:rPr>
        <w:t>Allianz</w:t>
      </w:r>
      <w:proofErr w:type="spellEnd"/>
      <w:r w:rsidR="00484CD1">
        <w:rPr>
          <w:rFonts w:ascii="Arial" w:hAnsi="Arial" w:cs="Arial"/>
        </w:rPr>
        <w:t xml:space="preserve">, </w:t>
      </w:r>
      <w:proofErr w:type="spellStart"/>
      <w:r w:rsidR="00484CD1">
        <w:rPr>
          <w:rFonts w:ascii="Arial" w:hAnsi="Arial" w:cs="Arial"/>
        </w:rPr>
        <w:t>Union</w:t>
      </w:r>
      <w:proofErr w:type="spellEnd"/>
      <w:r w:rsidR="00484CD1">
        <w:rPr>
          <w:rFonts w:ascii="Arial" w:hAnsi="Arial" w:cs="Arial"/>
        </w:rPr>
        <w:t xml:space="preserve">, </w:t>
      </w:r>
      <w:r w:rsidRPr="00625B0D">
        <w:rPr>
          <w:rFonts w:ascii="Arial" w:hAnsi="Arial" w:cs="Arial"/>
        </w:rPr>
        <w:t xml:space="preserve">  ele</w:t>
      </w:r>
      <w:r w:rsidR="00484CD1">
        <w:rPr>
          <w:rFonts w:ascii="Arial" w:hAnsi="Arial" w:cs="Arial"/>
        </w:rPr>
        <w:t>ktronika výška poistného  491,50</w:t>
      </w:r>
      <w:r w:rsidRPr="00625B0D">
        <w:rPr>
          <w:rFonts w:ascii="Arial" w:hAnsi="Arial" w:cs="Arial"/>
        </w:rPr>
        <w:t>€</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t xml:space="preserve"> </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c) zriadenie záložného práva na dlhodobý nehmotný majetok a dlhodobý hmotný majetok alebo obmedzenie práva nakladať s dlhodobým majetkom,</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lastRenderedPageBreak/>
        <w:tab/>
        <w:t>d) opis a hodnota dlhodobého majetku vo vlastníctve alebo v správe účtovnej jednotky,</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e) opis a hodnota majetku, ku ktorému účtovná jednotka nemá vlastnícke právo,  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obstaraný formou finančného prenájmu,</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f) opis dôvodov zvýšenia, zníženia a zrušenia opravných položiek k dlhodobému nehmotnému majetku a dlhodobému hmotnému majetku.</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 xml:space="preserve">(2)  </w:t>
      </w:r>
      <w:r w:rsidRPr="00625B0D">
        <w:rPr>
          <w:rFonts w:ascii="Arial" w:hAnsi="Arial" w:cs="Arial"/>
        </w:rPr>
        <w:tab/>
        <w:t>Dlhodobý finančný majetok</w:t>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 xml:space="preserve">a) prehľad o pohybe dlhodobého finančného majetku, pohybe obstarávacích cien,  pohybe opravných položiek a pohybe zostatkových cien, podľa jednotlivých zložiek tohto majetku v členení podľa jednotlivých položiek súvahy </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t>1. názov účtovnej jednotky,</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t>2. dátum, ku ktorému sa zostavuje prehľad o pohybe dlhodobého majetku,</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t>3. stav k 31.decembru bezprostredne predchádzajúceho účtovného obdobia,</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t>4. + prírastky,</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t>5.  - úbytky,</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t>6. +/ - presuny,</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t>7. stav k 31.decembru bežného účtovného obdobia,</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b) opis dôvodov zvýšenia, zníženia a zrušenia opravných položiek k dlhodobému finančnému majetku.</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(3)</w:t>
      </w:r>
      <w:r w:rsidRPr="00625B0D">
        <w:rPr>
          <w:rFonts w:ascii="Arial" w:hAnsi="Arial" w:cs="Arial"/>
        </w:rPr>
        <w:tab/>
        <w:t xml:space="preserve">Majetkové podiely účtovnej jednotky v iných spoločnostiach </w:t>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Informácie o spoločnostiach, v ktorých má účtovná jednotka majetkový podiel, v tejto štruktúre:</w:t>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 xml:space="preserve">a) názov spoločnosti, </w:t>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 xml:space="preserve">b) právna forma, </w:t>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c) základné imanie spoločnosti v peňažných  jednotkách,</w:t>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d) podiel účtovnej jednotky na základnom imaní spoločnosti v %,</w:t>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e) podiel účtovnej jednotky na hlasovacích právach  v %,</w:t>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f) hodnota vlastného imania spoločnosti v eurách k 31.decembru bežného účtovného obdobia ,</w:t>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g) hodnota vlastného imania spoločnosti v eurách k 31.decembru bezprostredne predchádzajúceho účtovného obdobia ,</w:t>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h) účtovná hodnota vykázaná v súvahe účtovnej jednotky k 31.decembru bežného účtovného obdobia,</w:t>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i) účtovná hodnota vykázaná v súvahe účtovnej jednotky k 31.decembru bezprostredne predchádzajúceho účtovného obdobia.</w:t>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(4)</w:t>
      </w:r>
      <w:r w:rsidRPr="00625B0D">
        <w:rPr>
          <w:rFonts w:ascii="Arial" w:hAnsi="Arial" w:cs="Arial"/>
        </w:rPr>
        <w:tab/>
        <w:t>Dlhové cenné papiere a realizovateľné cenné papiere, dlhodobé pôžičky a ostatný dlhodobý finančný majetok</w:t>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a) dlhové cenné papiere držané do splatnosti a realizovateľné cenné papiere  v tejto štruktúre:</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lastRenderedPageBreak/>
        <w:tab/>
      </w:r>
      <w:r w:rsidRPr="00625B0D">
        <w:rPr>
          <w:rFonts w:ascii="Arial" w:hAnsi="Arial" w:cs="Arial"/>
        </w:rPr>
        <w:tab/>
        <w:t>1. názov emitenta,</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t>2. druh cenného papiera,</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t>3. mena cenného papiera,</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t>4. výnos v %,</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t>5. dátum splatnosti,</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t>6. účtovná hodnota vykázaná v súvahe účtovnej jednotky k 31.decembru bežného účtovného obdobia,</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t>7. účtovná hodnota vykázaná v súvahe účtovnej jednotky k 31.decembru bezprostredne predchádzajúceho účtovného obdobia,</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 xml:space="preserve">b) dlhodobé pôžičky v tejto štruktúre: </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t>1. názov dlžníka,</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t>2. výnos v %,</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t>3. mena,</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t>4. dátum splatnosti,</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t>5. účtovná hodnota vykázaná v súvahe účtovnej jednotky k 31.decembru bežného účtovného obdobia,</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t>"6. účtovná hodnota vykázaná v súvahe účtovnej jednotky k 31.decembru bezprostredne predchádzajúceho účtovného obdobia,"</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t xml:space="preserve">7. popis zabezpečenia pôžičky,  </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c) popis významných položiek ostatného dlhodobého finančného majetku vykázaných v súvahe účtovnej jednotky k 31.Odecembru bežného účtovného obdobia a bezprostredne predchádzajúceho účtovného obdobia.</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B</w:t>
      </w:r>
      <w:r w:rsidRPr="00625B0D">
        <w:rPr>
          <w:rFonts w:ascii="Arial" w:hAnsi="Arial" w:cs="Arial"/>
        </w:rPr>
        <w:tab/>
        <w:t>Obežný majetok</w:t>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(1)</w:t>
      </w:r>
      <w:r w:rsidRPr="00625B0D">
        <w:rPr>
          <w:rFonts w:ascii="Arial" w:hAnsi="Arial" w:cs="Arial"/>
        </w:rPr>
        <w:tab/>
        <w:t>Zásoby</w:t>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 xml:space="preserve">a) vývoj opravnej položky k zásobám v tejto štruktúre: </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t>1. položka zásob v členení podľa jednotlivých položiek súvahy,</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t>2. výška zásob k 31. decembru bezprostredne predchádzajúceho účtovného obdobia,</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t>3. + tvorba opravných položiek,</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t>4. - zníženie opravných položiek,</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t>5. -zrušenie opravných položiek,</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t>6. výška  zásob k 31. decembru bežného účtovného obdobia,</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t xml:space="preserve">7. opis dôvodov tvorby, zníženia a zrušenia opravných položiek k </w:t>
      </w:r>
      <w:proofErr w:type="spellStart"/>
      <w:r w:rsidRPr="00625B0D">
        <w:rPr>
          <w:rFonts w:ascii="Arial" w:hAnsi="Arial" w:cs="Arial"/>
        </w:rPr>
        <w:t>zásobam</w:t>
      </w:r>
      <w:proofErr w:type="spellEnd"/>
      <w:r w:rsidRPr="00625B0D">
        <w:rPr>
          <w:rFonts w:ascii="Arial" w:hAnsi="Arial" w:cs="Arial"/>
        </w:rPr>
        <w:t>,</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 xml:space="preserve">b) výška zásob, na ktoré je zriadené záložné právo a výška zásob, pri ktorých má účtovná jednotka obmedzené právo s nimi nakladať, </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c) spôsob a výška poistenia zásob.</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(2)</w:t>
      </w:r>
      <w:r w:rsidRPr="00625B0D">
        <w:rPr>
          <w:rFonts w:ascii="Arial" w:hAnsi="Arial" w:cs="Arial"/>
        </w:rPr>
        <w:tab/>
        <w:t>Pohľadávky</w:t>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a) opis významných pohľadávok podľa jednotlivých položiek súvahy,</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 xml:space="preserve">b) vývoj opravnej položky k pohľadávkam v tejto štruktúre: </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t>1. položka pohľadávok,</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t>2. hodnota pohľadávok k 31. decembru bezprostredne predchádzajúceho účtovného obdobia,</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t>3. + tvorba opravných položiek,</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t>4.  - zníženie opravných položiek,</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lastRenderedPageBreak/>
        <w:tab/>
      </w:r>
      <w:r w:rsidRPr="00625B0D">
        <w:rPr>
          <w:rFonts w:ascii="Arial" w:hAnsi="Arial" w:cs="Arial"/>
        </w:rPr>
        <w:tab/>
        <w:t>5. - zrušenie opravných položiek,</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t>6. hodnota pohľadávok k 31. decembru bežného účtovného obdobia,</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t>7. opis dôvodov tvorby, zníženia a zrušenia opravných položiek k pohľadávkam,</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 xml:space="preserve">c) pohľadávky podľa doby splatnosti v tejto štruktúre: </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t>1. hodnota pohľadávok v lehote splatnosti a po lehote splatnosti k 31. decembru bežného účtovného obdobia,</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t>2. hodnota pohľadávok v lehote splatnosti a po lehote splatnosti k 31. decembru bezprostredne predchádzajúceho  účtovného  obdobia,</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d) opis pohľadávok podľa zostatkovej doby splatnosti k 31.decembru bežného účtovného obdobia a k 31. decembru bezprostredne predchádzajúceho účtovného obdobia v tejto štruktúre:</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t>1. pohľadávky so zostatkovou dobou splatnosti do jedného roka,</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t>2. pohľadávky so zostatkovou dobou splatnosti od jedného do piatich rokov,</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t>3. pohľadávky so zostatkovou dobou splatnosti dlhšou ako päť rokov,</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e) výška pohľadávok zabezpečených záložným právom alebo inou formou zabezpečenia s uvedením formy zabezpečenia,</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f) výška pohľadávok, na ktoré sa zriadilo záložné právo a výška  pohľadávok, pri ktorých má účtovná jednotka obmedzené právo s nimi nakladať.</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(3)</w:t>
      </w:r>
      <w:r w:rsidRPr="00625B0D">
        <w:rPr>
          <w:rFonts w:ascii="Arial" w:hAnsi="Arial" w:cs="Arial"/>
        </w:rPr>
        <w:tab/>
        <w:t>Finančný majetok</w:t>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a) opis významných zložiek krátkodobého finančného majetku,</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b) "zriadenie záložného práva na krátkodobý finančný majetok a obmedzenie práva nakladať s krátkodobým finančným majetkom."</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(4)</w:t>
      </w:r>
      <w:r w:rsidRPr="00625B0D">
        <w:rPr>
          <w:rFonts w:ascii="Arial" w:hAnsi="Arial" w:cs="Arial"/>
        </w:rPr>
        <w:tab/>
        <w:t>Poskytnuté návratné finančné výpomoci</w:t>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 xml:space="preserve">Popis a hodnota poskytnutých návratných finančných výpomocí podľa jednotlivých druhov výpomocí v členení na dlhodobé návratné finančné výpomoci a krátkodobé návratné finančné výpomoci v tejto štruktúre: </w:t>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a) dlžník,</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b) výnos v %,</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c) mena, v ktorej bola návratná finančná výpomoc poskytnutá,</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d) dátum splatnosti,</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e) výška návratnej finančnej výpomoci k 31.decembru bežného účtovného obdobia,</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f) výška návratnej finančnej výpomoci k 31. decembru bezprostredne predchádzajúceho účtovného obdobia.</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(5)</w:t>
      </w:r>
      <w:r w:rsidRPr="00625B0D">
        <w:rPr>
          <w:rFonts w:ascii="Arial" w:hAnsi="Arial" w:cs="Arial"/>
        </w:rPr>
        <w:tab/>
        <w:t>Časové rozlíšenie</w:t>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Popis významných položiek časového rozlíšenia.</w:t>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r>
    </w:p>
    <w:p w:rsidR="00625B0D" w:rsidRPr="00625B0D" w:rsidRDefault="00625B0D" w:rsidP="00625B0D">
      <w:pPr>
        <w:autoSpaceDE w:val="0"/>
        <w:autoSpaceDN w:val="0"/>
        <w:adjustRightInd w:val="0"/>
        <w:spacing w:after="0" w:line="240" w:lineRule="auto"/>
        <w:jc w:val="center"/>
        <w:rPr>
          <w:rFonts w:ascii="Arial" w:hAnsi="Arial" w:cs="Arial"/>
        </w:rPr>
      </w:pPr>
      <w:r w:rsidRPr="00625B0D">
        <w:rPr>
          <w:rFonts w:ascii="Arial" w:hAnsi="Arial" w:cs="Arial"/>
        </w:rPr>
        <w:t>Čl. IV</w:t>
      </w:r>
    </w:p>
    <w:p w:rsidR="00625B0D" w:rsidRPr="00625B0D" w:rsidRDefault="00625B0D" w:rsidP="00625B0D">
      <w:pPr>
        <w:autoSpaceDE w:val="0"/>
        <w:autoSpaceDN w:val="0"/>
        <w:adjustRightInd w:val="0"/>
        <w:spacing w:after="0" w:line="240" w:lineRule="auto"/>
        <w:jc w:val="center"/>
        <w:rPr>
          <w:rFonts w:ascii="Arial" w:hAnsi="Arial" w:cs="Arial"/>
        </w:rPr>
      </w:pPr>
      <w:r w:rsidRPr="00625B0D">
        <w:rPr>
          <w:rFonts w:ascii="Arial" w:hAnsi="Arial" w:cs="Arial"/>
        </w:rPr>
        <w:t>Informácie o údajoch na strane pasív súvahy</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w:t>
      </w:r>
      <w:r w:rsidRPr="00625B0D">
        <w:rPr>
          <w:rFonts w:ascii="Arial" w:hAnsi="Arial" w:cs="Arial"/>
        </w:rPr>
        <w:tab/>
        <w:t>Vlastné imanie</w:t>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Prehľad o pohybe vlastného imania v členení podľa jednotlivých položiek súvahy, pre ktoré má účtovná jednotka obsahovú náplň, v tejto štruktúre:</w:t>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a) názov položky,</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lastRenderedPageBreak/>
        <w:tab/>
        <w:t>b) výška vlastného imania k 31.decembru bezprostredne predchádzajúceho účtovného obdobia,</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c) + zvýšenie,</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d) - zníženie,</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e) +/- presun,</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f) výška vlastného imania  k  31.decembru bežného účtovného obdobia,</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g) opis jednotlivých položiek a opis uvedených zmien jednotlivých položiek vlastného imania uskutočnených v priebehu účtovného obdobia, najmä zmeny oceňovacích rozdielov, opravy významných chýb minulých rokov.</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B</w:t>
      </w:r>
      <w:r w:rsidRPr="00625B0D">
        <w:rPr>
          <w:rFonts w:ascii="Arial" w:hAnsi="Arial" w:cs="Arial"/>
        </w:rPr>
        <w:tab/>
        <w:t>Záväzky</w:t>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(1)</w:t>
      </w:r>
      <w:r w:rsidRPr="00625B0D">
        <w:rPr>
          <w:rFonts w:ascii="Arial" w:hAnsi="Arial" w:cs="Arial"/>
        </w:rPr>
        <w:tab/>
        <w:t>Rezervy</w:t>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Vývoj rezerv v tejto štruktúre:</w:t>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a) položka rezerv,</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b) výška rezerv k 31. decembru bezprostredne predchádzajúceho účtovného obdobia,</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c)  +  tvorba,</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d)  - použitie,</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e)  - zrušenie,</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f) výška rezerv k 31. decembru bežného účtovného obdobia,</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g) predpokladaný rok použitia rezerv,</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h) opis významných položiek rezerv.</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(2)</w:t>
      </w:r>
      <w:r w:rsidRPr="00625B0D">
        <w:rPr>
          <w:rFonts w:ascii="Arial" w:hAnsi="Arial" w:cs="Arial"/>
        </w:rPr>
        <w:tab/>
        <w:t>Záväzky podľa doby splatnosti</w:t>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a) záväzky podľa doby splatnosti v tejto štruktúre:</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t>1. výška záväzkov v lehote splatnosti a po lehote splatnosti k 31. decembru bežného účtovného obdobia,</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t xml:space="preserve">2. výška záväzkov v lehote splatnosti a po lehote splatnosti k 31. decembru bezprostredne predchádzajúceho  účtovného  obdobia, </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b) opis záväzkov podľa zostatkovej doby splatnosti k 31. decembru bežného účtovného obdobia a k 31.decembru bezprostredne predchádzajúceho účtovného obdobia v tejto štruktúre:</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t>1. záväzky so zostatkovou dobou splatnosti do jedného roka,</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t>2. záväzky so zostatkovou dobou splatnosti od jedného do piatich rokov vrátane,</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t>3. záväzky so zostatkovou dobou splatnosti dlhšou ako päť rokov,</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c) popis významných položiek záväzkov.</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(3)</w:t>
      </w:r>
      <w:r w:rsidRPr="00625B0D">
        <w:rPr>
          <w:rFonts w:ascii="Arial" w:hAnsi="Arial" w:cs="Arial"/>
        </w:rPr>
        <w:tab/>
        <w:t>Bankové úvery a ostatné prijaté návratné finančné výpomoci</w:t>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a) dlhodobé bankové úvery a krátkodobé bankové úvery v tejto štruktúre:</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t>1. charakter bankového úveru, napríklad investičný úver, prevádzkový úver,</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t>2. druh bankového úveru podľa splatnosti, napríklad dlhodobý úver, krátkodobý úver,</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t>3. poskytovateľ bankového úveru,</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t>4. mena, v ktorej bol bankový úver poskytnutý,</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t>5. druh úrokovej sadzby a výška sadzby v %,</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t xml:space="preserve">6. nákladový úrok za bežné účtovné obdobie, </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t>7. dátum splatnosti bankového úveru,</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t>8. výška bankového úveru k 31. decembru bežného účtovného obdobia,</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t>9. výška bankového úveru k 31. decembru bezprostredne predchádzajúceho účtovného obdobia,</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lastRenderedPageBreak/>
        <w:tab/>
        <w:t>b) popis zabezpečenia dlhodobého bankového úveru alebo krátkodobého bankového úveru,</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c) dlhodobé emitované dlhopisy a krátkodobé emitované dlhopisy v tejto štruktúre:</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t>1. druh cenného papiera,</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t>2. mena, v ktorej sú cenné papiere vydané,</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t>3. úroková sadzba v %,</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t>4. dátum splatnosti,</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t>5. stav k 31. decembru bežného účtovného obdobia,</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t>6. stav k 31. decembru bezprostredne predchádzajúceho účtovného obdobia,</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 xml:space="preserve">d) prijaté dlhodobé návratné finančné výpomoci a krátkodobé návratné finančné výpomoci v tejto štruktúre: </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t>1. poskytovateľ návratnej finančnej výpomoci,</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t>2. druh prijatej návratnej finančnej výpomoci,  napríklad krátkodobá návratná finančná výpomoc, dlhodobá návratná finančná výpomoc,</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t>3. účel použitia,</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t>4. dátum splatnosti,</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t>5. výška návratnej finančnej výpomoci k 31. decembru bežného účtovného obdobia,</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t>6. výška návratnej finančnej výpomoci k 31. decembru bezprostredne predchádzajúceho účtovného obdobia.</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(4)</w:t>
      </w:r>
      <w:r w:rsidRPr="00625B0D">
        <w:rPr>
          <w:rFonts w:ascii="Arial" w:hAnsi="Arial" w:cs="Arial"/>
        </w:rPr>
        <w:tab/>
        <w:t>Časové rozlíšenie</w:t>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a) popis významných položiek časového rozlíšenia,</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 xml:space="preserve">b) informácie o  prijatých kapitálových transferoch  zaúčtovaných na účte 384. </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r>
    </w:p>
    <w:p w:rsidR="00625B0D" w:rsidRPr="00625B0D" w:rsidRDefault="00625B0D" w:rsidP="00625B0D">
      <w:pPr>
        <w:autoSpaceDE w:val="0"/>
        <w:autoSpaceDN w:val="0"/>
        <w:adjustRightInd w:val="0"/>
        <w:spacing w:after="0" w:line="240" w:lineRule="auto"/>
        <w:jc w:val="center"/>
        <w:rPr>
          <w:rFonts w:ascii="Arial" w:hAnsi="Arial" w:cs="Arial"/>
        </w:rPr>
      </w:pPr>
      <w:r w:rsidRPr="00625B0D">
        <w:rPr>
          <w:rFonts w:ascii="Arial" w:hAnsi="Arial" w:cs="Arial"/>
        </w:rPr>
        <w:t>Čl. V</w:t>
      </w:r>
    </w:p>
    <w:p w:rsidR="00625B0D" w:rsidRPr="00625B0D" w:rsidRDefault="00625B0D" w:rsidP="00625B0D">
      <w:pPr>
        <w:autoSpaceDE w:val="0"/>
        <w:autoSpaceDN w:val="0"/>
        <w:adjustRightInd w:val="0"/>
        <w:spacing w:after="0" w:line="240" w:lineRule="auto"/>
        <w:jc w:val="center"/>
        <w:rPr>
          <w:rFonts w:ascii="Arial" w:hAnsi="Arial" w:cs="Arial"/>
        </w:rPr>
      </w:pPr>
      <w:r w:rsidRPr="00625B0D">
        <w:rPr>
          <w:rFonts w:ascii="Arial" w:hAnsi="Arial" w:cs="Arial"/>
        </w:rPr>
        <w:t>Informácie o výnosoch a nákladoch</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(1)</w:t>
      </w:r>
      <w:r w:rsidRPr="00625B0D">
        <w:rPr>
          <w:rFonts w:ascii="Arial" w:hAnsi="Arial" w:cs="Arial"/>
        </w:rPr>
        <w:tab/>
        <w:t>Výnosy</w:t>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Popis a výška významných položiek výnosov</w:t>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a) tržby za vlastné výkony a tovar,</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b) zmena stavu vnútroorganizačných zásob,</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c) aktivácia,</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 xml:space="preserve">d) daňové výnosy a colné výnosy a výnosy z poplatkov, </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e) finančné výnosy,</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f) mimoriadne výnosy,</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g) výnosy z transferov,</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h) ostatné výnosy, napríklad pokuty, penále, úroky z omeškania a výnosy z poplatkov.</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(2)</w:t>
      </w:r>
      <w:r w:rsidRPr="00625B0D">
        <w:rPr>
          <w:rFonts w:ascii="Arial" w:hAnsi="Arial" w:cs="Arial"/>
        </w:rPr>
        <w:tab/>
        <w:t>Náklady</w:t>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Popis a výška významných položiek nákladov</w:t>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a) spotrebované nákupy,</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b) služby,</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c) osobné náklady,</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d) dane a poplatky,</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e) odpisy, rezervy a opravné položky,</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f) finančné náklady,</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g) mimoriadne náklady,</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lastRenderedPageBreak/>
        <w:tab/>
        <w:t>h) náklady na transfery a náklady z odvodu príjmov,</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i) ostatné náklady.</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(3)</w:t>
      </w:r>
      <w:r w:rsidRPr="00625B0D">
        <w:rPr>
          <w:rFonts w:ascii="Arial" w:hAnsi="Arial" w:cs="Arial"/>
        </w:rPr>
        <w:tab/>
        <w:t xml:space="preserve">Náklady voči audítorovi alebo audítorskej spoločnosti </w:t>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 xml:space="preserve">Popis a výška nákladov voči audítorovi alebo audítorskej spoločnosti </w:t>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a) overenie účtovnej závierky,</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 xml:space="preserve">b) </w:t>
      </w:r>
      <w:proofErr w:type="spellStart"/>
      <w:r w:rsidRPr="00625B0D">
        <w:rPr>
          <w:rFonts w:ascii="Arial" w:hAnsi="Arial" w:cs="Arial"/>
        </w:rPr>
        <w:t>uisťovacie</w:t>
      </w:r>
      <w:proofErr w:type="spellEnd"/>
      <w:r w:rsidRPr="00625B0D">
        <w:rPr>
          <w:rFonts w:ascii="Arial" w:hAnsi="Arial" w:cs="Arial"/>
        </w:rPr>
        <w:t xml:space="preserve"> audítorské služby s výnimkou overenia účtovnej závierky,</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c) súvisiace audítorské služby,</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d) daňové poradenstvo,</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 xml:space="preserve">e) ostatné neaudítorské služby. </w:t>
      </w:r>
    </w:p>
    <w:p w:rsidR="00625B0D" w:rsidRPr="00625B0D" w:rsidRDefault="00625B0D" w:rsidP="00625B0D">
      <w:pPr>
        <w:autoSpaceDE w:val="0"/>
        <w:autoSpaceDN w:val="0"/>
        <w:adjustRightInd w:val="0"/>
        <w:spacing w:after="0" w:line="240" w:lineRule="auto"/>
        <w:rPr>
          <w:rFonts w:ascii="Arial" w:hAnsi="Arial" w:cs="Arial"/>
        </w:rPr>
      </w:pP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(4)</w:t>
      </w:r>
      <w:r w:rsidRPr="00625B0D">
        <w:rPr>
          <w:rFonts w:ascii="Arial" w:hAnsi="Arial" w:cs="Arial"/>
        </w:rPr>
        <w:tab/>
        <w:t xml:space="preserve">Tržby a výrobné náklady príspevkových organizácií  </w:t>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 xml:space="preserve">Výška tržieb v členení na tržby za vlastné výrobky, tržby z predaja služieb a tržby za tovar znížené o náklady na predaný tovar. </w:t>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 xml:space="preserve">Výška výrobných nákladov v členení na: </w:t>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a) spotreba materiálu,</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b) spotreba energie,</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c) spotreba ostatných neskladovateľných dodávok,</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d) opravy a udržiavanie,</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e) cestovné,</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f) ostatné služby,</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g) mzdové náklady,</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h) zákonné sociálne poistenie,</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i) ostatné sociálne poistenie,</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j) zákonné sociálne náklady,</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k) ostatné sociálne náklady,</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l) daň z motorových vozidiel,</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m) daň z nehnuteľností,</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n) ostatné dane a poplatky,</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o) odpisy dlhodobého nehmotného majetku a dlhodobého hmotného majetku.</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 xml:space="preserve"> </w:t>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 xml:space="preserve"> </w:t>
      </w:r>
      <w:r w:rsidRPr="00625B0D">
        <w:rPr>
          <w:rFonts w:ascii="Arial" w:hAnsi="Arial" w:cs="Arial"/>
        </w:rPr>
        <w:tab/>
        <w:t xml:space="preserve"> </w:t>
      </w:r>
      <w:r w:rsidRPr="00625B0D">
        <w:rPr>
          <w:rFonts w:ascii="Arial" w:hAnsi="Arial" w:cs="Arial"/>
        </w:rPr>
        <w:tab/>
      </w:r>
    </w:p>
    <w:p w:rsidR="00625B0D" w:rsidRPr="00625B0D" w:rsidRDefault="00625B0D" w:rsidP="00625B0D">
      <w:pPr>
        <w:autoSpaceDE w:val="0"/>
        <w:autoSpaceDN w:val="0"/>
        <w:adjustRightInd w:val="0"/>
        <w:spacing w:after="0" w:line="240" w:lineRule="auto"/>
        <w:jc w:val="center"/>
        <w:rPr>
          <w:rFonts w:ascii="Arial" w:hAnsi="Arial" w:cs="Arial"/>
        </w:rPr>
      </w:pPr>
      <w:r w:rsidRPr="00625B0D">
        <w:rPr>
          <w:rFonts w:ascii="Arial" w:hAnsi="Arial" w:cs="Arial"/>
        </w:rPr>
        <w:t>Čl. VI</w:t>
      </w:r>
    </w:p>
    <w:p w:rsidR="00625B0D" w:rsidRPr="00625B0D" w:rsidRDefault="00625B0D" w:rsidP="00625B0D">
      <w:pPr>
        <w:autoSpaceDE w:val="0"/>
        <w:autoSpaceDN w:val="0"/>
        <w:adjustRightInd w:val="0"/>
        <w:spacing w:after="0" w:line="240" w:lineRule="auto"/>
        <w:jc w:val="center"/>
        <w:rPr>
          <w:rFonts w:ascii="Arial" w:hAnsi="Arial" w:cs="Arial"/>
        </w:rPr>
      </w:pPr>
      <w:r w:rsidRPr="00625B0D">
        <w:rPr>
          <w:rFonts w:ascii="Arial" w:hAnsi="Arial" w:cs="Arial"/>
        </w:rPr>
        <w:t>Informácie o údajoch na podsúvahových účtoch</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r>
    </w:p>
    <w:p w:rsidR="00625B0D" w:rsidRPr="00625B0D" w:rsidRDefault="00625B0D" w:rsidP="00625B0D">
      <w:pPr>
        <w:autoSpaceDE w:val="0"/>
        <w:autoSpaceDN w:val="0"/>
        <w:adjustRightInd w:val="0"/>
        <w:spacing w:after="0" w:line="240" w:lineRule="auto"/>
        <w:jc w:val="center"/>
        <w:rPr>
          <w:rFonts w:ascii="Arial" w:hAnsi="Arial" w:cs="Arial"/>
        </w:rPr>
      </w:pPr>
      <w:r w:rsidRPr="00625B0D">
        <w:rPr>
          <w:rFonts w:ascii="Arial" w:hAnsi="Arial" w:cs="Arial"/>
        </w:rPr>
        <w:t>ČI. VII</w:t>
      </w:r>
    </w:p>
    <w:p w:rsidR="00625B0D" w:rsidRPr="00625B0D" w:rsidRDefault="00625B0D" w:rsidP="006A7449">
      <w:pPr>
        <w:autoSpaceDE w:val="0"/>
        <w:autoSpaceDN w:val="0"/>
        <w:adjustRightInd w:val="0"/>
        <w:spacing w:after="0" w:line="240" w:lineRule="auto"/>
        <w:jc w:val="center"/>
        <w:rPr>
          <w:rFonts w:ascii="Arial" w:hAnsi="Arial" w:cs="Arial"/>
        </w:rPr>
      </w:pPr>
      <w:r w:rsidRPr="00625B0D">
        <w:rPr>
          <w:rFonts w:ascii="Arial" w:hAnsi="Arial" w:cs="Arial"/>
        </w:rPr>
        <w:t>Informácie o iných aktívach a iných pasívach</w:t>
      </w:r>
    </w:p>
    <w:p w:rsidR="00625B0D" w:rsidRPr="00625B0D" w:rsidRDefault="00625B0D" w:rsidP="00625B0D">
      <w:pPr>
        <w:autoSpaceDE w:val="0"/>
        <w:autoSpaceDN w:val="0"/>
        <w:adjustRightInd w:val="0"/>
        <w:spacing w:after="0" w:line="240" w:lineRule="auto"/>
        <w:rPr>
          <w:rFonts w:ascii="Arial" w:hAnsi="Arial" w:cs="Arial"/>
        </w:rPr>
      </w:pPr>
    </w:p>
    <w:p w:rsidR="00625B0D" w:rsidRPr="00625B0D" w:rsidRDefault="006A7449" w:rsidP="00625B0D">
      <w:pPr>
        <w:autoSpaceDE w:val="0"/>
        <w:autoSpaceDN w:val="0"/>
        <w:adjustRightInd w:val="0"/>
        <w:spacing w:after="0" w:line="240" w:lineRule="auto"/>
        <w:rPr>
          <w:rFonts w:ascii="Arial" w:hAnsi="Arial" w:cs="Arial"/>
        </w:rPr>
      </w:pPr>
      <w:r>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r>
    </w:p>
    <w:p w:rsidR="00625B0D" w:rsidRPr="00625B0D" w:rsidRDefault="00625B0D" w:rsidP="00625B0D">
      <w:pPr>
        <w:autoSpaceDE w:val="0"/>
        <w:autoSpaceDN w:val="0"/>
        <w:adjustRightInd w:val="0"/>
        <w:spacing w:after="0" w:line="240" w:lineRule="auto"/>
        <w:jc w:val="center"/>
        <w:rPr>
          <w:rFonts w:ascii="Arial" w:hAnsi="Arial" w:cs="Arial"/>
        </w:rPr>
      </w:pPr>
      <w:r w:rsidRPr="00625B0D">
        <w:rPr>
          <w:rFonts w:ascii="Arial" w:hAnsi="Arial" w:cs="Arial"/>
        </w:rPr>
        <w:t>Čl. VIII</w:t>
      </w:r>
    </w:p>
    <w:p w:rsidR="00625B0D" w:rsidRPr="00625B0D" w:rsidRDefault="00625B0D" w:rsidP="00625B0D">
      <w:pPr>
        <w:autoSpaceDE w:val="0"/>
        <w:autoSpaceDN w:val="0"/>
        <w:adjustRightInd w:val="0"/>
        <w:spacing w:after="0" w:line="240" w:lineRule="auto"/>
        <w:jc w:val="center"/>
        <w:rPr>
          <w:rFonts w:ascii="Arial" w:hAnsi="Arial" w:cs="Arial"/>
        </w:rPr>
      </w:pPr>
      <w:r w:rsidRPr="00625B0D">
        <w:rPr>
          <w:rFonts w:ascii="Arial" w:hAnsi="Arial" w:cs="Arial"/>
        </w:rPr>
        <w:t>Informácie o spriaznených osobách a o ekonomických vzťahoch účtovnej jednotky a spriaznených osôb</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(1)</w:t>
      </w:r>
      <w:r w:rsidRPr="00625B0D">
        <w:rPr>
          <w:rFonts w:ascii="Arial" w:hAnsi="Arial" w:cs="Arial"/>
        </w:rPr>
        <w:tab/>
        <w:t>Informácie o spriaznených osobách a o ekonomick</w:t>
      </w:r>
      <w:r w:rsidR="006A7449">
        <w:rPr>
          <w:rFonts w:ascii="Arial" w:hAnsi="Arial" w:cs="Arial"/>
        </w:rPr>
        <w:t xml:space="preserve">ých vzťahoch účtovnej jednotky </w:t>
      </w:r>
      <w:r w:rsidRPr="00625B0D">
        <w:rPr>
          <w:rFonts w:ascii="Arial" w:hAnsi="Arial" w:cs="Arial"/>
        </w:rPr>
        <w:t xml:space="preserve"> spriaznených osôb</w:t>
      </w:r>
      <w:r w:rsidRPr="00625B0D">
        <w:rPr>
          <w:rFonts w:ascii="Arial" w:hAnsi="Arial" w:cs="Arial"/>
        </w:rPr>
        <w:tab/>
      </w:r>
      <w:r w:rsidR="006A7449">
        <w:rPr>
          <w:rFonts w:ascii="Arial" w:hAnsi="Arial" w:cs="Arial"/>
        </w:rPr>
        <w:t>žiadne</w:t>
      </w:r>
    </w:p>
    <w:p w:rsidR="00625B0D" w:rsidRPr="00625B0D" w:rsidRDefault="00625B0D" w:rsidP="00625B0D">
      <w:pPr>
        <w:autoSpaceDE w:val="0"/>
        <w:autoSpaceDN w:val="0"/>
        <w:adjustRightInd w:val="0"/>
        <w:spacing w:after="0" w:line="240" w:lineRule="auto"/>
        <w:rPr>
          <w:rFonts w:ascii="Arial" w:hAnsi="Arial" w:cs="Arial"/>
        </w:rPr>
      </w:pP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lastRenderedPageBreak/>
        <w:tab/>
        <w:t xml:space="preserve"> </w:t>
      </w:r>
      <w:r w:rsidRPr="00625B0D">
        <w:rPr>
          <w:rFonts w:ascii="Arial" w:hAnsi="Arial" w:cs="Arial"/>
        </w:rPr>
        <w:tab/>
      </w:r>
    </w:p>
    <w:p w:rsidR="00625B0D" w:rsidRPr="00625B0D" w:rsidRDefault="00625B0D" w:rsidP="00625B0D">
      <w:pPr>
        <w:autoSpaceDE w:val="0"/>
        <w:autoSpaceDN w:val="0"/>
        <w:adjustRightInd w:val="0"/>
        <w:spacing w:after="0" w:line="240" w:lineRule="auto"/>
        <w:jc w:val="center"/>
        <w:rPr>
          <w:rFonts w:ascii="Arial" w:hAnsi="Arial" w:cs="Arial"/>
        </w:rPr>
      </w:pPr>
      <w:r w:rsidRPr="00625B0D">
        <w:rPr>
          <w:rFonts w:ascii="Arial" w:hAnsi="Arial" w:cs="Arial"/>
        </w:rPr>
        <w:t>Čl. IX</w:t>
      </w:r>
    </w:p>
    <w:p w:rsidR="00625B0D" w:rsidRPr="00625B0D" w:rsidRDefault="00625B0D" w:rsidP="00625B0D">
      <w:pPr>
        <w:autoSpaceDE w:val="0"/>
        <w:autoSpaceDN w:val="0"/>
        <w:adjustRightInd w:val="0"/>
        <w:spacing w:after="0" w:line="240" w:lineRule="auto"/>
        <w:jc w:val="center"/>
        <w:rPr>
          <w:rFonts w:ascii="Arial" w:hAnsi="Arial" w:cs="Arial"/>
        </w:rPr>
      </w:pPr>
      <w:r w:rsidRPr="00625B0D">
        <w:rPr>
          <w:rFonts w:ascii="Arial" w:hAnsi="Arial" w:cs="Arial"/>
        </w:rPr>
        <w:t>Informácie o rozpočte a hodnotenie plnenia rozpočtu</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Informácie o rozpočte a hodnotenie plnenia rozpočtu v tejto štruktúre:</w:t>
      </w: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a) príj</w:t>
      </w:r>
      <w:r w:rsidR="006A7449">
        <w:rPr>
          <w:rFonts w:ascii="Arial" w:hAnsi="Arial" w:cs="Arial"/>
        </w:rPr>
        <w:t>my bežného rozpočtu v tabuľke č.12</w:t>
      </w:r>
    </w:p>
    <w:p w:rsidR="00625B0D" w:rsidRPr="00625B0D" w:rsidRDefault="006A7449" w:rsidP="00625B0D">
      <w:pPr>
        <w:autoSpaceDE w:val="0"/>
        <w:autoSpaceDN w:val="0"/>
        <w:adjustRightInd w:val="0"/>
        <w:spacing w:after="0" w:line="240" w:lineRule="auto"/>
        <w:rPr>
          <w:rFonts w:ascii="Arial" w:hAnsi="Arial" w:cs="Arial"/>
        </w:rPr>
      </w:pPr>
      <w:r>
        <w:rPr>
          <w:rFonts w:ascii="Arial" w:hAnsi="Arial" w:cs="Arial"/>
        </w:rPr>
        <w:tab/>
        <w:t>b) výdavky bežného rozpočtu v tabuľke č.13</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r>
    </w:p>
    <w:p w:rsidR="00625B0D" w:rsidRPr="00625B0D" w:rsidRDefault="00625B0D" w:rsidP="00625B0D">
      <w:pPr>
        <w:autoSpaceDE w:val="0"/>
        <w:autoSpaceDN w:val="0"/>
        <w:adjustRightInd w:val="0"/>
        <w:spacing w:after="0" w:line="240" w:lineRule="auto"/>
        <w:jc w:val="center"/>
        <w:rPr>
          <w:rFonts w:ascii="Arial" w:hAnsi="Arial" w:cs="Arial"/>
        </w:rPr>
      </w:pPr>
      <w:r w:rsidRPr="00625B0D">
        <w:rPr>
          <w:rFonts w:ascii="Arial" w:hAnsi="Arial" w:cs="Arial"/>
        </w:rPr>
        <w:t>Čl. X</w:t>
      </w:r>
    </w:p>
    <w:p w:rsidR="00625B0D" w:rsidRPr="00625B0D" w:rsidRDefault="00625B0D" w:rsidP="00625B0D">
      <w:pPr>
        <w:autoSpaceDE w:val="0"/>
        <w:autoSpaceDN w:val="0"/>
        <w:adjustRightInd w:val="0"/>
        <w:spacing w:after="0" w:line="240" w:lineRule="auto"/>
        <w:jc w:val="center"/>
        <w:rPr>
          <w:rFonts w:ascii="Arial" w:hAnsi="Arial" w:cs="Arial"/>
        </w:rPr>
      </w:pPr>
      <w:r w:rsidRPr="00625B0D">
        <w:rPr>
          <w:rFonts w:ascii="Arial" w:hAnsi="Arial" w:cs="Arial"/>
        </w:rPr>
        <w:t>Informácie o skutočnostiach, ktoré nastali po dni, ku ktorému sa zostavuje účtovná závierka do dňa zostavenia účtovnej závierky</w:t>
      </w:r>
    </w:p>
    <w:p w:rsidR="00625B0D" w:rsidRPr="00625B0D" w:rsidRDefault="00625B0D" w:rsidP="00625B0D">
      <w:pPr>
        <w:autoSpaceDE w:val="0"/>
        <w:autoSpaceDN w:val="0"/>
        <w:adjustRightInd w:val="0"/>
        <w:spacing w:after="0" w:line="240" w:lineRule="auto"/>
        <w:rPr>
          <w:rFonts w:ascii="Arial" w:hAnsi="Arial" w:cs="Arial"/>
        </w:rPr>
      </w:pP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Informácie o skutočnostiach, ktoré nastali po dni, ku ktorému sa zostavuje účtovná závierka do dňa zostavenia účtovnej závierky</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a) pokles alebo zvýšenie trhovej ceny finančného majetku ako dôsledku okolností, ktoré nastali po dni, ku ktorému sa zostavuje účtovná závierka do dňa zostavenia účtovnej závierky s uvedením dôvodu týchto zmien,</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b) dôvody pre zmenu výšky rezerv a opravných položiek,</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c) zmeny významných položiek dlhodobého finančného majetku,</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d) vydané dlhopisy a iné cenné papiere,</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e) zmena právnej formy účtovnej jednotky,</w:t>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t>f) mimoriadne skutočnosti, ktoré majú vplyv na hospodárenie účtovnej jednotky,</w:t>
      </w:r>
    </w:p>
    <w:p w:rsidR="006A7449" w:rsidRDefault="00625B0D" w:rsidP="00625B0D">
      <w:pPr>
        <w:autoSpaceDE w:val="0"/>
        <w:autoSpaceDN w:val="0"/>
        <w:adjustRightInd w:val="0"/>
        <w:spacing w:after="0" w:line="240" w:lineRule="auto"/>
        <w:rPr>
          <w:rFonts w:ascii="Arial" w:hAnsi="Arial" w:cs="Arial"/>
        </w:rPr>
      </w:pPr>
      <w:r w:rsidRPr="00625B0D">
        <w:rPr>
          <w:rFonts w:ascii="Arial" w:hAnsi="Arial" w:cs="Arial"/>
        </w:rPr>
        <w:tab/>
        <w:t xml:space="preserve">g) iné mimoriadne skutočnosti. </w:t>
      </w:r>
    </w:p>
    <w:p w:rsidR="00625B0D" w:rsidRPr="00625B0D" w:rsidRDefault="006A7449" w:rsidP="00625B0D">
      <w:pPr>
        <w:autoSpaceDE w:val="0"/>
        <w:autoSpaceDN w:val="0"/>
        <w:adjustRightInd w:val="0"/>
        <w:spacing w:after="0" w:line="240" w:lineRule="auto"/>
        <w:rPr>
          <w:rFonts w:ascii="Arial" w:hAnsi="Arial" w:cs="Arial"/>
        </w:rPr>
      </w:pPr>
      <w:r>
        <w:rPr>
          <w:rFonts w:ascii="Arial" w:hAnsi="Arial" w:cs="Arial"/>
        </w:rPr>
        <w:t>Nie žiadne mimoriadne udalosti sa nenastali.</w:t>
      </w:r>
      <w:r w:rsidR="00625B0D" w:rsidRPr="00625B0D">
        <w:rPr>
          <w:rFonts w:ascii="Arial" w:hAnsi="Arial" w:cs="Arial"/>
        </w:rPr>
        <w:tab/>
      </w:r>
    </w:p>
    <w:p w:rsidR="00625B0D" w:rsidRPr="00625B0D" w:rsidRDefault="00625B0D" w:rsidP="00625B0D">
      <w:pPr>
        <w:autoSpaceDE w:val="0"/>
        <w:autoSpaceDN w:val="0"/>
        <w:adjustRightInd w:val="0"/>
        <w:spacing w:after="0" w:line="240" w:lineRule="auto"/>
        <w:rPr>
          <w:rFonts w:ascii="Arial" w:hAnsi="Arial" w:cs="Arial"/>
        </w:rPr>
      </w:pPr>
      <w:r w:rsidRPr="00625B0D">
        <w:rPr>
          <w:rFonts w:ascii="Arial" w:hAnsi="Arial" w:cs="Arial"/>
        </w:rPr>
        <w:tab/>
      </w:r>
      <w:r w:rsidRPr="00625B0D">
        <w:rPr>
          <w:rFonts w:ascii="Arial" w:hAnsi="Arial" w:cs="Arial"/>
        </w:rPr>
        <w:tab/>
      </w:r>
    </w:p>
    <w:p w:rsidR="00C96188" w:rsidRDefault="00C96188"/>
    <w:sectPr w:rsidR="00C96188" w:rsidSect="008A2C59">
      <w:pgSz w:w="12240" w:h="15840"/>
      <w:pgMar w:top="1417" w:right="1417" w:bottom="1417" w:left="1417" w:header="708" w:footer="708" w:gutter="0"/>
      <w:cols w:space="708"/>
      <w:noEndnote/>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10002FF" w:usb1="4000ACFF" w:usb2="00000009" w:usb3="00000000" w:csb0="0000019F" w:csb1="00000000"/>
  </w:font>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oNotDisplayPageBoundaries/>
  <w:proofState w:spelling="clean" w:grammar="clean"/>
  <w:defaultTabStop w:val="708"/>
  <w:hyphenationZone w:val="425"/>
  <w:characterSpacingControl w:val="doNotCompress"/>
  <w:compat/>
  <w:rsids>
    <w:rsidRoot w:val="00625B0D"/>
    <w:rsid w:val="0035555B"/>
    <w:rsid w:val="00484CD1"/>
    <w:rsid w:val="00625B0D"/>
    <w:rsid w:val="006A7449"/>
    <w:rsid w:val="00C96188"/>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96188"/>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9</Pages>
  <Words>2561</Words>
  <Characters>14599</Characters>
  <Application>Microsoft Office Word</Application>
  <DocSecurity>0</DocSecurity>
  <Lines>121</Lines>
  <Paragraphs>34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17126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Erika</dc:creator>
  <cp:lastModifiedBy>Erika</cp:lastModifiedBy>
  <cp:revision>2</cp:revision>
  <dcterms:created xsi:type="dcterms:W3CDTF">2018-04-30T12:09:00Z</dcterms:created>
  <dcterms:modified xsi:type="dcterms:W3CDTF">2018-04-30T12:09:00Z</dcterms:modified>
</cp:coreProperties>
</file>