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Čl. I Všeobecné údaje o účtovnej jednotke</w:t>
      </w:r>
    </w:p>
    <w:p w:rsid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</w:p>
    <w:p w:rsid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Obchodné meno: </w:t>
      </w:r>
      <w:r w:rsidRPr="00484B65">
        <w:rPr>
          <w:rFonts w:ascii="Arial" w:hAnsi="Arial" w:cs="Arial"/>
          <w:sz w:val="24"/>
          <w:szCs w:val="24"/>
        </w:rPr>
        <w:t xml:space="preserve">P&amp;T </w:t>
      </w:r>
      <w:proofErr w:type="spellStart"/>
      <w:r w:rsidRPr="00484B65">
        <w:rPr>
          <w:rFonts w:ascii="Arial" w:hAnsi="Arial" w:cs="Arial"/>
          <w:sz w:val="24"/>
          <w:szCs w:val="24"/>
        </w:rPr>
        <w:t>Justitia</w:t>
      </w:r>
      <w:proofErr w:type="spellEnd"/>
      <w:r w:rsidRPr="00484B65">
        <w:rPr>
          <w:rFonts w:ascii="Arial" w:hAnsi="Arial" w:cs="Arial"/>
          <w:sz w:val="24"/>
          <w:szCs w:val="24"/>
        </w:rPr>
        <w:t>, s.r.o.</w:t>
      </w:r>
      <w:r>
        <w:rPr>
          <w:rFonts w:ascii="Arial" w:hAnsi="Arial" w:cs="Arial"/>
          <w:sz w:val="24"/>
          <w:szCs w:val="24"/>
        </w:rPr>
        <w:t xml:space="preserve"> v likvidácii</w:t>
      </w:r>
    </w:p>
    <w:p w:rsid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Sídlo: Ul. Kpt. J. Nálepku 43, 934 05 Levice</w:t>
      </w:r>
    </w:p>
    <w:p w:rsid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  <w:u w:val="single"/>
        </w:rPr>
      </w:pPr>
      <w:r w:rsidRPr="00484B65">
        <w:rPr>
          <w:rFonts w:ascii="Arial" w:hAnsi="Arial" w:cs="Arial"/>
          <w:b/>
          <w:sz w:val="24"/>
          <w:szCs w:val="24"/>
          <w:u w:val="single"/>
        </w:rPr>
        <w:t>Predmet podnikania:</w:t>
      </w: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84B65">
        <w:rPr>
          <w:rFonts w:ascii="Arial" w:hAnsi="Arial" w:cs="Arial"/>
          <w:sz w:val="24"/>
          <w:szCs w:val="24"/>
        </w:rPr>
        <w:t>kúpa tovaru na účely jeho predaja konečnému spotrebiteľovi (maloobchod) alebo iným prevádzkovateľom živnosti (veľkoobchod)</w:t>
      </w: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84B65">
        <w:rPr>
          <w:rFonts w:ascii="Arial" w:hAnsi="Arial" w:cs="Arial"/>
          <w:sz w:val="24"/>
          <w:szCs w:val="24"/>
        </w:rPr>
        <w:t>sprostredkovateľská činnosť v oblasti obchodu</w:t>
      </w: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84B65">
        <w:rPr>
          <w:rFonts w:ascii="Arial" w:hAnsi="Arial" w:cs="Arial"/>
          <w:sz w:val="24"/>
          <w:szCs w:val="24"/>
        </w:rPr>
        <w:t>sprostredkovateľská činnosť v oblasti služieb</w:t>
      </w: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84B65">
        <w:rPr>
          <w:rFonts w:ascii="Arial" w:hAnsi="Arial" w:cs="Arial"/>
          <w:sz w:val="24"/>
          <w:szCs w:val="24"/>
        </w:rPr>
        <w:t>kuriérske služby</w:t>
      </w: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84B65">
        <w:rPr>
          <w:rFonts w:ascii="Arial" w:hAnsi="Arial" w:cs="Arial"/>
          <w:sz w:val="24"/>
          <w:szCs w:val="24"/>
        </w:rPr>
        <w:t>predaj leteckých prepravných služieb</w:t>
      </w: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84B65">
        <w:rPr>
          <w:rFonts w:ascii="Arial" w:hAnsi="Arial" w:cs="Arial"/>
          <w:sz w:val="24"/>
          <w:szCs w:val="24"/>
        </w:rPr>
        <w:t>počítačové služby</w:t>
      </w: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84B65">
        <w:rPr>
          <w:rFonts w:ascii="Arial" w:hAnsi="Arial" w:cs="Arial"/>
          <w:sz w:val="24"/>
          <w:szCs w:val="24"/>
        </w:rPr>
        <w:t>služby súvisiace s počítačovým spracovaním údajov</w:t>
      </w: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484B65">
        <w:rPr>
          <w:rFonts w:ascii="Arial" w:hAnsi="Arial" w:cs="Arial"/>
          <w:sz w:val="24"/>
          <w:szCs w:val="24"/>
        </w:rPr>
        <w:t>faktoring</w:t>
      </w:r>
      <w:proofErr w:type="spellEnd"/>
      <w:r w:rsidRPr="00484B65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484B65">
        <w:rPr>
          <w:rFonts w:ascii="Arial" w:hAnsi="Arial" w:cs="Arial"/>
          <w:sz w:val="24"/>
          <w:szCs w:val="24"/>
        </w:rPr>
        <w:t>forfaiting</w:t>
      </w:r>
      <w:proofErr w:type="spellEnd"/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84B65">
        <w:rPr>
          <w:rFonts w:ascii="Arial" w:hAnsi="Arial" w:cs="Arial"/>
          <w:sz w:val="24"/>
          <w:szCs w:val="24"/>
        </w:rPr>
        <w:t>prenájom nehnuteľností spojený s poskytovaním iných než základných služieb spojených s prenájmom</w:t>
      </w: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84B65">
        <w:rPr>
          <w:rFonts w:ascii="Arial" w:hAnsi="Arial" w:cs="Arial"/>
          <w:sz w:val="24"/>
          <w:szCs w:val="24"/>
        </w:rPr>
        <w:t>prenájom hnuteľných vecí</w:t>
      </w: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84B65">
        <w:rPr>
          <w:rFonts w:ascii="Arial" w:hAnsi="Arial" w:cs="Arial"/>
          <w:sz w:val="24"/>
          <w:szCs w:val="24"/>
        </w:rPr>
        <w:t>administratívne služby</w:t>
      </w: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84B65">
        <w:rPr>
          <w:rFonts w:ascii="Arial" w:hAnsi="Arial" w:cs="Arial"/>
          <w:sz w:val="24"/>
          <w:szCs w:val="24"/>
        </w:rPr>
        <w:t>činnosť podnikateľských, organizačných a ekonomických poradcov</w:t>
      </w: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84B65">
        <w:rPr>
          <w:rFonts w:ascii="Arial" w:hAnsi="Arial" w:cs="Arial"/>
          <w:sz w:val="24"/>
          <w:szCs w:val="24"/>
        </w:rPr>
        <w:t>vedenie účtovníctva</w:t>
      </w: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84B65">
        <w:rPr>
          <w:rFonts w:ascii="Arial" w:hAnsi="Arial" w:cs="Arial"/>
          <w:sz w:val="24"/>
          <w:szCs w:val="24"/>
        </w:rPr>
        <w:t>vykonávanie mimoškolskej vzdelávacej činnosti</w:t>
      </w: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84B65">
        <w:rPr>
          <w:rFonts w:ascii="Arial" w:hAnsi="Arial" w:cs="Arial"/>
          <w:sz w:val="24"/>
          <w:szCs w:val="24"/>
        </w:rPr>
        <w:t>reklamné a marketingové služby</w:t>
      </w:r>
    </w:p>
    <w:p w:rsid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84B65">
        <w:rPr>
          <w:rFonts w:ascii="Arial" w:hAnsi="Arial" w:cs="Arial"/>
          <w:sz w:val="24"/>
          <w:szCs w:val="24"/>
        </w:rPr>
        <w:t>prieskum trhu a verejnej mienky</w:t>
      </w:r>
    </w:p>
    <w:p w:rsid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Čl. I (1) , (3) Všeobecné údaje</w:t>
      </w:r>
    </w:p>
    <w:p w:rsid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84B65">
        <w:rPr>
          <w:rFonts w:ascii="Arial" w:hAnsi="Arial" w:cs="Arial"/>
          <w:sz w:val="24"/>
          <w:szCs w:val="24"/>
        </w:rPr>
        <w:t>Čl. I (3) Priemerný počet zamestnancov:</w:t>
      </w:r>
      <w:r>
        <w:rPr>
          <w:rFonts w:ascii="Arial" w:hAnsi="Arial" w:cs="Arial"/>
          <w:sz w:val="24"/>
          <w:szCs w:val="24"/>
        </w:rPr>
        <w:t xml:space="preserve"> 0</w:t>
      </w: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Čl. II Informácie o prijatých postupoch</w:t>
      </w:r>
    </w:p>
    <w:p w:rsid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</w:p>
    <w:p w:rsid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Čl. II (1) Nepretržité pokračovanie účtovnej jednotky</w:t>
      </w:r>
    </w:p>
    <w:p w:rsid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84B65">
        <w:rPr>
          <w:rFonts w:ascii="Arial" w:hAnsi="Arial" w:cs="Arial"/>
          <w:sz w:val="24"/>
          <w:szCs w:val="24"/>
        </w:rPr>
        <w:t>Čl. II (1) Účtovná uzávierka je zostavená za splnenie predpokladu, že účtovná jednotka bude nepretržite pokračovať vo svojej činnosti: Nie</w:t>
      </w:r>
      <w:r>
        <w:rPr>
          <w:rFonts w:ascii="Arial" w:hAnsi="Arial" w:cs="Arial"/>
          <w:sz w:val="24"/>
          <w:szCs w:val="24"/>
        </w:rPr>
        <w:t xml:space="preserve"> – účtovná jednotka </w:t>
      </w:r>
      <w:r w:rsidR="009D5716">
        <w:rPr>
          <w:rFonts w:ascii="Arial" w:hAnsi="Arial" w:cs="Arial"/>
          <w:sz w:val="24"/>
          <w:szCs w:val="24"/>
        </w:rPr>
        <w:t xml:space="preserve">zostavuje účtovnú závierku ku dňu skončenia likvidácie, do ktorej </w:t>
      </w:r>
      <w:r>
        <w:rPr>
          <w:rFonts w:ascii="Arial" w:hAnsi="Arial" w:cs="Arial"/>
          <w:sz w:val="24"/>
          <w:szCs w:val="24"/>
        </w:rPr>
        <w:t>vstúpi</w:t>
      </w:r>
      <w:r w:rsidR="009D5716">
        <w:rPr>
          <w:rFonts w:ascii="Arial" w:hAnsi="Arial" w:cs="Arial"/>
          <w:sz w:val="24"/>
          <w:szCs w:val="24"/>
        </w:rPr>
        <w:t>la dňom 08.01.2018.</w:t>
      </w:r>
      <w:bookmarkStart w:id="0" w:name="_GoBack"/>
      <w:bookmarkEnd w:id="0"/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Čl. II (2) Spôsob oceňovania jednotlivých položiek majetku a záväzkov</w:t>
      </w:r>
    </w:p>
    <w:p w:rsid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84B65">
        <w:rPr>
          <w:rFonts w:ascii="Arial" w:hAnsi="Arial" w:cs="Arial"/>
          <w:sz w:val="24"/>
          <w:szCs w:val="24"/>
        </w:rPr>
        <w:t>Čl. II (2) Spôsob oceňovania jednotlivých položiek majetku a</w:t>
      </w:r>
      <w:r>
        <w:rPr>
          <w:rFonts w:ascii="Arial" w:hAnsi="Arial" w:cs="Arial"/>
          <w:sz w:val="24"/>
          <w:szCs w:val="24"/>
        </w:rPr>
        <w:t> </w:t>
      </w:r>
      <w:r w:rsidRPr="00484B65">
        <w:rPr>
          <w:rFonts w:ascii="Arial" w:hAnsi="Arial" w:cs="Arial"/>
          <w:sz w:val="24"/>
          <w:szCs w:val="24"/>
        </w:rPr>
        <w:t>záväzkov</w:t>
      </w: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484B65">
        <w:rPr>
          <w:rFonts w:ascii="Arial" w:hAnsi="Arial" w:cs="Arial"/>
          <w:b/>
          <w:bCs/>
          <w:sz w:val="24"/>
          <w:szCs w:val="24"/>
        </w:rPr>
        <w:t>Popis položky Ocenenie majetku a záväzkov Poznámka k oceneniu</w:t>
      </w: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84B65">
        <w:rPr>
          <w:rFonts w:ascii="Arial" w:hAnsi="Arial" w:cs="Arial"/>
          <w:sz w:val="24"/>
          <w:szCs w:val="24"/>
        </w:rPr>
        <w:t>Derivátové operácie Menovitá hodnota</w:t>
      </w: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84B65">
        <w:rPr>
          <w:rFonts w:ascii="Arial" w:hAnsi="Arial" w:cs="Arial"/>
          <w:sz w:val="24"/>
          <w:szCs w:val="24"/>
        </w:rPr>
        <w:t>Záväzky vrátane rezerv, dlhopisov, pôžičiek, úverov Menovitá hodnota</w:t>
      </w: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84B65">
        <w:rPr>
          <w:rFonts w:ascii="Arial" w:hAnsi="Arial" w:cs="Arial"/>
          <w:sz w:val="24"/>
          <w:szCs w:val="24"/>
        </w:rPr>
        <w:t>Krátkodobý finančný majetok Obstarávacia cena</w:t>
      </w: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84B65">
        <w:rPr>
          <w:rFonts w:ascii="Arial" w:hAnsi="Arial" w:cs="Arial"/>
          <w:sz w:val="24"/>
          <w:szCs w:val="24"/>
        </w:rPr>
        <w:t>Pohľadávky Menovitá hodnota</w:t>
      </w: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84B65">
        <w:rPr>
          <w:rFonts w:ascii="Arial" w:hAnsi="Arial" w:cs="Arial"/>
          <w:sz w:val="24"/>
          <w:szCs w:val="24"/>
        </w:rPr>
        <w:t>Zásoby Obstarávacia cena</w:t>
      </w: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84B65">
        <w:rPr>
          <w:rFonts w:ascii="Arial" w:hAnsi="Arial" w:cs="Arial"/>
          <w:sz w:val="24"/>
          <w:szCs w:val="24"/>
        </w:rPr>
        <w:t>Dlhodobý finančný majetok Obstarávacia cena</w:t>
      </w: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84B65">
        <w:rPr>
          <w:rFonts w:ascii="Arial" w:hAnsi="Arial" w:cs="Arial"/>
          <w:sz w:val="24"/>
          <w:szCs w:val="24"/>
        </w:rPr>
        <w:t>Dlhodobý hmotný majetok Obstarávacia cena</w:t>
      </w:r>
    </w:p>
    <w:p w:rsid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84B65">
        <w:rPr>
          <w:rFonts w:ascii="Arial" w:hAnsi="Arial" w:cs="Arial"/>
          <w:sz w:val="24"/>
          <w:szCs w:val="24"/>
        </w:rPr>
        <w:t>Dlhodobý nehmotný majetok Obstarávacia cena</w:t>
      </w: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 xml:space="preserve">Čl. II (2) Spôsob oceňovania jednotlivých položiek majetku a záväzkov </w:t>
      </w:r>
    </w:p>
    <w:p w:rsid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Cs/>
          <w:sz w:val="24"/>
          <w:szCs w:val="24"/>
        </w:rPr>
      </w:pP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Cs/>
          <w:sz w:val="24"/>
          <w:szCs w:val="24"/>
        </w:rPr>
      </w:pPr>
      <w:r>
        <w:rPr>
          <w:rFonts w:ascii="Arial,Bold" w:hAnsi="Arial,Bold" w:cs="Arial,Bold"/>
          <w:bCs/>
          <w:sz w:val="24"/>
          <w:szCs w:val="24"/>
        </w:rPr>
        <w:t xml:space="preserve">Spoločnosť </w:t>
      </w:r>
      <w:r w:rsidRPr="00484B65">
        <w:rPr>
          <w:rFonts w:ascii="Arial,Bold" w:hAnsi="Arial,Bold" w:cs="Arial,Bold"/>
          <w:bCs/>
          <w:sz w:val="24"/>
          <w:szCs w:val="24"/>
        </w:rPr>
        <w:t>účtova</w:t>
      </w:r>
      <w:r>
        <w:rPr>
          <w:rFonts w:ascii="Arial,Bold" w:hAnsi="Arial,Bold" w:cs="Arial,Bold"/>
          <w:bCs/>
          <w:sz w:val="24"/>
          <w:szCs w:val="24"/>
        </w:rPr>
        <w:t>la</w:t>
      </w:r>
      <w:r w:rsidRPr="00484B65">
        <w:rPr>
          <w:rFonts w:ascii="Arial,Bold" w:hAnsi="Arial,Bold" w:cs="Arial,Bold"/>
          <w:bCs/>
          <w:sz w:val="24"/>
          <w:szCs w:val="24"/>
        </w:rPr>
        <w:t xml:space="preserve"> </w:t>
      </w:r>
      <w:r>
        <w:rPr>
          <w:rFonts w:ascii="Arial,Bold" w:hAnsi="Arial,Bold" w:cs="Arial,Bold"/>
          <w:bCs/>
          <w:sz w:val="24"/>
          <w:szCs w:val="24"/>
        </w:rPr>
        <w:t>o</w:t>
      </w:r>
      <w:r w:rsidRPr="00484B65">
        <w:rPr>
          <w:rFonts w:ascii="Arial,Bold" w:hAnsi="Arial,Bold" w:cs="Arial,Bold"/>
          <w:bCs/>
          <w:sz w:val="24"/>
          <w:szCs w:val="24"/>
        </w:rPr>
        <w:t> úbyt</w:t>
      </w:r>
      <w:r>
        <w:rPr>
          <w:rFonts w:ascii="Arial,Bold" w:hAnsi="Arial,Bold" w:cs="Arial,Bold"/>
          <w:bCs/>
          <w:sz w:val="24"/>
          <w:szCs w:val="24"/>
        </w:rPr>
        <w:t>ku</w:t>
      </w:r>
      <w:r w:rsidRPr="00484B65">
        <w:rPr>
          <w:rFonts w:ascii="Arial,Bold" w:hAnsi="Arial,Bold" w:cs="Arial,Bold"/>
          <w:bCs/>
          <w:sz w:val="24"/>
          <w:szCs w:val="24"/>
        </w:rPr>
        <w:t xml:space="preserve"> zásob</w:t>
      </w:r>
      <w:r>
        <w:rPr>
          <w:rFonts w:ascii="Arial,Bold" w:hAnsi="Arial,Bold" w:cs="Arial,Bold"/>
          <w:bCs/>
          <w:sz w:val="24"/>
          <w:szCs w:val="24"/>
        </w:rPr>
        <w:t>:</w:t>
      </w: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84B65">
        <w:rPr>
          <w:rFonts w:ascii="Arial" w:hAnsi="Arial" w:cs="Arial"/>
          <w:sz w:val="24"/>
          <w:szCs w:val="24"/>
        </w:rPr>
        <w:t>váženým aritmetickým priemerom z obstarávacích cien alebo vlastných nákladov</w:t>
      </w: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84B65">
        <w:rPr>
          <w:rFonts w:ascii="Arial" w:hAnsi="Arial" w:cs="Arial"/>
          <w:sz w:val="24"/>
          <w:szCs w:val="24"/>
        </w:rPr>
        <w:t>Úbytok zásob rovnakého druhu účtovná jednotka oceňovala:</w:t>
      </w: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84B65">
        <w:rPr>
          <w:rFonts w:ascii="Arial" w:hAnsi="Arial" w:cs="Arial"/>
          <w:sz w:val="24"/>
          <w:szCs w:val="24"/>
        </w:rPr>
        <w:t>spôsobom B účtovania zásob</w:t>
      </w: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84B65">
        <w:rPr>
          <w:rFonts w:ascii="Arial" w:hAnsi="Arial" w:cs="Arial"/>
          <w:sz w:val="24"/>
          <w:szCs w:val="24"/>
        </w:rPr>
        <w:t>spôsobom A účtovania zásob</w:t>
      </w: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84B65">
        <w:rPr>
          <w:rFonts w:ascii="Arial" w:hAnsi="Arial" w:cs="Arial"/>
          <w:sz w:val="24"/>
          <w:szCs w:val="24"/>
        </w:rPr>
        <w:t>Pri účtovaní zásob postupovala účtovná jednotka podľa § 43 postupov účtovania v PÚ:</w:t>
      </w:r>
    </w:p>
    <w:p w:rsid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Čl. II (3) Spôsob zostavenia odpisového plánu pre jednotlivé druhy dlhodobého majetku</w:t>
      </w:r>
    </w:p>
    <w:p w:rsid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84B65">
        <w:rPr>
          <w:rFonts w:ascii="Arial" w:hAnsi="Arial" w:cs="Arial"/>
          <w:sz w:val="24"/>
          <w:szCs w:val="24"/>
        </w:rPr>
        <w:t>Dlhodobý nehmotný majetok:</w:t>
      </w: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84B65">
        <w:rPr>
          <w:rFonts w:ascii="Arial" w:hAnsi="Arial" w:cs="Arial"/>
          <w:sz w:val="24"/>
          <w:szCs w:val="24"/>
        </w:rPr>
        <w:t>Dlhodobý hmotný majetok:</w:t>
      </w:r>
    </w:p>
    <w:p w:rsid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84B65">
        <w:rPr>
          <w:rFonts w:ascii="Arial" w:hAnsi="Arial" w:cs="Arial"/>
          <w:sz w:val="24"/>
          <w:szCs w:val="24"/>
        </w:rPr>
        <w:t>Dlhodobý hmotný majetok:</w:t>
      </w: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84B65">
        <w:rPr>
          <w:rFonts w:ascii="Arial" w:hAnsi="Arial" w:cs="Arial"/>
          <w:sz w:val="24"/>
          <w:szCs w:val="24"/>
        </w:rPr>
        <w:t>odpisový plán účtovných odpisov vychádzal z požiadavky zákona č. 431/2002 o účtovníctve. Majetok sa odpisoval počas</w:t>
      </w:r>
      <w:r>
        <w:rPr>
          <w:rFonts w:ascii="Arial" w:hAnsi="Arial" w:cs="Arial"/>
          <w:sz w:val="24"/>
          <w:szCs w:val="24"/>
        </w:rPr>
        <w:t xml:space="preserve"> </w:t>
      </w:r>
      <w:r w:rsidRPr="00484B65">
        <w:rPr>
          <w:rFonts w:ascii="Arial" w:hAnsi="Arial" w:cs="Arial"/>
          <w:sz w:val="24"/>
          <w:szCs w:val="24"/>
        </w:rPr>
        <w:t>predpokladanej doby používania zodpovedajúcej spotrebe budúcich ekonomických úžitkov z majetku. Odpisové sadzby pre</w:t>
      </w:r>
      <w:r>
        <w:rPr>
          <w:rFonts w:ascii="Arial" w:hAnsi="Arial" w:cs="Arial"/>
          <w:sz w:val="24"/>
          <w:szCs w:val="24"/>
        </w:rPr>
        <w:t xml:space="preserve"> </w:t>
      </w:r>
      <w:r w:rsidRPr="00484B65">
        <w:rPr>
          <w:rFonts w:ascii="Arial" w:hAnsi="Arial" w:cs="Arial"/>
          <w:sz w:val="24"/>
          <w:szCs w:val="24"/>
        </w:rPr>
        <w:t>účtovné a daňové odpisy dlhodobého nehmotného majetku sa rovnajú.</w:t>
      </w:r>
    </w:p>
    <w:p w:rsid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84B65">
        <w:rPr>
          <w:rFonts w:ascii="Arial" w:hAnsi="Arial" w:cs="Arial"/>
          <w:sz w:val="24"/>
          <w:szCs w:val="24"/>
        </w:rPr>
        <w:t>odpisový plán účtovných odpisov sa zostavil interným predpisom, v ktorom sa</w:t>
      </w:r>
      <w:r>
        <w:rPr>
          <w:rFonts w:ascii="Arial" w:hAnsi="Arial" w:cs="Arial"/>
          <w:sz w:val="24"/>
          <w:szCs w:val="24"/>
        </w:rPr>
        <w:t xml:space="preserve"> </w:t>
      </w:r>
      <w:r w:rsidRPr="00484B65">
        <w:rPr>
          <w:rFonts w:ascii="Arial" w:hAnsi="Arial" w:cs="Arial"/>
          <w:sz w:val="24"/>
          <w:szCs w:val="24"/>
        </w:rPr>
        <w:t>vychádzalo z predpokladaného opotrebenia</w:t>
      </w:r>
      <w:r>
        <w:rPr>
          <w:rFonts w:ascii="Arial" w:hAnsi="Arial" w:cs="Arial"/>
          <w:sz w:val="24"/>
          <w:szCs w:val="24"/>
        </w:rPr>
        <w:t xml:space="preserve"> </w:t>
      </w:r>
      <w:r w:rsidRPr="00484B65">
        <w:rPr>
          <w:rFonts w:ascii="Arial" w:hAnsi="Arial" w:cs="Arial"/>
          <w:sz w:val="24"/>
          <w:szCs w:val="24"/>
        </w:rPr>
        <w:t>zaraďovaného majetku zodpovedajúceho bežným podmienkam jeho používania. Účtovné a daňové odpisy sa nerovnajú.</w:t>
      </w:r>
      <w:r>
        <w:rPr>
          <w:rFonts w:ascii="Arial" w:hAnsi="Arial" w:cs="Arial"/>
          <w:sz w:val="24"/>
          <w:szCs w:val="24"/>
        </w:rPr>
        <w:t xml:space="preserve"> O</w:t>
      </w:r>
      <w:r w:rsidRPr="00484B65">
        <w:rPr>
          <w:rFonts w:ascii="Arial" w:hAnsi="Arial" w:cs="Arial"/>
          <w:sz w:val="24"/>
          <w:szCs w:val="24"/>
        </w:rPr>
        <w:t>dpisový plán účtovných odpisov sa zostavil interným predpisom, v ktorom sa vychádzalo z metód používaných pri vyčíslovaní</w:t>
      </w:r>
      <w:r>
        <w:rPr>
          <w:rFonts w:ascii="Arial" w:hAnsi="Arial" w:cs="Arial"/>
          <w:sz w:val="24"/>
          <w:szCs w:val="24"/>
        </w:rPr>
        <w:t xml:space="preserve"> </w:t>
      </w:r>
      <w:r w:rsidRPr="00484B65">
        <w:rPr>
          <w:rFonts w:ascii="Arial" w:hAnsi="Arial" w:cs="Arial"/>
          <w:sz w:val="24"/>
          <w:szCs w:val="24"/>
        </w:rPr>
        <w:t>daňových odpisov. Účtovné a daňové odpisy sa rovnajú.</w:t>
      </w:r>
      <w:r>
        <w:rPr>
          <w:rFonts w:ascii="Arial" w:hAnsi="Arial" w:cs="Arial"/>
          <w:sz w:val="24"/>
          <w:szCs w:val="24"/>
        </w:rPr>
        <w:t xml:space="preserve"> </w:t>
      </w:r>
      <w:r w:rsidRPr="00484B65">
        <w:rPr>
          <w:rFonts w:ascii="Arial" w:hAnsi="Arial" w:cs="Arial"/>
          <w:sz w:val="24"/>
          <w:szCs w:val="24"/>
        </w:rPr>
        <w:t>Odpisový plán bol ovplyvnený týmito skutočnosťami:</w:t>
      </w:r>
      <w:r>
        <w:rPr>
          <w:rFonts w:ascii="Arial" w:hAnsi="Arial" w:cs="Arial"/>
          <w:sz w:val="24"/>
          <w:szCs w:val="24"/>
        </w:rPr>
        <w:t xml:space="preserve"> </w:t>
      </w:r>
      <w:r w:rsidRPr="00484B65">
        <w:rPr>
          <w:rFonts w:ascii="Arial" w:hAnsi="Arial" w:cs="Arial"/>
          <w:sz w:val="24"/>
          <w:szCs w:val="24"/>
        </w:rPr>
        <w:t>Spôsob zostavenia odpisového plánu pre jednotlivé druhy dlhodobého nehmotného a hmotného majetku</w:t>
      </w: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484B65">
        <w:rPr>
          <w:rFonts w:ascii="Arial" w:hAnsi="Arial" w:cs="Arial"/>
          <w:b/>
          <w:bCs/>
          <w:sz w:val="24"/>
          <w:szCs w:val="24"/>
        </w:rPr>
        <w:t>Druh majetku Doba odpisovania Sadzba odpisov Odpisová metóda</w:t>
      </w:r>
    </w:p>
    <w:p w:rsid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Čl. II (4) Zmeny účtovných zásad a zmeny účtovných metód</w:t>
      </w: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84B65">
        <w:rPr>
          <w:rFonts w:ascii="Arial" w:hAnsi="Arial" w:cs="Arial"/>
          <w:sz w:val="24"/>
          <w:szCs w:val="24"/>
        </w:rPr>
        <w:t>Účtovné metódy a zásady boli aplikované v rámci plat. zákona o účtovníctve, s osobitosťami:</w:t>
      </w:r>
      <w:r>
        <w:rPr>
          <w:rFonts w:ascii="Arial" w:hAnsi="Arial" w:cs="Arial"/>
          <w:sz w:val="24"/>
          <w:szCs w:val="24"/>
        </w:rPr>
        <w:t xml:space="preserve"> - žiadne -</w:t>
      </w:r>
    </w:p>
    <w:p w:rsid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84B65">
        <w:rPr>
          <w:rFonts w:ascii="Arial" w:hAnsi="Arial" w:cs="Arial"/>
          <w:sz w:val="24"/>
          <w:szCs w:val="24"/>
        </w:rPr>
        <w:t>Čl. II (4) Zmeny účtovných zásad a zmeny účtovných metód</w:t>
      </w:r>
      <w:r>
        <w:rPr>
          <w:rFonts w:ascii="Arial" w:hAnsi="Arial" w:cs="Arial"/>
          <w:sz w:val="24"/>
          <w:szCs w:val="24"/>
        </w:rPr>
        <w:t>: - žiadne –</w:t>
      </w: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484B65">
        <w:rPr>
          <w:rFonts w:ascii="Arial" w:hAnsi="Arial" w:cs="Arial"/>
          <w:b/>
          <w:bCs/>
          <w:sz w:val="24"/>
          <w:szCs w:val="24"/>
        </w:rPr>
        <w:t xml:space="preserve">Hodnota vplyvu na </w:t>
      </w:r>
      <w:proofErr w:type="spellStart"/>
      <w:r w:rsidRPr="00484B65">
        <w:rPr>
          <w:rFonts w:ascii="Arial" w:hAnsi="Arial" w:cs="Arial"/>
          <w:b/>
          <w:bCs/>
          <w:sz w:val="24"/>
          <w:szCs w:val="24"/>
        </w:rPr>
        <w:t>prísl</w:t>
      </w:r>
      <w:proofErr w:type="spellEnd"/>
      <w:r w:rsidRPr="00484B65">
        <w:rPr>
          <w:rFonts w:ascii="Arial" w:hAnsi="Arial" w:cs="Arial"/>
          <w:b/>
          <w:bCs/>
          <w:sz w:val="24"/>
          <w:szCs w:val="24"/>
        </w:rPr>
        <w:t>.</w:t>
      </w: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484B65">
        <w:rPr>
          <w:rFonts w:ascii="Arial" w:hAnsi="Arial" w:cs="Arial"/>
          <w:b/>
          <w:bCs/>
          <w:sz w:val="24"/>
          <w:szCs w:val="24"/>
        </w:rPr>
        <w:t>Druh zmeny zásady alebo metódy Dôvod zmeny zložku bilancie</w:t>
      </w:r>
    </w:p>
    <w:p w:rsid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Čl. II (5) Informácie o dotáciách a ich ocenenie v účtovníctve</w:t>
      </w: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84B65">
        <w:rPr>
          <w:rFonts w:ascii="Arial" w:hAnsi="Arial" w:cs="Arial"/>
          <w:sz w:val="24"/>
          <w:szCs w:val="24"/>
        </w:rPr>
        <w:t>Čl. II (5) Informácie o dotáciách</w:t>
      </w:r>
    </w:p>
    <w:p w:rsid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24"/>
          <w:szCs w:val="24"/>
        </w:rPr>
      </w:pPr>
      <w:r w:rsidRPr="00484B65">
        <w:rPr>
          <w:rFonts w:ascii="Arial" w:hAnsi="Arial" w:cs="Arial"/>
          <w:bCs/>
          <w:sz w:val="24"/>
          <w:szCs w:val="24"/>
        </w:rPr>
        <w:t>Dotácia Ocenenie Výška dotácie</w:t>
      </w: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24"/>
          <w:szCs w:val="24"/>
        </w:rPr>
      </w:pPr>
    </w:p>
    <w:p w:rsid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Čl. II (6) Informácie o oprave významných chýb minulých účtovných období účtovaných v bežnom účtovnom období</w:t>
      </w: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84B65">
        <w:rPr>
          <w:rFonts w:ascii="Arial" w:hAnsi="Arial" w:cs="Arial"/>
          <w:sz w:val="24"/>
          <w:szCs w:val="24"/>
        </w:rPr>
        <w:t>Čl. II (6) Oprava významných chýb minulých účtovných období účtovaných v bežnom účtovnom období</w:t>
      </w:r>
      <w:r>
        <w:rPr>
          <w:rFonts w:ascii="Arial" w:hAnsi="Arial" w:cs="Arial"/>
          <w:sz w:val="24"/>
          <w:szCs w:val="24"/>
        </w:rPr>
        <w:t>: - žiadne -</w:t>
      </w: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24"/>
          <w:szCs w:val="24"/>
        </w:rPr>
      </w:pPr>
      <w:r w:rsidRPr="00484B65">
        <w:rPr>
          <w:rFonts w:ascii="Arial" w:hAnsi="Arial" w:cs="Arial"/>
          <w:bCs/>
          <w:sz w:val="24"/>
          <w:szCs w:val="24"/>
        </w:rPr>
        <w:t>Vplyv na neuhradenú stratu minulých rokov: 0,-</w:t>
      </w: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24"/>
          <w:szCs w:val="24"/>
        </w:rPr>
      </w:pPr>
      <w:r w:rsidRPr="00484B65">
        <w:rPr>
          <w:rFonts w:ascii="Arial" w:hAnsi="Arial" w:cs="Arial"/>
          <w:bCs/>
          <w:sz w:val="24"/>
          <w:szCs w:val="24"/>
        </w:rPr>
        <w:t>Vplyv na nerozdelený zisk: 0,-</w:t>
      </w: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24"/>
          <w:szCs w:val="24"/>
        </w:rPr>
      </w:pPr>
      <w:r w:rsidRPr="00484B65">
        <w:rPr>
          <w:rFonts w:ascii="Arial" w:hAnsi="Arial" w:cs="Arial"/>
          <w:bCs/>
          <w:sz w:val="24"/>
          <w:szCs w:val="24"/>
        </w:rPr>
        <w:t>Popis významnej chyby minulých rokov</w:t>
      </w:r>
    </w:p>
    <w:p w:rsid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lastRenderedPageBreak/>
        <w:t>Čl. II (6) Informácie o oprave nevýznamných chýb minulých účtovných období účtovaných v bežnom účtovnom období</w:t>
      </w: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84B65">
        <w:rPr>
          <w:rFonts w:ascii="Arial" w:hAnsi="Arial" w:cs="Arial"/>
          <w:sz w:val="24"/>
          <w:szCs w:val="24"/>
        </w:rPr>
        <w:t>Čl. II (6) Oprava nevýznamných chýb minulých účtovných období účtovaných v bežnom účtovnom období</w:t>
      </w:r>
      <w:r>
        <w:rPr>
          <w:rFonts w:ascii="Arial" w:hAnsi="Arial" w:cs="Arial"/>
          <w:sz w:val="24"/>
          <w:szCs w:val="24"/>
        </w:rPr>
        <w:t>: žiadna</w:t>
      </w: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24"/>
          <w:szCs w:val="24"/>
        </w:rPr>
      </w:pPr>
      <w:r w:rsidRPr="00484B65">
        <w:rPr>
          <w:rFonts w:ascii="Arial" w:hAnsi="Arial" w:cs="Arial"/>
          <w:bCs/>
          <w:sz w:val="24"/>
          <w:szCs w:val="24"/>
        </w:rPr>
        <w:t>Vplyv na výsledok hospodárenia v</w:t>
      </w:r>
    </w:p>
    <w:p w:rsid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24"/>
          <w:szCs w:val="24"/>
        </w:rPr>
      </w:pPr>
      <w:r w:rsidRPr="00484B65">
        <w:rPr>
          <w:rFonts w:ascii="Arial" w:hAnsi="Arial" w:cs="Arial"/>
          <w:bCs/>
          <w:sz w:val="24"/>
          <w:szCs w:val="24"/>
        </w:rPr>
        <w:t>Popis nevýznamnej chyby BO</w:t>
      </w: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24"/>
          <w:szCs w:val="24"/>
        </w:rPr>
      </w:pPr>
    </w:p>
    <w:p w:rsid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Čl. III Informácie, ktoré vysvetľujú a dopĺňajú súvahu a výkaz ziskov a strát</w:t>
      </w:r>
    </w:p>
    <w:p w:rsid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Čl. III (1) Náklady/výnosy, ktoré majú výnimočný rozsah alebo výskyt</w:t>
      </w: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84B65">
        <w:rPr>
          <w:rFonts w:ascii="Arial" w:hAnsi="Arial" w:cs="Arial"/>
          <w:sz w:val="24"/>
          <w:szCs w:val="24"/>
        </w:rPr>
        <w:t>Čl. III (1) Náklady/výnosy, ktoré majú výnimočný rozsah alebo výskyt</w:t>
      </w: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484B65">
        <w:rPr>
          <w:rFonts w:ascii="Arial" w:hAnsi="Arial" w:cs="Arial"/>
          <w:b/>
          <w:bCs/>
          <w:sz w:val="24"/>
          <w:szCs w:val="24"/>
        </w:rPr>
        <w:t>Náklady / Výnosy Hodnota Dôvod vzniku</w:t>
      </w: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84B65">
        <w:rPr>
          <w:rFonts w:ascii="Arial" w:hAnsi="Arial" w:cs="Arial"/>
          <w:sz w:val="24"/>
          <w:szCs w:val="24"/>
        </w:rPr>
        <w:t>Škody z dôvodu živelných pohrôm</w:t>
      </w: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84B65">
        <w:rPr>
          <w:rFonts w:ascii="Arial" w:hAnsi="Arial" w:cs="Arial"/>
          <w:sz w:val="24"/>
          <w:szCs w:val="24"/>
        </w:rPr>
        <w:t>Náklady z predaja časti podniku</w:t>
      </w: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84B65">
        <w:rPr>
          <w:rFonts w:ascii="Arial" w:hAnsi="Arial" w:cs="Arial"/>
          <w:sz w:val="24"/>
          <w:szCs w:val="24"/>
        </w:rPr>
        <w:t>Náklady z predaja podniku</w:t>
      </w: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84B65">
        <w:rPr>
          <w:rFonts w:ascii="Arial" w:hAnsi="Arial" w:cs="Arial"/>
          <w:sz w:val="24"/>
          <w:szCs w:val="24"/>
        </w:rPr>
        <w:t>Výnosy z predaja časti podniku</w:t>
      </w: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84B65">
        <w:rPr>
          <w:rFonts w:ascii="Arial" w:hAnsi="Arial" w:cs="Arial"/>
          <w:sz w:val="24"/>
          <w:szCs w:val="24"/>
        </w:rPr>
        <w:t>Výnosy z predaja podniku</w:t>
      </w:r>
    </w:p>
    <w:p w:rsid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</w:p>
    <w:p w:rsid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Čl. III (2) a) Celková suma záväzkov so zostatkovou dobou splatnosti dlhšou ako 5 rokov</w:t>
      </w: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84B65">
        <w:rPr>
          <w:rFonts w:ascii="Arial" w:hAnsi="Arial" w:cs="Arial"/>
          <w:sz w:val="24"/>
          <w:szCs w:val="24"/>
        </w:rPr>
        <w:t>ČL. III (2) a) Celková suma záväzkov so zostatkovou dobou splatnosti dlhšou ako 5 rokov</w:t>
      </w: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484B65">
        <w:rPr>
          <w:rFonts w:ascii="Arial" w:hAnsi="Arial" w:cs="Arial"/>
          <w:b/>
          <w:bCs/>
          <w:sz w:val="24"/>
          <w:szCs w:val="24"/>
        </w:rPr>
        <w:t>Názov položky Celková hodnota</w:t>
      </w: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84B65">
        <w:rPr>
          <w:rFonts w:ascii="Arial" w:hAnsi="Arial" w:cs="Arial"/>
          <w:sz w:val="24"/>
          <w:szCs w:val="24"/>
        </w:rPr>
        <w:t>Záväzky so zostatkovou dobou splatnosti nad päť rokov</w:t>
      </w:r>
    </w:p>
    <w:p w:rsid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Čl. III (4) b) Informácie o pôžičkách poskytnutých členom orgánov spoločnosti k poslednému dňu účtovného obdobia</w:t>
      </w:r>
    </w:p>
    <w:p w:rsidR="00484B65" w:rsidRPr="0010204D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24"/>
          <w:szCs w:val="24"/>
        </w:rPr>
      </w:pPr>
      <w:r w:rsidRPr="0010204D">
        <w:rPr>
          <w:rFonts w:ascii="Arial" w:hAnsi="Arial" w:cs="Arial"/>
          <w:bCs/>
          <w:sz w:val="24"/>
          <w:szCs w:val="24"/>
        </w:rPr>
        <w:t>Hodnota pôžičky členov</w:t>
      </w:r>
      <w:r w:rsidR="0010204D" w:rsidRPr="0010204D">
        <w:rPr>
          <w:rFonts w:ascii="Arial" w:hAnsi="Arial" w:cs="Arial"/>
          <w:bCs/>
          <w:sz w:val="24"/>
          <w:szCs w:val="24"/>
        </w:rPr>
        <w:t xml:space="preserve"> </w:t>
      </w:r>
      <w:r w:rsidRPr="0010204D">
        <w:rPr>
          <w:rFonts w:ascii="Arial" w:hAnsi="Arial" w:cs="Arial"/>
          <w:bCs/>
          <w:sz w:val="24"/>
          <w:szCs w:val="24"/>
        </w:rPr>
        <w:t>iných orgánov</w:t>
      </w:r>
    </w:p>
    <w:p w:rsidR="00484B65" w:rsidRPr="0010204D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24"/>
          <w:szCs w:val="24"/>
        </w:rPr>
      </w:pPr>
      <w:r w:rsidRPr="0010204D">
        <w:rPr>
          <w:rFonts w:ascii="Arial" w:hAnsi="Arial" w:cs="Arial"/>
          <w:bCs/>
          <w:sz w:val="24"/>
          <w:szCs w:val="24"/>
        </w:rPr>
        <w:t>Hodnota pôžičky členov</w:t>
      </w:r>
      <w:r w:rsidR="0010204D" w:rsidRPr="0010204D">
        <w:rPr>
          <w:rFonts w:ascii="Arial" w:hAnsi="Arial" w:cs="Arial"/>
          <w:bCs/>
          <w:sz w:val="24"/>
          <w:szCs w:val="24"/>
        </w:rPr>
        <w:t xml:space="preserve"> </w:t>
      </w:r>
      <w:r w:rsidRPr="0010204D">
        <w:rPr>
          <w:rFonts w:ascii="Arial" w:hAnsi="Arial" w:cs="Arial"/>
          <w:bCs/>
          <w:sz w:val="24"/>
          <w:szCs w:val="24"/>
        </w:rPr>
        <w:t>dozorných orgánov</w:t>
      </w:r>
    </w:p>
    <w:p w:rsidR="00484B65" w:rsidRPr="0010204D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24"/>
          <w:szCs w:val="24"/>
        </w:rPr>
      </w:pPr>
      <w:r w:rsidRPr="0010204D">
        <w:rPr>
          <w:rFonts w:ascii="Arial" w:hAnsi="Arial" w:cs="Arial"/>
          <w:bCs/>
          <w:sz w:val="24"/>
          <w:szCs w:val="24"/>
        </w:rPr>
        <w:t>Hodnota pôžičky členov</w:t>
      </w:r>
    </w:p>
    <w:p w:rsidR="00484B65" w:rsidRPr="0010204D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24"/>
          <w:szCs w:val="24"/>
        </w:rPr>
      </w:pPr>
      <w:r w:rsidRPr="0010204D">
        <w:rPr>
          <w:rFonts w:ascii="Arial" w:hAnsi="Arial" w:cs="Arial"/>
          <w:bCs/>
          <w:sz w:val="24"/>
          <w:szCs w:val="24"/>
        </w:rPr>
        <w:t>Druh pôžičky štatutárnych orgánov</w:t>
      </w: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84B65">
        <w:rPr>
          <w:rFonts w:ascii="Arial" w:hAnsi="Arial" w:cs="Arial"/>
          <w:sz w:val="24"/>
          <w:szCs w:val="24"/>
        </w:rPr>
        <w:t>Celková suma odpísaných pôžičiek</w:t>
      </w: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84B65">
        <w:rPr>
          <w:rFonts w:ascii="Arial" w:hAnsi="Arial" w:cs="Arial"/>
          <w:sz w:val="24"/>
          <w:szCs w:val="24"/>
        </w:rPr>
        <w:t>Celková suma odpustených pôžičiek</w:t>
      </w: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484B65">
        <w:rPr>
          <w:rFonts w:ascii="Arial" w:hAnsi="Arial" w:cs="Arial"/>
          <w:sz w:val="24"/>
          <w:szCs w:val="24"/>
        </w:rPr>
        <w:t>Ceková</w:t>
      </w:r>
      <w:proofErr w:type="spellEnd"/>
      <w:r w:rsidRPr="00484B65">
        <w:rPr>
          <w:rFonts w:ascii="Arial" w:hAnsi="Arial" w:cs="Arial"/>
          <w:sz w:val="24"/>
          <w:szCs w:val="24"/>
        </w:rPr>
        <w:t xml:space="preserve"> suma splatených pôžičiek</w:t>
      </w:r>
    </w:p>
    <w:p w:rsid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84B65">
        <w:rPr>
          <w:rFonts w:ascii="Arial" w:hAnsi="Arial" w:cs="Arial"/>
          <w:sz w:val="24"/>
          <w:szCs w:val="24"/>
        </w:rPr>
        <w:t>Celková suma poskytnutých pôžičiek</w:t>
      </w:r>
    </w:p>
    <w:p w:rsidR="0010204D" w:rsidRPr="00484B65" w:rsidRDefault="0010204D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Čl. III (4) c) Informácie o hlavných podmienkach, na základe ktorých boli členom orgánov</w:t>
      </w:r>
      <w:r w:rsidR="0010204D">
        <w:rPr>
          <w:rFonts w:ascii="Arial,Bold" w:hAnsi="Arial,Bold" w:cs="Arial,Bold"/>
          <w:b/>
          <w:bCs/>
          <w:sz w:val="24"/>
          <w:szCs w:val="24"/>
        </w:rPr>
        <w:t xml:space="preserve"> </w:t>
      </w:r>
      <w:r>
        <w:rPr>
          <w:rFonts w:ascii="Arial,Bold" w:hAnsi="Arial,Bold" w:cs="Arial,Bold"/>
          <w:b/>
          <w:bCs/>
          <w:sz w:val="24"/>
          <w:szCs w:val="24"/>
        </w:rPr>
        <w:t>spoločnosti záruky alebo iné zabezpečenia a pôžičky poskytnuté</w:t>
      </w:r>
      <w:r w:rsidR="0010204D">
        <w:rPr>
          <w:rFonts w:ascii="Arial,Bold" w:hAnsi="Arial,Bold" w:cs="Arial,Bold"/>
          <w:b/>
          <w:bCs/>
          <w:sz w:val="24"/>
          <w:szCs w:val="24"/>
        </w:rPr>
        <w:t>:</w:t>
      </w:r>
    </w:p>
    <w:p w:rsidR="0010204D" w:rsidRDefault="0010204D" w:rsidP="00484B6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</w:p>
    <w:p w:rsid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Čl. III (4) d) Informácie o celkovej sume použitých finančných prostriedkov alebo iného plnenia</w:t>
      </w:r>
      <w:r w:rsidR="0010204D">
        <w:rPr>
          <w:rFonts w:ascii="Arial,Bold" w:hAnsi="Arial,Bold" w:cs="Arial,Bold"/>
          <w:b/>
          <w:bCs/>
          <w:sz w:val="24"/>
          <w:szCs w:val="24"/>
        </w:rPr>
        <w:t xml:space="preserve"> </w:t>
      </w:r>
      <w:r>
        <w:rPr>
          <w:rFonts w:ascii="Arial,Bold" w:hAnsi="Arial,Bold" w:cs="Arial,Bold"/>
          <w:b/>
          <w:bCs/>
          <w:sz w:val="24"/>
          <w:szCs w:val="24"/>
        </w:rPr>
        <w:t>na súkromné účely členmi orgánov spoločnosti, ktoré sa vyúčtovávajú</w:t>
      </w:r>
    </w:p>
    <w:p w:rsidR="0010204D" w:rsidRDefault="0010204D" w:rsidP="00484B6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</w:p>
    <w:p w:rsid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Čl. III (5) a) Informácie o celkovej sume finančných povinností, ktoré sa nevykazujú v súvahe,</w:t>
      </w:r>
      <w:r w:rsidR="0010204D">
        <w:rPr>
          <w:rFonts w:ascii="Arial,Bold" w:hAnsi="Arial,Bold" w:cs="Arial,Bold"/>
          <w:b/>
          <w:bCs/>
          <w:sz w:val="24"/>
          <w:szCs w:val="24"/>
        </w:rPr>
        <w:t xml:space="preserve"> </w:t>
      </w:r>
      <w:r>
        <w:rPr>
          <w:rFonts w:ascii="Arial,Bold" w:hAnsi="Arial,Bold" w:cs="Arial,Bold"/>
          <w:b/>
          <w:bCs/>
          <w:sz w:val="24"/>
          <w:szCs w:val="24"/>
        </w:rPr>
        <w:t>ale sú významné na posúdenie finančnej situácie účtovnej jednotky</w:t>
      </w:r>
    </w:p>
    <w:p w:rsidR="0010204D" w:rsidRDefault="0010204D" w:rsidP="00484B6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</w:p>
    <w:p w:rsid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Čl. III (5) e) Opis významných povinností účtovnej jednotky vyplývajúcich z</w:t>
      </w:r>
      <w:r w:rsidR="0010204D">
        <w:rPr>
          <w:rFonts w:ascii="Arial,Bold" w:hAnsi="Arial,Bold" w:cs="Arial,Bold"/>
          <w:b/>
          <w:bCs/>
          <w:sz w:val="24"/>
          <w:szCs w:val="24"/>
        </w:rPr>
        <w:t> </w:t>
      </w:r>
      <w:r>
        <w:rPr>
          <w:rFonts w:ascii="Arial,Bold" w:hAnsi="Arial,Bold" w:cs="Arial,Bold"/>
          <w:b/>
          <w:bCs/>
          <w:sz w:val="24"/>
          <w:szCs w:val="24"/>
        </w:rPr>
        <w:t>dôchodkových</w:t>
      </w:r>
      <w:r w:rsidR="0010204D">
        <w:rPr>
          <w:rFonts w:ascii="Arial,Bold" w:hAnsi="Arial,Bold" w:cs="Arial,Bold"/>
          <w:b/>
          <w:bCs/>
          <w:sz w:val="24"/>
          <w:szCs w:val="24"/>
        </w:rPr>
        <w:t xml:space="preserve"> </w:t>
      </w:r>
      <w:r>
        <w:rPr>
          <w:rFonts w:ascii="Arial,Bold" w:hAnsi="Arial,Bold" w:cs="Arial,Bold"/>
          <w:b/>
          <w:bCs/>
          <w:sz w:val="24"/>
          <w:szCs w:val="24"/>
        </w:rPr>
        <w:t>programov pre zamestnancov</w:t>
      </w:r>
    </w:p>
    <w:p w:rsidR="0010204D" w:rsidRDefault="0010204D" w:rsidP="00484B6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</w:p>
    <w:p w:rsid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lastRenderedPageBreak/>
        <w:t>Čl. III (6) Informácie o udelení výlučného práva alebo osobitného práva, ktorým sa udelilo právo</w:t>
      </w:r>
      <w:r w:rsidR="0010204D">
        <w:rPr>
          <w:rFonts w:ascii="Arial,Bold" w:hAnsi="Arial,Bold" w:cs="Arial,Bold"/>
          <w:b/>
          <w:bCs/>
          <w:sz w:val="24"/>
          <w:szCs w:val="24"/>
        </w:rPr>
        <w:t xml:space="preserve"> </w:t>
      </w:r>
      <w:r>
        <w:rPr>
          <w:rFonts w:ascii="Arial,Bold" w:hAnsi="Arial,Bold" w:cs="Arial,Bold"/>
          <w:b/>
          <w:bCs/>
          <w:sz w:val="24"/>
          <w:szCs w:val="24"/>
        </w:rPr>
        <w:t>poskytovať služby vo verejnom záujme a iných zároveň vykonávajúcich činnostiach</w:t>
      </w:r>
    </w:p>
    <w:p w:rsidR="0010204D" w:rsidRDefault="0010204D" w:rsidP="00484B6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</w:p>
    <w:p w:rsid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Miesto pre ďalšie záznamy</w:t>
      </w:r>
    </w:p>
    <w:sectPr w:rsidR="00484B65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1530A" w:rsidRDefault="0031530A" w:rsidP="00484B65">
      <w:pPr>
        <w:spacing w:after="0" w:line="240" w:lineRule="auto"/>
      </w:pPr>
      <w:r>
        <w:separator/>
      </w:r>
    </w:p>
  </w:endnote>
  <w:endnote w:type="continuationSeparator" w:id="0">
    <w:p w:rsidR="0031530A" w:rsidRDefault="0031530A" w:rsidP="00484B6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1530A" w:rsidRDefault="0031530A" w:rsidP="00484B65">
      <w:pPr>
        <w:spacing w:after="0" w:line="240" w:lineRule="auto"/>
      </w:pPr>
      <w:r>
        <w:separator/>
      </w:r>
    </w:p>
  </w:footnote>
  <w:footnote w:type="continuationSeparator" w:id="0">
    <w:p w:rsidR="0031530A" w:rsidRDefault="0031530A" w:rsidP="00484B6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84B65" w:rsidRPr="00484B65" w:rsidRDefault="00484B65" w:rsidP="00484B65">
    <w:pPr>
      <w:autoSpaceDE w:val="0"/>
      <w:autoSpaceDN w:val="0"/>
      <w:adjustRightInd w:val="0"/>
      <w:spacing w:after="0" w:line="240" w:lineRule="auto"/>
      <w:rPr>
        <w:rFonts w:ascii="Arial" w:hAnsi="Arial" w:cs="Arial"/>
        <w:sz w:val="20"/>
        <w:szCs w:val="20"/>
      </w:rPr>
    </w:pPr>
    <w:r w:rsidRPr="00484B65">
      <w:rPr>
        <w:rFonts w:ascii="Arial" w:hAnsi="Arial" w:cs="Arial"/>
        <w:sz w:val="20"/>
        <w:szCs w:val="20"/>
      </w:rPr>
      <w:t xml:space="preserve">Poznámky </w:t>
    </w:r>
    <w:proofErr w:type="spellStart"/>
    <w:r w:rsidRPr="00484B65">
      <w:rPr>
        <w:rFonts w:ascii="Arial" w:hAnsi="Arial" w:cs="Arial"/>
        <w:sz w:val="20"/>
        <w:szCs w:val="20"/>
      </w:rPr>
      <w:t>Úč</w:t>
    </w:r>
    <w:proofErr w:type="spellEnd"/>
    <w:r w:rsidRPr="00484B65">
      <w:rPr>
        <w:rFonts w:ascii="Arial" w:hAnsi="Arial" w:cs="Arial"/>
        <w:sz w:val="20"/>
        <w:szCs w:val="20"/>
      </w:rPr>
      <w:t xml:space="preserve"> MÚJ 3-01 </w:t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 w:rsidRPr="00484B65">
      <w:rPr>
        <w:rFonts w:ascii="Arial" w:hAnsi="Arial" w:cs="Arial"/>
        <w:sz w:val="20"/>
        <w:szCs w:val="20"/>
      </w:rPr>
      <w:t xml:space="preserve">IČO 5 0 2 7 7 4 8 1 </w:t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 w:rsidRPr="00484B65">
      <w:rPr>
        <w:rFonts w:ascii="Arial" w:hAnsi="Arial" w:cs="Arial"/>
        <w:sz w:val="20"/>
        <w:szCs w:val="20"/>
      </w:rPr>
      <w:t>DIČ 2 1 2 0 2 4 9 7 9 1</w:t>
    </w:r>
  </w:p>
  <w:p w:rsidR="00484B65" w:rsidRDefault="00484B65">
    <w:pPr>
      <w:pStyle w:val="Hlavika"/>
    </w:pPr>
  </w:p>
  <w:p w:rsidR="00484B65" w:rsidRDefault="00484B6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84B65"/>
    <w:rsid w:val="0010204D"/>
    <w:rsid w:val="0031530A"/>
    <w:rsid w:val="00484B65"/>
    <w:rsid w:val="00610E05"/>
    <w:rsid w:val="009D57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84B6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84B65"/>
  </w:style>
  <w:style w:type="paragraph" w:styleId="Pta">
    <w:name w:val="footer"/>
    <w:basedOn w:val="Normlny"/>
    <w:link w:val="PtaChar"/>
    <w:uiPriority w:val="99"/>
    <w:unhideWhenUsed/>
    <w:rsid w:val="00484B6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84B6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84B6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84B65"/>
  </w:style>
  <w:style w:type="paragraph" w:styleId="Pta">
    <w:name w:val="footer"/>
    <w:basedOn w:val="Normlny"/>
    <w:link w:val="PtaChar"/>
    <w:uiPriority w:val="99"/>
    <w:unhideWhenUsed/>
    <w:rsid w:val="00484B6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84B6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921</Words>
  <Characters>5254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6163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Asistent7</dc:creator>
  <cp:lastModifiedBy>Lucia Nováková</cp:lastModifiedBy>
  <cp:revision>2</cp:revision>
  <dcterms:created xsi:type="dcterms:W3CDTF">2018-05-02T13:28:00Z</dcterms:created>
  <dcterms:modified xsi:type="dcterms:W3CDTF">2018-05-02T13:28:00Z</dcterms:modified>
</cp:coreProperties>
</file>