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lineRule="auto" w:line="240" w:before="0" w:after="12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POZNÁMKY K  ÚČTOVNEJ ZÁVIERKE 201</w:t>
      </w:r>
      <w:bookmarkStart w:id="0" w:name="_GoBack"/>
      <w:bookmarkEnd w:id="0"/>
      <w:r>
        <w:rPr>
          <w:rFonts w:eastAsia="Calibri" w:cs="Calibri" w:ascii="Calibri" w:hAnsi="Calibri"/>
          <w:b/>
          <w:sz w:val="24"/>
          <w:szCs w:val="24"/>
        </w:rPr>
        <w:t>7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pre účtovné jednotky</w:t>
      </w: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 – VŠEOBECNÉ INFORMÁCIE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1) Základné informácie o účtovnej jednotke:</w:t>
      </w:r>
    </w:p>
    <w:p>
      <w:pPr>
        <w:pStyle w:val="Normal"/>
        <w:spacing w:lineRule="auto" w:line="240"/>
        <w:rPr/>
      </w:pPr>
      <w:r>
        <w:rPr/>
      </w:r>
    </w:p>
    <w:tbl>
      <w:tblPr>
        <w:tblStyle w:val="a"/>
        <w:tblW w:w="9714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835"/>
        <w:gridCol w:w="6878"/>
      </w:tblGrid>
      <w:tr>
        <w:trPr>
          <w:trHeight w:val="34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Obchodné meno: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BM-MONT s.r.o.</w:t>
            </w:r>
          </w:p>
        </w:tc>
      </w:tr>
      <w:tr>
        <w:trPr>
          <w:trHeight w:val="3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Sídlo: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Potočná 1439, 022 01  Čadca</w:t>
            </w:r>
          </w:p>
        </w:tc>
      </w:tr>
      <w:tr>
        <w:trPr>
          <w:trHeight w:val="1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Právna forma: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s ručením obmedzeným</w:t>
            </w:r>
          </w:p>
        </w:tc>
      </w:tr>
      <w:tr>
        <w:trPr>
          <w:trHeight w:val="2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Dátum vzniku: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Zápis do obchodného registra: 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19.1.2012</w:t>
            </w:r>
          </w:p>
        </w:tc>
      </w:tr>
      <w:tr>
        <w:trPr>
          <w:trHeight w:val="26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ind w:right="1027" w:hanging="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Hlavný predmet podnikania: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/>
            </w:r>
          </w:p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Arial CE;Helvetica CE;Arial;sans-serif" w:hAnsi="Arial CE;Helvetica CE;Arial;sans-serif"/>
                <w:b/>
                <w:i w:val="false"/>
                <w:caps w:val="false"/>
                <w:smallCaps w:val="false"/>
                <w:color w:val="000000"/>
                <w:spacing w:val="0"/>
                <w:sz w:val="20"/>
                <w:szCs w:val="24"/>
              </w:rPr>
              <w:t>prípravné práce k realizácii stavby </w:t>
            </w:r>
            <w:r>
              <w:rPr>
                <w:rFonts w:eastAsia="Calibri" w:cs="Calibri" w:ascii="Calibri" w:hAnsi="Calibri"/>
                <w:sz w:val="24"/>
                <w:szCs w:val="24"/>
              </w:rPr>
              <w:t xml:space="preserve"> </w:t>
            </w:r>
          </w:p>
        </w:tc>
      </w:tr>
      <w:tr>
        <w:trPr>
          <w:trHeight w:val="5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Subjekt verejného záujmu: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 nie je subjektom verejného záujmu (§ 2/14 ZoU).</w:t>
            </w:r>
          </w:p>
        </w:tc>
      </w:tr>
      <w:tr>
        <w:trPr>
          <w:trHeight w:val="30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Účtovné obdobie: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Kalendárny rok 201</w:t>
            </w:r>
            <w:r>
              <w:rPr>
                <w:rFonts w:eastAsia="Calibri" w:cs="Calibri" w:ascii="Calibri" w:hAnsi="Calibri"/>
                <w:sz w:val="24"/>
                <w:szCs w:val="24"/>
              </w:rPr>
              <w:t>7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UJ bola v účtovnom období roku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– </w:t>
      </w:r>
      <w:r>
        <w:rPr>
          <w:rFonts w:eastAsia="Calibri" w:cs="Calibri" w:ascii="Calibri" w:hAnsi="Calibri"/>
          <w:sz w:val="24"/>
          <w:szCs w:val="24"/>
        </w:rPr>
        <w:t xml:space="preserve">malá </w:t>
      </w:r>
      <w:r>
        <w:rPr>
          <w:rFonts w:eastAsia="Calibri" w:cs="Calibri" w:ascii="Calibri" w:hAnsi="Calibri"/>
          <w:sz w:val="24"/>
          <w:szCs w:val="24"/>
        </w:rPr>
        <w:t xml:space="preserve"> účtovná jednotka, preto zostavuje účtovnú závierku podľa metodiky pre túto veľkostnú skupinu (Opatrenie č.MF/23378/2014-74).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Dátum schválenia účtovnej závierky za bezprostredne predchádzajúce účtovné obdobie príslušným orgánom účtovnej jednotky:</w:t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widowControl w:val="false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3) Právny dôvod na zostavenie účtovnej závierky: Účtovná závierka Spoločnosti k 31.12.2016 je zostavená ako riadna účtovná závierka podľa §17 ods. 6 Zákona č. 431/2002 Z.z. o účtovníctve za účtovné obdobie od 01. januára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do 31. decembra 2016</w:t>
      </w:r>
      <w:r>
        <w:rPr>
          <w:rFonts w:eastAsia="Calibri" w:cs="Calibri" w:ascii="Calibri" w:hAnsi="Calibri"/>
          <w:sz w:val="24"/>
          <w:szCs w:val="24"/>
        </w:rPr>
        <w:t>7</w:t>
      </w:r>
    </w:p>
    <w:p>
      <w:pPr>
        <w:pStyle w:val="Normal"/>
        <w:spacing w:lineRule="auto" w:line="240"/>
        <w:ind w:right="-468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nie je v skupine účtovných jednotiek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6"/>
        <w:gridCol w:w="2523"/>
        <w:gridCol w:w="2368"/>
      </w:tblGrid>
      <w:tr>
        <w:trPr>
          <w:trHeight w:val="520" w:hRule="atLeast"/>
        </w:trPr>
        <w:tc>
          <w:tcPr>
            <w:tcW w:w="4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ind w:right="459" w:hanging="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160" w:hRule="atLeast"/>
        </w:trPr>
        <w:tc>
          <w:tcPr>
            <w:tcW w:w="4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</w:t>
            </w:r>
          </w:p>
        </w:tc>
        <w:tc>
          <w:tcPr>
            <w:tcW w:w="23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11</w:t>
            </w:r>
          </w:p>
        </w:tc>
      </w:tr>
    </w:tbl>
    <w:p>
      <w:pPr>
        <w:pStyle w:val="Normal"/>
        <w:spacing w:lineRule="auto" w:line="240"/>
        <w:ind w:left="928" w:right="-468" w:hanging="0"/>
        <w:jc w:val="both"/>
        <w:rPr/>
      </w:pPr>
      <w:r>
        <w:rPr/>
      </w:r>
    </w:p>
    <w:p>
      <w:pPr>
        <w:pStyle w:val="Normal"/>
        <w:spacing w:lineRule="auto" w:line="240"/>
        <w:ind w:right="-468" w:hanging="0"/>
        <w:jc w:val="both"/>
        <w:rPr/>
      </w:pPr>
      <w:r>
        <w:rPr/>
      </w:r>
    </w:p>
    <w:p>
      <w:pPr>
        <w:pStyle w:val="Normal"/>
        <w:spacing w:lineRule="auto" w:line="240"/>
        <w:ind w:right="-468" w:hanging="0"/>
        <w:jc w:val="both"/>
        <w:rPr/>
      </w:pPr>
      <w:r>
        <w:rPr/>
      </w:r>
    </w:p>
    <w:p>
      <w:pPr>
        <w:pStyle w:val="Normal"/>
        <w:spacing w:lineRule="auto" w:line="240"/>
        <w:ind w:right="-468" w:hanging="0"/>
        <w:jc w:val="both"/>
        <w:rPr/>
      </w:pPr>
      <w:r>
        <w:rPr/>
      </w:r>
    </w:p>
    <w:p>
      <w:pPr>
        <w:pStyle w:val="Normal"/>
        <w:spacing w:lineRule="auto" w:line="240"/>
        <w:ind w:right="-468" w:hanging="0"/>
        <w:jc w:val="both"/>
        <w:rPr/>
      </w:pPr>
      <w:r>
        <w:rPr/>
      </w:r>
    </w:p>
    <w:p>
      <w:pPr>
        <w:pStyle w:val="Normal"/>
        <w:spacing w:lineRule="auto" w:line="240"/>
        <w:ind w:right="-468" w:hanging="0"/>
        <w:jc w:val="both"/>
        <w:rPr/>
      </w:pPr>
      <w:r>
        <w:rPr/>
      </w:r>
    </w:p>
    <w:p>
      <w:pPr>
        <w:pStyle w:val="Normal"/>
        <w:spacing w:lineRule="auto" w:line="240"/>
        <w:ind w:right="-468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 – INFORMÁCIE O ORGÁNOCH SPOLOČNOSTI</w:t>
      </w:r>
    </w:p>
    <w:p>
      <w:pPr>
        <w:pStyle w:val="Normal"/>
        <w:spacing w:lineRule="auto" w:line="240"/>
        <w:ind w:right="-468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b/>
          <w:sz w:val="24"/>
          <w:szCs w:val="24"/>
        </w:rPr>
        <w:t>Informácie o orgánoch účtovnej jednotky</w:t>
      </w:r>
      <w:r>
        <w:rPr>
          <w:rFonts w:eastAsia="Calibri" w:cs="Calibri" w:ascii="Calibri" w:hAnsi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969"/>
        <w:gridCol w:w="2488"/>
        <w:gridCol w:w="2360"/>
      </w:tblGrid>
      <w:tr>
        <w:trPr>
          <w:trHeight w:val="8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 </w:t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ind w:left="720" w:hanging="0"/>
              <w:rPr/>
            </w:pPr>
            <w:r>
              <w:rPr/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</w:tbl>
    <w:p>
      <w:pPr>
        <w:pStyle w:val="Normal"/>
        <w:spacing w:lineRule="auto" w:line="240"/>
        <w:ind w:right="-468" w:hanging="0"/>
        <w:jc w:val="both"/>
        <w:rPr/>
      </w:pPr>
      <w:r>
        <w:rPr/>
      </w:r>
    </w:p>
    <w:p>
      <w:pPr>
        <w:pStyle w:val="Normal"/>
        <w:spacing w:lineRule="auto" w:line="240"/>
        <w:ind w:right="-468" w:hanging="0"/>
        <w:jc w:val="both"/>
        <w:rPr/>
      </w:pPr>
      <w:r>
        <w:rPr/>
      </w:r>
    </w:p>
    <w:p>
      <w:pPr>
        <w:pStyle w:val="Normal"/>
        <w:spacing w:lineRule="auto" w:line="240"/>
        <w:ind w:right="-468" w:hanging="0"/>
        <w:jc w:val="both"/>
        <w:rPr/>
      </w:pPr>
      <w:r>
        <w:rPr/>
      </w:r>
    </w:p>
    <w:p>
      <w:pPr>
        <w:pStyle w:val="Normal"/>
        <w:spacing w:lineRule="auto" w:line="240"/>
        <w:ind w:right="-141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III – INFORMÁCIE O PRIJATÝCH POSTUPOCH</w:t>
      </w:r>
    </w:p>
    <w:p>
      <w:pPr>
        <w:pStyle w:val="Normal"/>
        <w:spacing w:lineRule="auto" w:line="240"/>
        <w:ind w:right="-141" w:hanging="0"/>
        <w:jc w:val="both"/>
        <w:rPr/>
      </w:pPr>
      <w:r>
        <w:rPr/>
      </w:r>
    </w:p>
    <w:p>
      <w:pPr>
        <w:pStyle w:val="Normal"/>
        <w:spacing w:lineRule="auto" w:line="240"/>
        <w:ind w:right="-141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>
      <w:pPr>
        <w:pStyle w:val="Normal"/>
        <w:spacing w:lineRule="auto" w:line="240"/>
        <w:ind w:right="-141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ind w:right="-141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>
      <w:pPr>
        <w:pStyle w:val="Normal"/>
        <w:spacing w:lineRule="auto" w:line="240"/>
        <w:ind w:right="-141" w:hanging="0"/>
        <w:jc w:val="both"/>
        <w:rPr/>
      </w:pPr>
      <w:r>
        <w:rPr/>
      </w:r>
    </w:p>
    <w:p>
      <w:pPr>
        <w:pStyle w:val="Normal"/>
        <w:spacing w:lineRule="auto" w:line="240"/>
        <w:ind w:right="-141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neeviduje žiadne transakcie, ktoré sa neuvádzajú v súvahe.</w:t>
      </w:r>
    </w:p>
    <w:p>
      <w:pPr>
        <w:pStyle w:val="Normal"/>
        <w:spacing w:lineRule="auto" w:line="240"/>
        <w:ind w:right="-141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-141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Spôsob a určenie oceňovania majetku a záväzkov (vrátane rozhodujúcich odhadov):</w:t>
      </w:r>
    </w:p>
    <w:p>
      <w:pPr>
        <w:pStyle w:val="Normal"/>
        <w:spacing w:lineRule="auto" w:line="240"/>
        <w:ind w:right="-141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a) Spôsob oceňovania majetku a záväzkov (§ 25 ZoU):</w:t>
      </w:r>
    </w:p>
    <w:p>
      <w:pPr>
        <w:pStyle w:val="Normal"/>
        <w:widowControl w:val="false"/>
        <w:tabs>
          <w:tab w:val="left" w:pos="808" w:leader="none"/>
        </w:tabs>
        <w:spacing w:lineRule="auto" w:line="240"/>
        <w:jc w:val="both"/>
        <w:rPr/>
      </w:pPr>
      <w:r>
        <w:rPr/>
      </w:r>
    </w:p>
    <w:tbl>
      <w:tblPr>
        <w:tblStyle w:val="a2"/>
        <w:tblW w:w="9606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300"/>
        <w:gridCol w:w="3600"/>
      </w:tblGrid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b) Trvalé zníženie hodnoty majetku nebolo účtované.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c) Záväzky účtovná jednotka ocenila menovitou hodnotou záväzkov.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d) Účtovná jednotka nepoužila dobrovoľné oceňovanie obchodných podielov metódou vlastného imania (§ 27/9 ZoU).</w:t>
      </w:r>
    </w:p>
    <w:p>
      <w:pPr>
        <w:pStyle w:val="Normal"/>
        <w:keepNext w:val="true"/>
        <w:tabs>
          <w:tab w:val="left" w:pos="1005" w:leader="none"/>
        </w:tabs>
        <w:spacing w:lineRule="auto" w:line="240" w:before="0" w:after="120"/>
        <w:jc w:val="both"/>
        <w:rPr/>
      </w:pPr>
      <w:r>
        <w:rPr/>
      </w:r>
    </w:p>
    <w:p>
      <w:pPr>
        <w:pStyle w:val="Normal"/>
        <w:keepNext w:val="true"/>
        <w:tabs>
          <w:tab w:val="left" w:pos="1005" w:leader="none"/>
        </w:tabs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4"/>
        <w:gridCol w:w="2107"/>
        <w:gridCol w:w="2267"/>
      </w:tblGrid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Dlhodobý hmotný a nehmotný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číslo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doba odpisovania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 xml:space="preserve">odpisová sadzba 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Software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Stavby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Počítače s príslušenstvom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Dopravné prostriedky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Ostatné stroje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 w:before="0" w:after="120"/>
        <w:rPr/>
      </w:pPr>
      <w:r>
        <w:rPr>
          <w:rFonts w:eastAsia="Calibri" w:cs="Calibri" w:ascii="Calibri" w:hAnsi="Calibri"/>
          <w:sz w:val="24"/>
          <w:szCs w:val="24"/>
        </w:rPr>
        <w:t xml:space="preserve">Komentár k odpisovému plánu: 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nepoužila jednorazový odpis</w:t>
      </w:r>
      <w:r>
        <w:rPr>
          <w:rFonts w:eastAsia="Calibri" w:cs="Calibri" w:ascii="Calibri" w:hAnsi="Calibri"/>
          <w:b/>
          <w:sz w:val="24"/>
          <w:szCs w:val="24"/>
        </w:rPr>
        <w:t xml:space="preserve"> </w:t>
      </w:r>
      <w:r>
        <w:rPr>
          <w:rFonts w:eastAsia="Calibri" w:cs="Calibri" w:ascii="Calibri" w:hAnsi="Calibri"/>
          <w:sz w:val="24"/>
          <w:szCs w:val="24"/>
        </w:rPr>
        <w:t>dlhodobého majetku z dôvodu jednorazového trvalého zníženia hodnoty majetku (§ 21/5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360" w:hanging="360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g) ÚJ neboli v zdaňovacom období roku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poskytnuté žiadne dotácie</w:t>
      </w:r>
    </w:p>
    <w:p>
      <w:pPr>
        <w:pStyle w:val="Normal"/>
        <w:keepNext w:val="true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5) ÚJ v zdaňovacom období roku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nevykonala žiadne opravy významných chýb.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-468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IV – INFORMÁCIE, KTORÉ VYSVETĽUJÚ A DOPĹŇAJÚ SÚVAHU A VÝKAZ ZISKOV A STRÁT</w:t>
      </w:r>
    </w:p>
    <w:p>
      <w:pPr>
        <w:pStyle w:val="Normal"/>
        <w:spacing w:lineRule="auto" w:line="240"/>
        <w:ind w:right="-468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-471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neeviduje žiadne položky nehmotného majetku.</w:t>
      </w:r>
    </w:p>
    <w:p>
      <w:pPr>
        <w:pStyle w:val="Normal"/>
        <w:spacing w:lineRule="auto" w:line="240" w:before="0" w:after="120"/>
        <w:ind w:right="-471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-471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položky významných derivátov, majetku a záväzkoch zabezpečených derivátmi.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-141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3a) ÚJ neeviduje žiadne položky zabezpečených záväzkov so zostatkovou dobou splatnosti dlhšou </w:t>
        <w:tab/>
        <w:tab/>
        <w:tab/>
        <w:tab/>
        <w:tab/>
        <w:t xml:space="preserve"> ako 5 rokov:  </w:t>
      </w:r>
    </w:p>
    <w:p>
      <w:pPr>
        <w:pStyle w:val="Normal"/>
        <w:spacing w:lineRule="auto" w:line="240" w:before="0" w:after="120"/>
        <w:ind w:right="-141" w:hanging="0"/>
        <w:jc w:val="both"/>
        <w:rPr/>
      </w:pPr>
      <w:r>
        <w:rPr/>
      </w:r>
    </w:p>
    <w:tbl>
      <w:tblPr>
        <w:tblStyle w:val="a4"/>
        <w:tblW w:w="9714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2"/>
        <w:gridCol w:w="2377"/>
      </w:tblGrid>
      <w:tr>
        <w:trPr>
          <w:trHeight w:val="68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0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 w:before="120" w:after="0"/>
        <w:ind w:right="-471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-471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3b) ÚJ neeviduje žiadne položky zabezpečených záväzkov.</w:t>
      </w:r>
    </w:p>
    <w:p>
      <w:pPr>
        <w:pStyle w:val="Normal"/>
        <w:spacing w:lineRule="auto" w:line="240" w:before="0" w:after="120"/>
        <w:ind w:right="-471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-471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neeviduje žiadne vlastné akcie.</w:t>
      </w:r>
    </w:p>
    <w:p>
      <w:pPr>
        <w:pStyle w:val="Normal"/>
        <w:spacing w:lineRule="auto" w:line="240" w:before="0" w:after="120"/>
        <w:ind w:right="-471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ÚJ neeviduje žiadne položky nákladov alebo výnosov, ktoré majú výnimočný rozsah alebo výskyt.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-471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-471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 – INFORMÁCIE O INÝCH AKTÍVACH A INÝCH PASÍVACH</w:t>
      </w:r>
    </w:p>
    <w:p>
      <w:pPr>
        <w:pStyle w:val="Normal"/>
        <w:spacing w:lineRule="auto" w:line="240" w:before="0" w:after="120"/>
        <w:ind w:right="-471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1a) ÚJ neeviduje žiadne položky podmieneného majetku.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1b) ÚJ neeviduje žiadne položky podmienených záväzkov.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ostatné finančné povinnosti, ktoré a nevykazujú v účtovných výkazoch.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3 V účtovníctve ÚJ sa nenachádzajú žiadne položky evidované na podsúvahových účtoch.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-468" w:hanging="0"/>
        <w:jc w:val="center"/>
        <w:rPr/>
      </w:pPr>
      <w:r>
        <w:rPr/>
      </w:r>
    </w:p>
    <w:p>
      <w:pPr>
        <w:pStyle w:val="Normal"/>
        <w:spacing w:lineRule="auto" w:line="240"/>
        <w:ind w:right="-468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 – UDALOSTI, KTORÉ NASTALI PO ZÁVIERKOVOM DNI</w:t>
      </w:r>
    </w:p>
    <w:p>
      <w:pPr>
        <w:pStyle w:val="Normal"/>
        <w:spacing w:lineRule="auto" w:line="240"/>
        <w:ind w:right="-468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(Následné udalosti)</w:t>
      </w:r>
    </w:p>
    <w:p>
      <w:pPr>
        <w:pStyle w:val="Normal"/>
        <w:spacing w:lineRule="auto" w:line="240"/>
        <w:ind w:right="-468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ÚJ neeviduje žiadne udalosti, ktoré nastali po závierkovom dni.</w:t>
      </w:r>
    </w:p>
    <w:p>
      <w:pPr>
        <w:pStyle w:val="Normal"/>
        <w:spacing w:lineRule="auto" w:line="240"/>
        <w:ind w:right="-468" w:hanging="0"/>
        <w:jc w:val="center"/>
        <w:rPr/>
      </w:pPr>
      <w:r>
        <w:rPr/>
      </w:r>
    </w:p>
    <w:p>
      <w:pPr>
        <w:pStyle w:val="Normal"/>
        <w:spacing w:lineRule="auto" w:line="240"/>
        <w:ind w:right="-468" w:hanging="0"/>
        <w:jc w:val="center"/>
        <w:rPr/>
      </w:pPr>
      <w:r>
        <w:rPr/>
      </w:r>
    </w:p>
    <w:p>
      <w:pPr>
        <w:pStyle w:val="Normal"/>
        <w:spacing w:lineRule="auto" w:line="240"/>
        <w:ind w:right="-468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VII – OSTATNÉ INFORMÁCIE</w:t>
      </w:r>
    </w:p>
    <w:p>
      <w:pPr>
        <w:pStyle w:val="Normal"/>
        <w:spacing w:lineRule="auto" w:line="240"/>
        <w:ind w:right="-468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-471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nemá žiadne právo poskytovať služby vo verejnom záujme.</w:t>
        <w:tab/>
        <w:tab/>
      </w:r>
    </w:p>
    <w:p>
      <w:pPr>
        <w:pStyle w:val="Normal"/>
        <w:spacing w:lineRule="auto" w:line="240" w:before="0" w:after="120"/>
        <w:ind w:right="-471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-471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nemá žiadnu priemyselnú výrobu. (§ 23d/6 ZoU)</w:t>
      </w:r>
    </w:p>
    <w:p>
      <w:pPr>
        <w:pStyle w:val="Normal"/>
        <w:spacing w:lineRule="auto" w:line="240" w:before="0" w:after="120"/>
        <w:ind w:right="-471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-471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nemá žiadne finančné vzťahy s orgánmi verejnej moci. (§ 23d/6 ZoU)</w:t>
      </w:r>
    </w:p>
    <w:p>
      <w:pPr>
        <w:pStyle w:val="Normal"/>
        <w:spacing w:lineRule="auto" w:line="240" w:before="0" w:after="120"/>
        <w:ind w:right="-471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rPr/>
      </w:pPr>
      <w:r>
        <w:rPr/>
      </w:r>
    </w:p>
    <w:p>
      <w:pPr>
        <w:pStyle w:val="Normal"/>
        <w:spacing w:lineRule="auto" w:line="240" w:before="0" w:after="120"/>
        <w:ind w:right="-471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sectPr>
      <w:headerReference w:type="default" r:id="rId2"/>
      <w:footerReference w:type="default" r:id="rId3"/>
      <w:type w:val="nextPage"/>
      <w:pgSz w:w="11906" w:h="16838"/>
      <w:pgMar w:left="1417" w:right="992" w:header="708" w:top="1417" w:footer="708" w:bottom="1417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Georgia">
    <w:charset w:val="ee"/>
    <w:family w:val="roman"/>
    <w:pitch w:val="variable"/>
  </w:font>
  <w:font w:name="Calibri">
    <w:charset w:val="ee"/>
    <w:family w:val="roman"/>
    <w:pitch w:val="variable"/>
  </w:font>
  <w:font w:name="Arial CE">
    <w:altName w:val="Helvetica CE"/>
    <w:charset w:val="ee"/>
    <w:family w:val="auto"/>
    <w:pitch w:val="default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enter" w:pos="4536" w:leader="none"/>
        <w:tab w:val="right" w:pos="9072" w:leader="none"/>
      </w:tabs>
      <w:spacing w:lineRule="auto" w:line="240"/>
      <w:jc w:val="right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Normal"/>
      <w:tabs>
        <w:tab w:val="center" w:pos="4536" w:leader="none"/>
        <w:tab w:val="right" w:pos="9072" w:leader="none"/>
      </w:tabs>
      <w:spacing w:lineRule="auto" w:line="240" w:before="0" w:after="567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 w:val="false"/>
      <w:tabs>
        <w:tab w:val="left" w:pos="2990" w:leader="none"/>
        <w:tab w:val="left" w:pos="6348" w:leader="none"/>
      </w:tabs>
      <w:spacing w:lineRule="auto" w:line="240" w:before="567" w:after="0"/>
      <w:ind w:left="-397" w:hanging="0"/>
      <w:jc w:val="center"/>
      <w:rPr/>
    </w:pPr>
    <w:r>
      <w:rPr/>
      <w:t xml:space="preserve"> </w:t>
    </w:r>
    <w:r>
      <w:rPr/>
      <w:t xml:space="preserve">Poznámky Úč POD 3 – 01          </w:t>
    </w:r>
    <w:r>
      <w:rPr>
        <w:color w:val="707070"/>
        <w:sz w:val="18"/>
        <w:szCs w:val="18"/>
        <w:highlight w:val="white"/>
      </w:rPr>
      <w:tab/>
    </w:r>
    <w:r>
      <w:rPr/>
      <w:t xml:space="preserve">                 IČO: </w:t>
    </w:r>
    <w:r>
      <w:rPr/>
      <w:t>46511440</w:t>
    </w:r>
    <w:r>
      <w:rPr/>
      <w:t xml:space="preserve">        DIČ: </w:t>
    </w:r>
    <w:r>
      <w:rPr/>
      <w:t>2023407584</w:t>
    </w:r>
  </w:p>
  <w:p>
    <w:pPr>
      <w:pStyle w:val="Normal"/>
      <w:tabs>
        <w:tab w:val="center" w:pos="4703" w:leader="none"/>
        <w:tab w:val="right" w:pos="9406" w:leader="none"/>
      </w:tabs>
      <w:spacing w:lineRule="auto" w:line="24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6"/>
      <w:numFmt w:val="bullet"/>
      <w:lvlText w:val="-"/>
      <w:lvlJc w:val="left"/>
      <w:pPr>
        <w:ind w:left="720" w:hanging="-3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-1080"/>
      </w:pPr>
      <w:rPr>
        <w:rFonts w:ascii="Arial" w:hAnsi="Arial" w:cs="Arial" w:hint="default"/>
        <w:vertAlign w:val="baseline"/>
        <w:position w:val="0"/>
        <w:sz w:val="22"/>
        <w:rFonts w:cs="Arial"/>
      </w:rPr>
    </w:lvl>
    <w:lvl w:ilvl="2">
      <w:start w:val="1"/>
      <w:numFmt w:val="bullet"/>
      <w:lvlText w:val="▪"/>
      <w:lvlJc w:val="left"/>
      <w:pPr>
        <w:ind w:left="2160" w:hanging="-1800"/>
      </w:pPr>
      <w:rPr>
        <w:rFonts w:ascii="Arial" w:hAnsi="Arial" w:cs="Arial" w:hint="default"/>
        <w:vertAlign w:val="baseline"/>
        <w:position w:val="0"/>
        <w:sz w:val="22"/>
        <w:rFonts w:cs="Arial"/>
      </w:rPr>
    </w:lvl>
    <w:lvl w:ilvl="3">
      <w:start w:val="1"/>
      <w:numFmt w:val="bullet"/>
      <w:lvlText w:val="●"/>
      <w:lvlJc w:val="left"/>
      <w:pPr>
        <w:ind w:left="2880" w:hanging="-2520"/>
      </w:pPr>
      <w:rPr>
        <w:rFonts w:ascii="Arial" w:hAnsi="Arial" w:cs="Arial" w:hint="default"/>
        <w:vertAlign w:val="baseline"/>
        <w:position w:val="0"/>
        <w:sz w:val="22"/>
        <w:rFonts w:cs="Arial"/>
      </w:rPr>
    </w:lvl>
    <w:lvl w:ilvl="4">
      <w:start w:val="1"/>
      <w:numFmt w:val="bullet"/>
      <w:lvlText w:val="o"/>
      <w:lvlJc w:val="left"/>
      <w:pPr>
        <w:ind w:left="3600" w:hanging="-3240"/>
      </w:pPr>
      <w:rPr>
        <w:rFonts w:ascii="Arial" w:hAnsi="Arial" w:cs="Arial" w:hint="default"/>
        <w:vertAlign w:val="baseline"/>
        <w:position w:val="0"/>
        <w:sz w:val="22"/>
        <w:rFonts w:cs="Arial"/>
      </w:rPr>
    </w:lvl>
    <w:lvl w:ilvl="5">
      <w:start w:val="1"/>
      <w:numFmt w:val="bullet"/>
      <w:lvlText w:val="▪"/>
      <w:lvlJc w:val="left"/>
      <w:pPr>
        <w:ind w:left="4320" w:hanging="-3960"/>
      </w:pPr>
      <w:rPr>
        <w:rFonts w:ascii="Arial" w:hAnsi="Arial" w:cs="Arial" w:hint="default"/>
        <w:vertAlign w:val="baseline"/>
        <w:position w:val="0"/>
        <w:sz w:val="22"/>
        <w:rFonts w:cs="Arial"/>
      </w:rPr>
    </w:lvl>
    <w:lvl w:ilvl="6">
      <w:start w:val="1"/>
      <w:numFmt w:val="bullet"/>
      <w:lvlText w:val="●"/>
      <w:lvlJc w:val="left"/>
      <w:pPr>
        <w:ind w:left="5040" w:hanging="-4680"/>
      </w:pPr>
      <w:rPr>
        <w:rFonts w:ascii="Arial" w:hAnsi="Arial" w:cs="Arial" w:hint="default"/>
        <w:vertAlign w:val="baseline"/>
        <w:position w:val="0"/>
        <w:sz w:val="22"/>
        <w:rFonts w:cs="Arial"/>
      </w:rPr>
    </w:lvl>
    <w:lvl w:ilvl="7">
      <w:start w:val="1"/>
      <w:numFmt w:val="bullet"/>
      <w:lvlText w:val="o"/>
      <w:lvlJc w:val="left"/>
      <w:pPr>
        <w:ind w:left="5760" w:hanging="-5400"/>
      </w:pPr>
      <w:rPr>
        <w:rFonts w:ascii="Arial" w:hAnsi="Arial" w:cs="Arial" w:hint="default"/>
        <w:vertAlign w:val="baseline"/>
        <w:position w:val="0"/>
        <w:sz w:val="22"/>
        <w:rFonts w:cs="Arial"/>
      </w:rPr>
    </w:lvl>
    <w:lvl w:ilvl="8">
      <w:start w:val="1"/>
      <w:numFmt w:val="bullet"/>
      <w:lvlText w:val="▪"/>
      <w:lvlJc w:val="left"/>
      <w:pPr>
        <w:ind w:left="6480" w:hanging="-6120"/>
      </w:pPr>
      <w:rPr>
        <w:rFonts w:ascii="Arial" w:hAnsi="Arial" w:cs="Arial" w:hint="default"/>
        <w:vertAlign w:val="baseline"/>
        <w:position w:val="0"/>
        <w:sz w:val="22"/>
        <w:rFonts w:cs="Arial"/>
      </w:rPr>
    </w:lvl>
  </w:abstractNum>
  <w:abstractNum w:abstractNumId="2">
    <w:lvl w:ilvl="0">
      <w:start w:val="1"/>
      <w:numFmt w:val="bullet"/>
      <w:lvlText w:val="➢"/>
      <w:lvlJc w:val="left"/>
      <w:pPr>
        <w:ind w:left="3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080" w:hanging="-720"/>
      </w:pPr>
      <w:rPr>
        <w:rFonts w:ascii="Arial" w:hAnsi="Arial" w:cs="Arial" w:hint="default"/>
        <w:vertAlign w:val="baseline"/>
        <w:position w:val="0"/>
        <w:sz w:val="22"/>
        <w:rFonts w:cs="Arial"/>
      </w:rPr>
    </w:lvl>
    <w:lvl w:ilvl="2">
      <w:start w:val="1"/>
      <w:numFmt w:val="bullet"/>
      <w:lvlText w:val="▪"/>
      <w:lvlJc w:val="left"/>
      <w:pPr>
        <w:ind w:left="1800" w:hanging="-1440"/>
      </w:pPr>
      <w:rPr>
        <w:rFonts w:ascii="Arial" w:hAnsi="Arial" w:cs="Arial" w:hint="default"/>
        <w:vertAlign w:val="baseline"/>
        <w:position w:val="0"/>
        <w:sz w:val="22"/>
        <w:rFonts w:cs="Arial"/>
      </w:rPr>
    </w:lvl>
    <w:lvl w:ilvl="3">
      <w:start w:val="1"/>
      <w:numFmt w:val="bullet"/>
      <w:lvlText w:val="●"/>
      <w:lvlJc w:val="left"/>
      <w:pPr>
        <w:ind w:left="2520" w:hanging="-2160"/>
      </w:pPr>
      <w:rPr>
        <w:rFonts w:ascii="Arial" w:hAnsi="Arial" w:cs="Arial" w:hint="default"/>
        <w:vertAlign w:val="baseline"/>
        <w:position w:val="0"/>
        <w:sz w:val="22"/>
        <w:rFonts w:cs="Arial"/>
      </w:rPr>
    </w:lvl>
    <w:lvl w:ilvl="4">
      <w:start w:val="1"/>
      <w:numFmt w:val="bullet"/>
      <w:lvlText w:val="o"/>
      <w:lvlJc w:val="left"/>
      <w:pPr>
        <w:ind w:left="3240" w:hanging="-2880"/>
      </w:pPr>
      <w:rPr>
        <w:rFonts w:ascii="Arial" w:hAnsi="Arial" w:cs="Arial" w:hint="default"/>
        <w:vertAlign w:val="baseline"/>
        <w:position w:val="0"/>
        <w:sz w:val="22"/>
        <w:rFonts w:cs="Arial"/>
      </w:rPr>
    </w:lvl>
    <w:lvl w:ilvl="5">
      <w:start w:val="1"/>
      <w:numFmt w:val="bullet"/>
      <w:lvlText w:val="▪"/>
      <w:lvlJc w:val="left"/>
      <w:pPr>
        <w:ind w:left="3960" w:hanging="-3600"/>
      </w:pPr>
      <w:rPr>
        <w:rFonts w:ascii="Arial" w:hAnsi="Arial" w:cs="Arial" w:hint="default"/>
        <w:vertAlign w:val="baseline"/>
        <w:position w:val="0"/>
        <w:sz w:val="22"/>
        <w:rFonts w:cs="Arial"/>
      </w:rPr>
    </w:lvl>
    <w:lvl w:ilvl="6">
      <w:start w:val="1"/>
      <w:numFmt w:val="bullet"/>
      <w:lvlText w:val="●"/>
      <w:lvlJc w:val="left"/>
      <w:pPr>
        <w:ind w:left="4680" w:hanging="-4320"/>
      </w:pPr>
      <w:rPr>
        <w:rFonts w:ascii="Arial" w:hAnsi="Arial" w:cs="Arial" w:hint="default"/>
        <w:vertAlign w:val="baseline"/>
        <w:position w:val="0"/>
        <w:sz w:val="22"/>
        <w:rFonts w:cs="Arial"/>
      </w:rPr>
    </w:lvl>
    <w:lvl w:ilvl="7">
      <w:start w:val="1"/>
      <w:numFmt w:val="bullet"/>
      <w:lvlText w:val="o"/>
      <w:lvlJc w:val="left"/>
      <w:pPr>
        <w:ind w:left="5400" w:hanging="-5040"/>
      </w:pPr>
      <w:rPr>
        <w:rFonts w:ascii="Arial" w:hAnsi="Arial" w:cs="Arial" w:hint="default"/>
        <w:vertAlign w:val="baseline"/>
        <w:position w:val="0"/>
        <w:sz w:val="22"/>
        <w:rFonts w:cs="Arial"/>
      </w:rPr>
    </w:lvl>
    <w:lvl w:ilvl="8">
      <w:start w:val="1"/>
      <w:numFmt w:val="bullet"/>
      <w:lvlText w:val="▪"/>
      <w:lvlJc w:val="left"/>
      <w:pPr>
        <w:ind w:left="6120" w:hanging="-5760"/>
      </w:pPr>
      <w:rPr>
        <w:rFonts w:ascii="Arial" w:hAnsi="Arial" w:cs="Arial" w:hint="default"/>
        <w:vertAlign w:val="baseline"/>
        <w:position w:val="0"/>
        <w:sz w:val="22"/>
        <w:rFonts w:cs="Arial"/>
      </w:rPr>
    </w:lvl>
  </w:abstractNum>
  <w:abstractNum w:abstractNumId="3">
    <w:lvl w:ilvl="0">
      <w:numFmt w:val="bullet"/>
      <w:lvlText w:val="-"/>
      <w:lvlJc w:val="left"/>
      <w:pPr>
        <w:ind w:left="720" w:hanging="-3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-1080"/>
      </w:pPr>
      <w:rPr>
        <w:rFonts w:ascii="Arial" w:hAnsi="Arial" w:cs="Arial" w:hint="default"/>
        <w:vertAlign w:val="baseline"/>
        <w:position w:val="0"/>
        <w:sz w:val="22"/>
        <w:rFonts w:cs="Arial"/>
      </w:rPr>
    </w:lvl>
    <w:lvl w:ilvl="2">
      <w:start w:val="1"/>
      <w:numFmt w:val="bullet"/>
      <w:lvlText w:val="▪"/>
      <w:lvlJc w:val="left"/>
      <w:pPr>
        <w:ind w:left="2160" w:hanging="-1800"/>
      </w:pPr>
      <w:rPr>
        <w:rFonts w:ascii="Arial" w:hAnsi="Arial" w:cs="Arial" w:hint="default"/>
        <w:vertAlign w:val="baseline"/>
        <w:position w:val="0"/>
        <w:sz w:val="22"/>
        <w:rFonts w:cs="Arial"/>
      </w:rPr>
    </w:lvl>
    <w:lvl w:ilvl="3">
      <w:start w:val="1"/>
      <w:numFmt w:val="bullet"/>
      <w:lvlText w:val="●"/>
      <w:lvlJc w:val="left"/>
      <w:pPr>
        <w:ind w:left="2880" w:hanging="-2520"/>
      </w:pPr>
      <w:rPr>
        <w:rFonts w:ascii="Arial" w:hAnsi="Arial" w:cs="Arial" w:hint="default"/>
        <w:vertAlign w:val="baseline"/>
        <w:position w:val="0"/>
        <w:sz w:val="22"/>
        <w:rFonts w:cs="Arial"/>
      </w:rPr>
    </w:lvl>
    <w:lvl w:ilvl="4">
      <w:start w:val="1"/>
      <w:numFmt w:val="bullet"/>
      <w:lvlText w:val="o"/>
      <w:lvlJc w:val="left"/>
      <w:pPr>
        <w:ind w:left="3600" w:hanging="-3240"/>
      </w:pPr>
      <w:rPr>
        <w:rFonts w:ascii="Arial" w:hAnsi="Arial" w:cs="Arial" w:hint="default"/>
        <w:vertAlign w:val="baseline"/>
        <w:position w:val="0"/>
        <w:sz w:val="22"/>
        <w:rFonts w:cs="Arial"/>
      </w:rPr>
    </w:lvl>
    <w:lvl w:ilvl="5">
      <w:start w:val="1"/>
      <w:numFmt w:val="bullet"/>
      <w:lvlText w:val="▪"/>
      <w:lvlJc w:val="left"/>
      <w:pPr>
        <w:ind w:left="4320" w:hanging="-3960"/>
      </w:pPr>
      <w:rPr>
        <w:rFonts w:ascii="Arial" w:hAnsi="Arial" w:cs="Arial" w:hint="default"/>
        <w:vertAlign w:val="baseline"/>
        <w:position w:val="0"/>
        <w:sz w:val="22"/>
        <w:rFonts w:cs="Arial"/>
      </w:rPr>
    </w:lvl>
    <w:lvl w:ilvl="6">
      <w:start w:val="1"/>
      <w:numFmt w:val="bullet"/>
      <w:lvlText w:val="●"/>
      <w:lvlJc w:val="left"/>
      <w:pPr>
        <w:ind w:left="5040" w:hanging="-4680"/>
      </w:pPr>
      <w:rPr>
        <w:rFonts w:ascii="Arial" w:hAnsi="Arial" w:cs="Arial" w:hint="default"/>
        <w:vertAlign w:val="baseline"/>
        <w:position w:val="0"/>
        <w:sz w:val="22"/>
        <w:rFonts w:cs="Arial"/>
      </w:rPr>
    </w:lvl>
    <w:lvl w:ilvl="7">
      <w:start w:val="1"/>
      <w:numFmt w:val="bullet"/>
      <w:lvlText w:val="o"/>
      <w:lvlJc w:val="left"/>
      <w:pPr>
        <w:ind w:left="5760" w:hanging="-5400"/>
      </w:pPr>
      <w:rPr>
        <w:rFonts w:ascii="Arial" w:hAnsi="Arial" w:cs="Arial" w:hint="default"/>
        <w:vertAlign w:val="baseline"/>
        <w:position w:val="0"/>
        <w:sz w:val="22"/>
        <w:rFonts w:cs="Arial"/>
      </w:rPr>
    </w:lvl>
    <w:lvl w:ilvl="8">
      <w:start w:val="1"/>
      <w:numFmt w:val="bullet"/>
      <w:lvlText w:val="▪"/>
      <w:lvlJc w:val="left"/>
      <w:pPr>
        <w:ind w:left="6480" w:hanging="-6120"/>
      </w:pPr>
      <w:rPr>
        <w:rFonts w:ascii="Arial" w:hAnsi="Arial" w:cs="Arial" w:hint="default"/>
        <w:vertAlign w:val="baseline"/>
        <w:position w:val="0"/>
        <w:sz w:val="22"/>
        <w:rFonts w:cs="Arial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compat>
    <w:compatSetting w:name="compatibilityMode" w:uri="http://schemas.microsoft.com/office/word" w:val="14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color w:val="000000"/>
        <w:sz w:val="22"/>
        <w:szCs w:val="22"/>
        <w:lang w:val="sk-SK" w:eastAsia="sk-SK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/>
      <w:jc w:val="left"/>
    </w:pPr>
    <w:rPr>
      <w:rFonts w:ascii="Arial" w:hAnsi="Arial" w:eastAsia="Arial" w:cs="Arial"/>
      <w:color w:val="000000"/>
      <w:kern w:val="0"/>
      <w:sz w:val="22"/>
      <w:szCs w:val="22"/>
      <w:lang w:val="sk-SK" w:eastAsia="sk-SK" w:bidi="ar-SA"/>
    </w:rPr>
  </w:style>
  <w:style w:type="paragraph" w:styleId="Nadpis1">
    <w:name w:val="Heading 1"/>
    <w:basedOn w:val="Normal"/>
    <w:qFormat/>
    <w:pPr>
      <w:keepNext w:val="true"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al"/>
    <w:qFormat/>
    <w:pPr>
      <w:keepNext w:val="true"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al"/>
    <w:qFormat/>
    <w:pPr>
      <w:keepNext w:val="true"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al"/>
    <w:qFormat/>
    <w:pPr>
      <w:keepNext w:val="true"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al"/>
    <w:qFormat/>
    <w:pPr>
      <w:keepNext w:val="true"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al"/>
    <w:qFormat/>
    <w:pPr>
      <w:keepNext w:val="true"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Arial" w:cs="Arial"/>
      <w:position w:val="0"/>
      <w:sz w:val="24"/>
      <w:sz w:val="24"/>
      <w:vertAlign w:val="baseline"/>
    </w:rPr>
  </w:style>
  <w:style w:type="character" w:styleId="ListLabel2">
    <w:name w:val="ListLabel 2"/>
    <w:qFormat/>
    <w:rPr>
      <w:rFonts w:eastAsia="Arial" w:cs="Arial"/>
      <w:position w:val="0"/>
      <w:sz w:val="22"/>
      <w:vertAlign w:val="baseline"/>
    </w:rPr>
  </w:style>
  <w:style w:type="character" w:styleId="ListLabel3">
    <w:name w:val="ListLabel 3"/>
    <w:qFormat/>
    <w:rPr>
      <w:rFonts w:eastAsia="Arial" w:cs="Arial"/>
      <w:position w:val="0"/>
      <w:sz w:val="22"/>
      <w:vertAlign w:val="baseline"/>
    </w:rPr>
  </w:style>
  <w:style w:type="character" w:styleId="ListLabel4">
    <w:name w:val="ListLabel 4"/>
    <w:qFormat/>
    <w:rPr>
      <w:rFonts w:eastAsia="Arial" w:cs="Arial"/>
      <w:position w:val="0"/>
      <w:sz w:val="22"/>
      <w:vertAlign w:val="baseline"/>
    </w:rPr>
  </w:style>
  <w:style w:type="character" w:styleId="ListLabel5">
    <w:name w:val="ListLabel 5"/>
    <w:qFormat/>
    <w:rPr>
      <w:rFonts w:eastAsia="Arial" w:cs="Arial"/>
      <w:position w:val="0"/>
      <w:sz w:val="22"/>
      <w:vertAlign w:val="baseline"/>
    </w:rPr>
  </w:style>
  <w:style w:type="character" w:styleId="ListLabel6">
    <w:name w:val="ListLabel 6"/>
    <w:qFormat/>
    <w:rPr>
      <w:rFonts w:eastAsia="Arial" w:cs="Arial"/>
      <w:position w:val="0"/>
      <w:sz w:val="22"/>
      <w:vertAlign w:val="baseline"/>
    </w:rPr>
  </w:style>
  <w:style w:type="character" w:styleId="ListLabel7">
    <w:name w:val="ListLabel 7"/>
    <w:qFormat/>
    <w:rPr>
      <w:rFonts w:eastAsia="Arial" w:cs="Arial"/>
      <w:position w:val="0"/>
      <w:sz w:val="22"/>
      <w:vertAlign w:val="baseline"/>
    </w:rPr>
  </w:style>
  <w:style w:type="character" w:styleId="ListLabel8">
    <w:name w:val="ListLabel 8"/>
    <w:qFormat/>
    <w:rPr>
      <w:rFonts w:eastAsia="Arial" w:cs="Arial"/>
      <w:position w:val="0"/>
      <w:sz w:val="22"/>
      <w:vertAlign w:val="baseline"/>
    </w:rPr>
  </w:style>
  <w:style w:type="character" w:styleId="ListLabel9">
    <w:name w:val="ListLabel 9"/>
    <w:qFormat/>
    <w:rPr>
      <w:rFonts w:eastAsia="Arial" w:cs="Arial"/>
      <w:position w:val="0"/>
      <w:sz w:val="22"/>
      <w:vertAlign w:val="baseline"/>
    </w:rPr>
  </w:style>
  <w:style w:type="character" w:styleId="ListLabel10">
    <w:name w:val="ListLabel 10"/>
    <w:qFormat/>
    <w:rPr>
      <w:rFonts w:eastAsia="Arial" w:cs="Arial"/>
      <w:position w:val="0"/>
      <w:sz w:val="24"/>
      <w:sz w:val="24"/>
      <w:vertAlign w:val="baseline"/>
    </w:rPr>
  </w:style>
  <w:style w:type="character" w:styleId="ListLabel11">
    <w:name w:val="ListLabel 11"/>
    <w:qFormat/>
    <w:rPr>
      <w:rFonts w:eastAsia="Arial" w:cs="Arial"/>
      <w:position w:val="0"/>
      <w:sz w:val="22"/>
      <w:vertAlign w:val="baseline"/>
    </w:rPr>
  </w:style>
  <w:style w:type="character" w:styleId="ListLabel12">
    <w:name w:val="ListLabel 12"/>
    <w:qFormat/>
    <w:rPr>
      <w:rFonts w:eastAsia="Arial" w:cs="Arial"/>
      <w:position w:val="0"/>
      <w:sz w:val="22"/>
      <w:vertAlign w:val="baseline"/>
    </w:rPr>
  </w:style>
  <w:style w:type="character" w:styleId="ListLabel13">
    <w:name w:val="ListLabel 13"/>
    <w:qFormat/>
    <w:rPr>
      <w:rFonts w:eastAsia="Arial" w:cs="Arial"/>
      <w:position w:val="0"/>
      <w:sz w:val="22"/>
      <w:vertAlign w:val="baseline"/>
    </w:rPr>
  </w:style>
  <w:style w:type="character" w:styleId="ListLabel14">
    <w:name w:val="ListLabel 14"/>
    <w:qFormat/>
    <w:rPr>
      <w:rFonts w:eastAsia="Arial" w:cs="Arial"/>
      <w:position w:val="0"/>
      <w:sz w:val="22"/>
      <w:vertAlign w:val="baseline"/>
    </w:rPr>
  </w:style>
  <w:style w:type="character" w:styleId="ListLabel15">
    <w:name w:val="ListLabel 15"/>
    <w:qFormat/>
    <w:rPr>
      <w:rFonts w:eastAsia="Arial" w:cs="Arial"/>
      <w:position w:val="0"/>
      <w:sz w:val="22"/>
      <w:vertAlign w:val="baseline"/>
    </w:rPr>
  </w:style>
  <w:style w:type="character" w:styleId="ListLabel16">
    <w:name w:val="ListLabel 16"/>
    <w:qFormat/>
    <w:rPr>
      <w:rFonts w:eastAsia="Arial" w:cs="Arial"/>
      <w:position w:val="0"/>
      <w:sz w:val="22"/>
      <w:vertAlign w:val="baseline"/>
    </w:rPr>
  </w:style>
  <w:style w:type="character" w:styleId="ListLabel17">
    <w:name w:val="ListLabel 17"/>
    <w:qFormat/>
    <w:rPr>
      <w:rFonts w:eastAsia="Arial" w:cs="Arial"/>
      <w:position w:val="0"/>
      <w:sz w:val="22"/>
      <w:vertAlign w:val="baseline"/>
    </w:rPr>
  </w:style>
  <w:style w:type="character" w:styleId="ListLabel18">
    <w:name w:val="ListLabel 18"/>
    <w:qFormat/>
    <w:rPr>
      <w:rFonts w:eastAsia="Arial" w:cs="Arial"/>
      <w:position w:val="0"/>
      <w:sz w:val="22"/>
      <w:vertAlign w:val="baseline"/>
    </w:rPr>
  </w:style>
  <w:style w:type="character" w:styleId="ListLabel19">
    <w:name w:val="ListLabel 19"/>
    <w:qFormat/>
    <w:rPr>
      <w:rFonts w:eastAsia="Arial" w:cs="Arial"/>
      <w:position w:val="0"/>
      <w:sz w:val="24"/>
      <w:sz w:val="24"/>
      <w:vertAlign w:val="baseline"/>
    </w:rPr>
  </w:style>
  <w:style w:type="character" w:styleId="ListLabel20">
    <w:name w:val="ListLabel 20"/>
    <w:qFormat/>
    <w:rPr>
      <w:rFonts w:eastAsia="Arial" w:cs="Arial"/>
      <w:position w:val="0"/>
      <w:sz w:val="22"/>
      <w:vertAlign w:val="baseline"/>
    </w:rPr>
  </w:style>
  <w:style w:type="character" w:styleId="ListLabel21">
    <w:name w:val="ListLabel 21"/>
    <w:qFormat/>
    <w:rPr>
      <w:rFonts w:eastAsia="Arial" w:cs="Arial"/>
      <w:position w:val="0"/>
      <w:sz w:val="22"/>
      <w:vertAlign w:val="baseline"/>
    </w:rPr>
  </w:style>
  <w:style w:type="character" w:styleId="ListLabel22">
    <w:name w:val="ListLabel 22"/>
    <w:qFormat/>
    <w:rPr>
      <w:rFonts w:eastAsia="Arial" w:cs="Arial"/>
      <w:position w:val="0"/>
      <w:sz w:val="22"/>
      <w:vertAlign w:val="baseline"/>
    </w:rPr>
  </w:style>
  <w:style w:type="character" w:styleId="ListLabel23">
    <w:name w:val="ListLabel 23"/>
    <w:qFormat/>
    <w:rPr>
      <w:rFonts w:eastAsia="Arial" w:cs="Arial"/>
      <w:position w:val="0"/>
      <w:sz w:val="22"/>
      <w:vertAlign w:val="baseline"/>
    </w:rPr>
  </w:style>
  <w:style w:type="character" w:styleId="ListLabel24">
    <w:name w:val="ListLabel 24"/>
    <w:qFormat/>
    <w:rPr>
      <w:rFonts w:eastAsia="Arial" w:cs="Arial"/>
      <w:position w:val="0"/>
      <w:sz w:val="22"/>
      <w:vertAlign w:val="baseline"/>
    </w:rPr>
  </w:style>
  <w:style w:type="character" w:styleId="ListLabel25">
    <w:name w:val="ListLabel 25"/>
    <w:qFormat/>
    <w:rPr>
      <w:rFonts w:eastAsia="Arial" w:cs="Arial"/>
      <w:position w:val="0"/>
      <w:sz w:val="22"/>
      <w:vertAlign w:val="baseline"/>
    </w:rPr>
  </w:style>
  <w:style w:type="character" w:styleId="ListLabel26">
    <w:name w:val="ListLabel 26"/>
    <w:qFormat/>
    <w:rPr>
      <w:rFonts w:eastAsia="Arial" w:cs="Arial"/>
      <w:position w:val="0"/>
      <w:sz w:val="22"/>
      <w:vertAlign w:val="baseline"/>
    </w:rPr>
  </w:style>
  <w:style w:type="character" w:styleId="ListLabel27">
    <w:name w:val="ListLabel 27"/>
    <w:qFormat/>
    <w:rPr>
      <w:rFonts w:eastAsia="Arial" w:cs="Arial"/>
      <w:position w:val="0"/>
      <w:sz w:val="22"/>
      <w:vertAlign w:val="baseline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Nzov">
    <w:name w:val="Title"/>
    <w:basedOn w:val="Normal"/>
    <w:qFormat/>
    <w:pPr>
      <w:keepNext w:val="true"/>
      <w:keepLines/>
      <w:spacing w:before="480" w:after="120"/>
      <w:contextualSpacing/>
    </w:pPr>
    <w:rPr>
      <w:b/>
      <w:sz w:val="72"/>
      <w:szCs w:val="72"/>
    </w:rPr>
  </w:style>
  <w:style w:type="paragraph" w:styleId="Podnadpis">
    <w:name w:val="Subtitle"/>
    <w:basedOn w:val="Normal"/>
    <w:qFormat/>
    <w:pPr>
      <w:keepNext w:val="true"/>
      <w:keepLines/>
      <w:spacing w:before="360" w:after="80"/>
      <w:contextualSpacing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LibreOffice/6.0.3.2$Windows_X86_64 LibreOffice_project/8f48d515416608e3a835360314dac7e47fd0b821</Application>
  <Pages>5</Pages>
  <Words>1106</Words>
  <Characters>6794</Characters>
  <CharactersWithSpaces>7780</CharactersWithSpaces>
  <Paragraphs>198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2017-03-30T07:49:00Z</dcterms:created>
  <dc:creator/>
  <dc:description/>
  <dc:language>sk-SK</dc:language>
  <cp:lastModifiedBy/>
  <dcterms:modified xsi:type="dcterms:W3CDTF">2018-05-09T12:30:57Z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