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Ind w:w="55" w:type="dxa"/>
        <w:tblLayout w:type="fixed"/>
        <w:tblCellMar>
          <w:left w:w="70" w:type="dxa"/>
          <w:right w:w="70" w:type="dxa"/>
        </w:tblCellMar>
        <w:tblLook w:val="0000"/>
      </w:tblPr>
      <w:tblGrid>
        <w:gridCol w:w="420"/>
        <w:gridCol w:w="2140"/>
        <w:gridCol w:w="600"/>
        <w:gridCol w:w="520"/>
        <w:gridCol w:w="280"/>
        <w:gridCol w:w="280"/>
        <w:gridCol w:w="280"/>
        <w:gridCol w:w="280"/>
        <w:gridCol w:w="280"/>
        <w:gridCol w:w="280"/>
        <w:gridCol w:w="280"/>
        <w:gridCol w:w="280"/>
        <w:gridCol w:w="700"/>
        <w:gridCol w:w="510"/>
        <w:gridCol w:w="329"/>
        <w:gridCol w:w="280"/>
        <w:gridCol w:w="280"/>
        <w:gridCol w:w="280"/>
        <w:gridCol w:w="280"/>
        <w:gridCol w:w="280"/>
        <w:gridCol w:w="280"/>
        <w:gridCol w:w="280"/>
        <w:gridCol w:w="280"/>
        <w:gridCol w:w="290"/>
      </w:tblGrid>
      <w:tr w:rsidR="00C3744A">
        <w:trPr>
          <w:trHeight w:val="390"/>
        </w:trPr>
        <w:tc>
          <w:tcPr>
            <w:tcW w:w="420" w:type="dxa"/>
            <w:shd w:val="clear" w:color="auto" w:fill="auto"/>
            <w:vAlign w:val="bottom"/>
          </w:tcPr>
          <w:p w:rsidR="00C3744A" w:rsidRDefault="00C3744A">
            <w:pPr>
              <w:snapToGrid w:val="0"/>
              <w:rPr>
                <w:rFonts w:ascii="Arial" w:hAnsi="Arial" w:cs="Arial"/>
                <w:sz w:val="20"/>
                <w:szCs w:val="20"/>
              </w:rPr>
            </w:pPr>
          </w:p>
        </w:tc>
        <w:tc>
          <w:tcPr>
            <w:tcW w:w="2140" w:type="dxa"/>
            <w:tcBorders>
              <w:top w:val="single" w:sz="4" w:space="0" w:color="000000"/>
              <w:left w:val="single" w:sz="4" w:space="0" w:color="000000"/>
              <w:bottom w:val="single" w:sz="4" w:space="0" w:color="000000"/>
            </w:tcBorders>
            <w:shd w:val="clear" w:color="auto" w:fill="auto"/>
            <w:vAlign w:val="center"/>
          </w:tcPr>
          <w:p w:rsidR="00C3744A" w:rsidRDefault="001C2B34">
            <w:pPr>
              <w:snapToGrid w:val="0"/>
              <w:rPr>
                <w:rFonts w:ascii="Arial" w:hAnsi="Arial" w:cs="Arial"/>
                <w:sz w:val="18"/>
                <w:szCs w:val="18"/>
              </w:rPr>
            </w:pPr>
            <w:r>
              <w:rPr>
                <w:rFonts w:ascii="Arial" w:hAnsi="Arial" w:cs="Arial"/>
                <w:sz w:val="18"/>
                <w:szCs w:val="18"/>
              </w:rPr>
              <w:t>Poznámky Úč MÚJ3-01</w:t>
            </w:r>
          </w:p>
        </w:tc>
        <w:tc>
          <w:tcPr>
            <w:tcW w:w="600" w:type="dxa"/>
            <w:tcBorders>
              <w:left w:val="single" w:sz="4" w:space="0" w:color="000000"/>
            </w:tcBorders>
            <w:shd w:val="clear" w:color="auto" w:fill="auto"/>
            <w:vAlign w:val="center"/>
          </w:tcPr>
          <w:p w:rsidR="00C3744A" w:rsidRDefault="00C3744A">
            <w:pPr>
              <w:snapToGrid w:val="0"/>
              <w:rPr>
                <w:rFonts w:ascii="Arial" w:hAnsi="Arial" w:cs="Arial"/>
                <w:sz w:val="20"/>
                <w:szCs w:val="20"/>
              </w:rPr>
            </w:pPr>
          </w:p>
        </w:tc>
        <w:tc>
          <w:tcPr>
            <w:tcW w:w="520" w:type="dxa"/>
            <w:shd w:val="clear" w:color="auto" w:fill="auto"/>
            <w:vAlign w:val="center"/>
          </w:tcPr>
          <w:p w:rsidR="00C3744A" w:rsidRDefault="001C2B34">
            <w:pPr>
              <w:snapToGrid w:val="0"/>
              <w:rPr>
                <w:rFonts w:ascii="Arial" w:hAnsi="Arial" w:cs="Arial"/>
                <w:b/>
                <w:bCs/>
                <w:sz w:val="18"/>
                <w:szCs w:val="18"/>
              </w:rPr>
            </w:pPr>
            <w:r>
              <w:rPr>
                <w:rFonts w:ascii="Arial" w:hAnsi="Arial" w:cs="Arial"/>
                <w:b/>
                <w:bCs/>
                <w:sz w:val="18"/>
                <w:szCs w:val="18"/>
              </w:rPr>
              <w:t>IČO:</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43106A">
            <w:pPr>
              <w:snapToGrid w:val="0"/>
              <w:jc w:val="center"/>
              <w:rPr>
                <w:rFonts w:ascii="Tahoma" w:hAnsi="Tahoma" w:cs="Arial"/>
                <w:sz w:val="21"/>
                <w:szCs w:val="21"/>
              </w:rPr>
            </w:pPr>
            <w:r>
              <w:rPr>
                <w:rFonts w:ascii="Tahoma" w:hAnsi="Tahoma" w:cs="Arial"/>
                <w:sz w:val="21"/>
                <w:szCs w:val="21"/>
              </w:rPr>
              <w:t>3</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43106A">
            <w:pPr>
              <w:snapToGrid w:val="0"/>
              <w:jc w:val="center"/>
              <w:rPr>
                <w:rFonts w:ascii="Tahoma" w:hAnsi="Tahoma" w:cs="Arial"/>
                <w:sz w:val="21"/>
                <w:szCs w:val="21"/>
              </w:rPr>
            </w:pPr>
            <w:r>
              <w:rPr>
                <w:rFonts w:ascii="Tahoma" w:hAnsi="Tahoma" w:cs="Arial"/>
                <w:sz w:val="21"/>
                <w:szCs w:val="21"/>
              </w:rPr>
              <w:t>6</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43106A">
            <w:pPr>
              <w:snapToGrid w:val="0"/>
              <w:jc w:val="center"/>
              <w:rPr>
                <w:rFonts w:ascii="Tahoma" w:hAnsi="Tahoma" w:cs="Tahoma"/>
                <w:sz w:val="21"/>
                <w:szCs w:val="21"/>
              </w:rPr>
            </w:pPr>
            <w:r>
              <w:rPr>
                <w:rFonts w:ascii="Tahoma" w:hAnsi="Tahoma" w:cs="Tahoma"/>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6D7F3F" w:rsidP="006D7F3F">
            <w:pPr>
              <w:snapToGrid w:val="0"/>
              <w:jc w:val="center"/>
              <w:rPr>
                <w:rFonts w:ascii="Tahoma" w:hAnsi="Tahoma" w:cs="Tahoma"/>
                <w:sz w:val="21"/>
                <w:szCs w:val="21"/>
              </w:rPr>
            </w:pPr>
            <w:r>
              <w:rPr>
                <w:rFonts w:ascii="Tahoma" w:hAnsi="Tahoma" w:cs="Tahoma"/>
                <w:sz w:val="21"/>
                <w:szCs w:val="21"/>
              </w:rPr>
              <w:t>6</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6D7F3F">
            <w:pPr>
              <w:snapToGrid w:val="0"/>
              <w:jc w:val="center"/>
              <w:rPr>
                <w:rFonts w:ascii="Tahoma" w:hAnsi="Tahoma" w:cs="Tahoma"/>
                <w:sz w:val="21"/>
                <w:szCs w:val="21"/>
              </w:rPr>
            </w:pPr>
            <w:r>
              <w:rPr>
                <w:rFonts w:ascii="Tahoma" w:hAnsi="Tahoma" w:cs="Tahoma"/>
                <w:sz w:val="21"/>
                <w:szCs w:val="21"/>
              </w:rPr>
              <w:t>9</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6D7F3F">
            <w:pPr>
              <w:snapToGrid w:val="0"/>
              <w:jc w:val="center"/>
              <w:rPr>
                <w:rFonts w:ascii="Tahoma" w:hAnsi="Tahoma" w:cs="Tahoma"/>
                <w:sz w:val="21"/>
                <w:szCs w:val="21"/>
              </w:rPr>
            </w:pPr>
            <w:r>
              <w:rPr>
                <w:rFonts w:ascii="Tahoma" w:hAnsi="Tahoma" w:cs="Tahoma"/>
                <w:sz w:val="21"/>
                <w:szCs w:val="21"/>
              </w:rPr>
              <w:t>4</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6D7F3F">
            <w:pPr>
              <w:snapToGrid w:val="0"/>
              <w:jc w:val="center"/>
              <w:rPr>
                <w:rFonts w:ascii="Tahoma" w:hAnsi="Tahoma" w:cs="Tahoma"/>
                <w:sz w:val="21"/>
                <w:szCs w:val="21"/>
              </w:rPr>
            </w:pPr>
            <w:r>
              <w:rPr>
                <w:rFonts w:ascii="Tahoma" w:hAnsi="Tahoma" w:cs="Tahoma"/>
                <w:sz w:val="21"/>
                <w:szCs w:val="21"/>
              </w:rPr>
              <w:t>7</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6D7F3F">
            <w:pPr>
              <w:snapToGrid w:val="0"/>
              <w:jc w:val="center"/>
              <w:rPr>
                <w:rFonts w:ascii="Tahoma" w:hAnsi="Tahoma" w:cs="Tahoma"/>
                <w:sz w:val="21"/>
                <w:szCs w:val="21"/>
              </w:rPr>
            </w:pPr>
            <w:r>
              <w:rPr>
                <w:rFonts w:ascii="Tahoma" w:hAnsi="Tahoma" w:cs="Tahoma"/>
                <w:sz w:val="21"/>
                <w:szCs w:val="21"/>
              </w:rPr>
              <w:t>0</w:t>
            </w:r>
          </w:p>
        </w:tc>
        <w:tc>
          <w:tcPr>
            <w:tcW w:w="700" w:type="dxa"/>
            <w:tcBorders>
              <w:left w:val="single" w:sz="4" w:space="0" w:color="000000"/>
            </w:tcBorders>
            <w:shd w:val="clear" w:color="auto" w:fill="auto"/>
            <w:vAlign w:val="center"/>
          </w:tcPr>
          <w:p w:rsidR="00C3744A" w:rsidRDefault="00C3744A">
            <w:pPr>
              <w:snapToGrid w:val="0"/>
              <w:jc w:val="center"/>
              <w:rPr>
                <w:rFonts w:ascii="Arial" w:hAnsi="Arial" w:cs="Arial"/>
                <w:sz w:val="20"/>
                <w:szCs w:val="20"/>
              </w:rPr>
            </w:pPr>
          </w:p>
        </w:tc>
        <w:tc>
          <w:tcPr>
            <w:tcW w:w="510" w:type="dxa"/>
            <w:shd w:val="clear" w:color="auto" w:fill="auto"/>
            <w:vAlign w:val="center"/>
          </w:tcPr>
          <w:p w:rsidR="00C3744A" w:rsidRDefault="001C2B34">
            <w:pPr>
              <w:snapToGrid w:val="0"/>
              <w:jc w:val="center"/>
              <w:rPr>
                <w:rFonts w:ascii="Arial" w:hAnsi="Arial" w:cs="Arial"/>
                <w:b/>
                <w:bCs/>
                <w:sz w:val="18"/>
                <w:szCs w:val="18"/>
              </w:rPr>
            </w:pPr>
            <w:r>
              <w:rPr>
                <w:rFonts w:ascii="Arial" w:hAnsi="Arial" w:cs="Arial"/>
                <w:b/>
                <w:bCs/>
                <w:sz w:val="18"/>
                <w:szCs w:val="18"/>
              </w:rPr>
              <w:t xml:space="preserve">DIČ: </w:t>
            </w:r>
          </w:p>
        </w:tc>
        <w:tc>
          <w:tcPr>
            <w:tcW w:w="329" w:type="dxa"/>
            <w:tcBorders>
              <w:top w:val="single" w:sz="4" w:space="0" w:color="000000"/>
              <w:left w:val="single" w:sz="4" w:space="0" w:color="000000"/>
              <w:bottom w:val="single" w:sz="4" w:space="0" w:color="000000"/>
            </w:tcBorders>
            <w:shd w:val="clear" w:color="auto" w:fill="auto"/>
            <w:vAlign w:val="center"/>
          </w:tcPr>
          <w:p w:rsidR="00C3744A" w:rsidRDefault="001C2B34">
            <w:pPr>
              <w:snapToGrid w:val="0"/>
              <w:rPr>
                <w:rFonts w:ascii="Tahoma" w:hAnsi="Tahoma" w:cs="Arial"/>
                <w:sz w:val="22"/>
                <w:szCs w:val="22"/>
              </w:rPr>
            </w:pPr>
            <w:r>
              <w:rPr>
                <w:rFonts w:ascii="Tahoma" w:hAnsi="Tahoma" w:cs="Arial"/>
                <w:sz w:val="22"/>
                <w:szCs w:val="22"/>
              </w:rPr>
              <w:t> 2</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1C2B34">
            <w:pPr>
              <w:snapToGrid w:val="0"/>
              <w:jc w:val="right"/>
              <w:rPr>
                <w:rFonts w:ascii="Tahoma" w:hAnsi="Tahoma" w:cs="Arial"/>
                <w:sz w:val="22"/>
                <w:szCs w:val="22"/>
              </w:rPr>
            </w:pPr>
            <w:r>
              <w:rPr>
                <w:rFonts w:ascii="Tahoma" w:hAnsi="Tahoma" w:cs="Arial"/>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1C2B34">
            <w:pPr>
              <w:snapToGrid w:val="0"/>
              <w:jc w:val="right"/>
              <w:rPr>
                <w:rFonts w:ascii="Tahoma" w:hAnsi="Tahoma" w:cs="Arial"/>
                <w:sz w:val="22"/>
                <w:szCs w:val="22"/>
              </w:rPr>
            </w:pPr>
            <w:r>
              <w:rPr>
                <w:rFonts w:ascii="Tahoma" w:hAnsi="Tahoma" w:cs="Arial"/>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43106A">
            <w:pPr>
              <w:snapToGrid w:val="0"/>
              <w:jc w:val="right"/>
              <w:rPr>
                <w:rFonts w:ascii="Tahoma" w:hAnsi="Tahoma" w:cs="Tahoma"/>
                <w:sz w:val="22"/>
                <w:szCs w:val="22"/>
              </w:rPr>
            </w:pPr>
            <w:r>
              <w:rPr>
                <w:rFonts w:ascii="Tahoma" w:hAnsi="Tahoma" w:cs="Tahoma"/>
                <w:sz w:val="22"/>
                <w:szCs w:val="22"/>
              </w:rPr>
              <w:t>1</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6D7F3F">
            <w:pPr>
              <w:snapToGrid w:val="0"/>
              <w:jc w:val="right"/>
              <w:rPr>
                <w:rFonts w:ascii="Tahoma" w:hAnsi="Tahoma" w:cs="Tahoma"/>
                <w:sz w:val="22"/>
                <w:szCs w:val="22"/>
              </w:rPr>
            </w:pPr>
            <w:r>
              <w:rPr>
                <w:rFonts w:ascii="Tahoma" w:hAnsi="Tahoma" w:cs="Tahoma"/>
                <w:sz w:val="22"/>
                <w:szCs w:val="22"/>
              </w:rPr>
              <w:t>7</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6D7F3F">
            <w:pPr>
              <w:snapToGrid w:val="0"/>
              <w:jc w:val="right"/>
              <w:rPr>
                <w:rFonts w:ascii="Tahoma" w:hAnsi="Tahoma" w:cs="Tahoma"/>
                <w:sz w:val="22"/>
                <w:szCs w:val="22"/>
              </w:rPr>
            </w:pPr>
            <w:r>
              <w:rPr>
                <w:rFonts w:ascii="Tahoma" w:hAnsi="Tahoma" w:cs="Tahoma"/>
                <w:sz w:val="22"/>
                <w:szCs w:val="22"/>
              </w:rPr>
              <w:t>1</w:t>
            </w:r>
          </w:p>
        </w:tc>
        <w:tc>
          <w:tcPr>
            <w:tcW w:w="280" w:type="dxa"/>
            <w:tcBorders>
              <w:top w:val="single" w:sz="4" w:space="0" w:color="000000"/>
              <w:left w:val="single" w:sz="4" w:space="0" w:color="000000"/>
              <w:bottom w:val="single" w:sz="4" w:space="0" w:color="000000"/>
            </w:tcBorders>
            <w:shd w:val="clear" w:color="auto" w:fill="auto"/>
            <w:vAlign w:val="center"/>
          </w:tcPr>
          <w:p w:rsidR="00C3744A" w:rsidRDefault="0043106A">
            <w:pPr>
              <w:snapToGrid w:val="0"/>
              <w:jc w:val="right"/>
              <w:rPr>
                <w:rFonts w:ascii="Tahoma" w:hAnsi="Tahoma" w:cs="Tahoma"/>
                <w:sz w:val="22"/>
                <w:szCs w:val="22"/>
              </w:rPr>
            </w:pPr>
            <w:r>
              <w:rPr>
                <w:rFonts w:ascii="Tahoma" w:hAnsi="Tahoma" w:cs="Tahoma"/>
                <w:sz w:val="22"/>
                <w:szCs w:val="22"/>
              </w:rPr>
              <w:t>6</w:t>
            </w:r>
          </w:p>
        </w:tc>
        <w:tc>
          <w:tcPr>
            <w:tcW w:w="280" w:type="dxa"/>
            <w:tcBorders>
              <w:top w:val="single" w:sz="4" w:space="0" w:color="000000"/>
              <w:left w:val="single" w:sz="4" w:space="0" w:color="000000"/>
              <w:bottom w:val="single" w:sz="4" w:space="0" w:color="000000"/>
            </w:tcBorders>
            <w:vAlign w:val="center"/>
          </w:tcPr>
          <w:p w:rsidR="00C3744A" w:rsidRDefault="006D7F3F">
            <w:pPr>
              <w:snapToGrid w:val="0"/>
              <w:jc w:val="right"/>
              <w:rPr>
                <w:rFonts w:ascii="Tahoma" w:hAnsi="Tahoma" w:cs="Tahoma"/>
                <w:sz w:val="22"/>
                <w:szCs w:val="22"/>
              </w:rPr>
            </w:pPr>
            <w:r>
              <w:rPr>
                <w:rFonts w:ascii="Tahoma" w:hAnsi="Tahoma" w:cs="Tahoma"/>
                <w:sz w:val="22"/>
                <w:szCs w:val="22"/>
              </w:rPr>
              <w:t>7</w:t>
            </w:r>
          </w:p>
        </w:tc>
        <w:tc>
          <w:tcPr>
            <w:tcW w:w="280" w:type="dxa"/>
            <w:tcBorders>
              <w:top w:val="single" w:sz="4" w:space="0" w:color="000000"/>
              <w:left w:val="single" w:sz="4" w:space="0" w:color="000000"/>
              <w:bottom w:val="single" w:sz="4" w:space="0" w:color="000000"/>
            </w:tcBorders>
            <w:vAlign w:val="center"/>
          </w:tcPr>
          <w:p w:rsidR="00C3744A" w:rsidRDefault="006D7F3F">
            <w:pPr>
              <w:snapToGrid w:val="0"/>
              <w:jc w:val="right"/>
              <w:rPr>
                <w:rFonts w:ascii="Tahoma" w:hAnsi="Tahoma" w:cs="Tahoma"/>
                <w:sz w:val="22"/>
                <w:szCs w:val="22"/>
              </w:rPr>
            </w:pPr>
            <w:r>
              <w:rPr>
                <w:rFonts w:ascii="Tahoma" w:hAnsi="Tahoma" w:cs="Tahoma"/>
                <w:sz w:val="22"/>
                <w:szCs w:val="22"/>
              </w:rPr>
              <w:t>0</w:t>
            </w:r>
          </w:p>
        </w:tc>
        <w:tc>
          <w:tcPr>
            <w:tcW w:w="290" w:type="dxa"/>
            <w:tcBorders>
              <w:top w:val="single" w:sz="4" w:space="0" w:color="000000"/>
              <w:left w:val="single" w:sz="4" w:space="0" w:color="000000"/>
              <w:bottom w:val="single" w:sz="4" w:space="0" w:color="000000"/>
              <w:right w:val="single" w:sz="4" w:space="0" w:color="000000"/>
            </w:tcBorders>
            <w:vAlign w:val="center"/>
          </w:tcPr>
          <w:p w:rsidR="00C3744A" w:rsidRDefault="0043106A">
            <w:pPr>
              <w:snapToGrid w:val="0"/>
              <w:jc w:val="right"/>
              <w:rPr>
                <w:rFonts w:ascii="Tahoma" w:hAnsi="Tahoma" w:cs="Tahoma"/>
                <w:sz w:val="22"/>
                <w:szCs w:val="22"/>
              </w:rPr>
            </w:pPr>
            <w:r>
              <w:rPr>
                <w:rFonts w:ascii="Tahoma" w:hAnsi="Tahoma" w:cs="Tahoma"/>
                <w:sz w:val="22"/>
                <w:szCs w:val="22"/>
              </w:rPr>
              <w:t>8</w:t>
            </w:r>
          </w:p>
        </w:tc>
      </w:tr>
    </w:tbl>
    <w:p w:rsidR="00C3744A" w:rsidRDefault="00C3744A">
      <w:pPr>
        <w:rPr>
          <w:rFonts w:ascii="Arial" w:hAnsi="Arial" w:cs="Arial"/>
          <w:sz w:val="20"/>
          <w:szCs w:val="20"/>
        </w:rPr>
      </w:pPr>
    </w:p>
    <w:p w:rsidR="00C3744A" w:rsidRDefault="00C3744A">
      <w:pPr>
        <w:rPr>
          <w:rFonts w:ascii="Tahoma" w:hAnsi="Tahoma" w:cs="Tahoma"/>
        </w:rPr>
      </w:pPr>
    </w:p>
    <w:p w:rsidR="00C3744A" w:rsidRDefault="001C2B34">
      <w:pPr>
        <w:jc w:val="center"/>
        <w:rPr>
          <w:rFonts w:ascii="Arial" w:hAnsi="Arial" w:cs="Arial"/>
          <w:b/>
          <w:sz w:val="22"/>
          <w:szCs w:val="22"/>
        </w:rPr>
      </w:pPr>
      <w:r>
        <w:rPr>
          <w:rFonts w:ascii="Arial" w:hAnsi="Arial" w:cs="Arial"/>
          <w:b/>
          <w:sz w:val="22"/>
          <w:szCs w:val="22"/>
        </w:rPr>
        <w:t>Čl. I</w:t>
      </w:r>
    </w:p>
    <w:p w:rsidR="00C3744A" w:rsidRDefault="001C2B34">
      <w:pPr>
        <w:jc w:val="center"/>
        <w:rPr>
          <w:rFonts w:ascii="Arial" w:hAnsi="Arial" w:cs="Arial"/>
          <w:b/>
          <w:sz w:val="22"/>
          <w:szCs w:val="22"/>
        </w:rPr>
      </w:pPr>
      <w:r>
        <w:rPr>
          <w:rFonts w:ascii="Arial" w:hAnsi="Arial" w:cs="Arial"/>
          <w:b/>
          <w:sz w:val="22"/>
          <w:szCs w:val="22"/>
        </w:rPr>
        <w:t>Všeobecné údaje</w:t>
      </w:r>
    </w:p>
    <w:p w:rsidR="00C3744A" w:rsidRDefault="00C3744A">
      <w:pPr>
        <w:jc w:val="center"/>
        <w:rPr>
          <w:rFonts w:ascii="Arial" w:hAnsi="Arial" w:cs="Arial"/>
          <w:b/>
          <w:sz w:val="22"/>
          <w:szCs w:val="22"/>
        </w:rPr>
      </w:pPr>
    </w:p>
    <w:p w:rsidR="00C3744A" w:rsidRDefault="001C2B34">
      <w:pPr>
        <w:spacing w:line="360" w:lineRule="auto"/>
        <w:jc w:val="both"/>
        <w:rPr>
          <w:rFonts w:ascii="Arial" w:hAnsi="Arial" w:cs="Arial"/>
          <w:sz w:val="20"/>
          <w:szCs w:val="20"/>
        </w:rPr>
      </w:pPr>
      <w:r>
        <w:rPr>
          <w:rFonts w:ascii="Arial" w:hAnsi="Arial" w:cs="Arial"/>
          <w:sz w:val="20"/>
          <w:szCs w:val="20"/>
        </w:rPr>
        <w:t xml:space="preserve">(1)  Názov a sídlo právnickej osoby: </w:t>
      </w:r>
      <w:r w:rsidR="006D7F3F">
        <w:rPr>
          <w:rFonts w:ascii="Arial" w:hAnsi="Arial" w:cs="Arial"/>
          <w:sz w:val="20"/>
          <w:szCs w:val="20"/>
        </w:rPr>
        <w:t>BEREX</w:t>
      </w:r>
      <w:r>
        <w:rPr>
          <w:rFonts w:ascii="Arial" w:hAnsi="Arial" w:cs="Arial"/>
          <w:sz w:val="20"/>
          <w:szCs w:val="20"/>
        </w:rPr>
        <w:t xml:space="preserve"> s.r.o.,</w:t>
      </w:r>
      <w:r w:rsidR="006D7F3F">
        <w:rPr>
          <w:rFonts w:ascii="Arial" w:hAnsi="Arial" w:cs="Arial"/>
          <w:sz w:val="20"/>
          <w:szCs w:val="20"/>
        </w:rPr>
        <w:t>Ražná 17</w:t>
      </w:r>
      <w:r w:rsidR="0043106A">
        <w:rPr>
          <w:rFonts w:ascii="Arial" w:hAnsi="Arial" w:cs="Arial"/>
          <w:sz w:val="20"/>
          <w:szCs w:val="20"/>
        </w:rPr>
        <w:t xml:space="preserve"> </w:t>
      </w:r>
      <w:r>
        <w:rPr>
          <w:rFonts w:ascii="Arial" w:hAnsi="Arial" w:cs="Arial"/>
          <w:sz w:val="20"/>
          <w:szCs w:val="20"/>
        </w:rPr>
        <w:t xml:space="preserve"> , 040 01 Košice</w:t>
      </w:r>
    </w:p>
    <w:p w:rsidR="00C3744A" w:rsidRDefault="001C2B34">
      <w:pPr>
        <w:spacing w:line="360" w:lineRule="auto"/>
        <w:jc w:val="both"/>
        <w:rPr>
          <w:rFonts w:ascii="Arial" w:hAnsi="Arial" w:cs="Arial"/>
          <w:sz w:val="20"/>
          <w:szCs w:val="20"/>
        </w:rPr>
      </w:pPr>
      <w:r>
        <w:rPr>
          <w:rFonts w:ascii="Arial" w:hAnsi="Arial" w:cs="Arial"/>
          <w:sz w:val="20"/>
          <w:szCs w:val="20"/>
        </w:rPr>
        <w:t>(2)  Účtovná jednotka nie je súčasťou konsolidovaného celku</w:t>
      </w:r>
    </w:p>
    <w:p w:rsidR="00C3744A" w:rsidRDefault="001C2B34">
      <w:pPr>
        <w:spacing w:line="360" w:lineRule="auto"/>
        <w:jc w:val="both"/>
        <w:rPr>
          <w:rFonts w:ascii="Arial" w:hAnsi="Arial" w:cs="Arial"/>
          <w:sz w:val="20"/>
          <w:szCs w:val="20"/>
        </w:rPr>
      </w:pPr>
      <w:r>
        <w:rPr>
          <w:rFonts w:ascii="Arial" w:hAnsi="Arial" w:cs="Arial"/>
          <w:sz w:val="20"/>
          <w:szCs w:val="20"/>
        </w:rPr>
        <w:t>(3)</w:t>
      </w:r>
      <w:r>
        <w:rPr>
          <w:rFonts w:ascii="Arial" w:hAnsi="Arial" w:cs="Arial"/>
          <w:b/>
          <w:sz w:val="20"/>
          <w:szCs w:val="20"/>
        </w:rPr>
        <w:t xml:space="preserve"> </w:t>
      </w:r>
      <w:r>
        <w:rPr>
          <w:rFonts w:ascii="Arial" w:hAnsi="Arial" w:cs="Arial"/>
          <w:sz w:val="20"/>
          <w:szCs w:val="20"/>
        </w:rPr>
        <w:t>Priemerný prepočítaný počet zamestnancov počas účtovného obdobia: 0</w:t>
      </w:r>
    </w:p>
    <w:p w:rsidR="00C3744A" w:rsidRDefault="00C3744A">
      <w:pPr>
        <w:spacing w:line="360" w:lineRule="auto"/>
        <w:jc w:val="both"/>
        <w:rPr>
          <w:rFonts w:ascii="Arial" w:hAnsi="Arial" w:cs="Arial"/>
          <w:b/>
          <w:sz w:val="22"/>
          <w:szCs w:val="22"/>
        </w:rPr>
      </w:pPr>
    </w:p>
    <w:p w:rsidR="00C3744A" w:rsidRDefault="001C2B34">
      <w:pPr>
        <w:spacing w:line="360" w:lineRule="auto"/>
        <w:jc w:val="center"/>
        <w:rPr>
          <w:rFonts w:ascii="Arial" w:hAnsi="Arial" w:cs="Arial"/>
          <w:b/>
          <w:sz w:val="22"/>
          <w:szCs w:val="22"/>
        </w:rPr>
      </w:pPr>
      <w:r>
        <w:rPr>
          <w:rFonts w:ascii="Arial" w:hAnsi="Arial" w:cs="Arial"/>
          <w:b/>
          <w:sz w:val="22"/>
          <w:szCs w:val="22"/>
        </w:rPr>
        <w:t>Čl. II</w:t>
      </w:r>
    </w:p>
    <w:p w:rsidR="00C3744A" w:rsidRDefault="001C2B34">
      <w:pPr>
        <w:spacing w:line="360" w:lineRule="auto"/>
        <w:jc w:val="center"/>
        <w:rPr>
          <w:rFonts w:ascii="Arial" w:hAnsi="Arial" w:cs="Arial"/>
          <w:b/>
          <w:sz w:val="22"/>
          <w:szCs w:val="22"/>
        </w:rPr>
      </w:pPr>
      <w:r>
        <w:rPr>
          <w:rFonts w:ascii="Arial" w:hAnsi="Arial" w:cs="Arial"/>
          <w:b/>
          <w:sz w:val="22"/>
          <w:szCs w:val="22"/>
        </w:rPr>
        <w:t>Informácie o prijatých postupoch</w:t>
      </w:r>
    </w:p>
    <w:p w:rsidR="00C3744A" w:rsidRDefault="00C3744A">
      <w:pPr>
        <w:spacing w:line="360" w:lineRule="auto"/>
        <w:jc w:val="center"/>
        <w:rPr>
          <w:rFonts w:ascii="Arial" w:hAnsi="Arial" w:cs="Arial"/>
          <w:b/>
          <w:sz w:val="22"/>
          <w:szCs w:val="22"/>
        </w:rPr>
      </w:pPr>
    </w:p>
    <w:p w:rsidR="00C3744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(1)  Účtovná závierka bola zostavená za splnenia predpokladu, že účtovná jednotka bude nepretržite pokračovať vo svojej činnosti.</w:t>
      </w:r>
    </w:p>
    <w:p w:rsidR="00C3744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Spôsob oceňovania jednotlivých položiek majetku a záväzkov v členení na:</w:t>
      </w:r>
    </w:p>
    <w:p w:rsidR="00C3744A"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a) Dlhodobý hmotný majetok obstaraný kúpou – cenou obstarania</w:t>
      </w:r>
    </w:p>
    <w:p w:rsidR="00C3744A"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b) Zásoby obstarané kúpou – cenou obstarania</w:t>
      </w:r>
    </w:p>
    <w:p w:rsidR="00C3744A"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c) Pohľadávky – menovitou hodnotou</w:t>
      </w:r>
    </w:p>
    <w:p w:rsidR="00C3744A"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d) Krátkodobý finančný majetok – tvoria peňažné prostriedky v pokladni a na učte v banke – menovitou hodnotou</w:t>
      </w:r>
    </w:p>
    <w:p w:rsidR="00C3744A"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e) záväzky vrátane rezerv, dlhopisov, pôžičiek a úverov – menovitou hodnotou</w:t>
      </w:r>
    </w:p>
    <w:p w:rsidR="00C3744A" w:rsidRDefault="001C2B34">
      <w:pPr>
        <w:spacing w:line="360" w:lineRule="auto"/>
        <w:ind w:left="360" w:hanging="360"/>
        <w:jc w:val="both"/>
        <w:rPr>
          <w:rFonts w:ascii="Arial" w:hAnsi="Arial" w:cs="Arial"/>
          <w:sz w:val="20"/>
          <w:szCs w:val="20"/>
        </w:rPr>
      </w:pPr>
      <w:r>
        <w:rPr>
          <w:rFonts w:ascii="Arial" w:hAnsi="Arial" w:cs="Arial"/>
          <w:sz w:val="20"/>
          <w:szCs w:val="20"/>
          <w:lang w:val="sk-SK"/>
        </w:rPr>
        <w:t>(3)</w:t>
      </w:r>
      <w:r>
        <w:rPr>
          <w:rFonts w:ascii="Arial" w:hAnsi="Arial" w:cs="Arial"/>
          <w:sz w:val="20"/>
          <w:szCs w:val="20"/>
        </w:rPr>
        <w:t xml:space="preserve">  Spôsob zostavenia odpisového plánu:  Účtovná jednotka zostavuje odpisový plán dlhodobého majetku,  na základe ktorého vykonáva odpisovanie majetku. Dlhodobý hmotný majetok účtovná jednotka odpisuje počas  predpokladanej  doby používania zodpovedajúcej spotrebe budúcich ekonomických úžitkov majetku. Tento majetok odpisuje do výšky ocenenia v účtovníctve.  </w:t>
      </w:r>
      <w:r w:rsidR="006D7F3F">
        <w:rPr>
          <w:rFonts w:ascii="Arial" w:hAnsi="Arial" w:cs="Arial"/>
          <w:sz w:val="20"/>
          <w:szCs w:val="20"/>
        </w:rPr>
        <w:t>-nemá</w:t>
      </w:r>
    </w:p>
    <w:p w:rsidR="00C3744A" w:rsidRDefault="001C2B34">
      <w:pPr>
        <w:spacing w:line="360" w:lineRule="auto"/>
        <w:ind w:left="360"/>
        <w:jc w:val="both"/>
        <w:rPr>
          <w:rFonts w:ascii="Arial" w:hAnsi="Arial" w:cs="Arial"/>
          <w:sz w:val="20"/>
          <w:szCs w:val="20"/>
        </w:rPr>
      </w:pPr>
      <w:r>
        <w:rPr>
          <w:rFonts w:ascii="Arial" w:hAnsi="Arial" w:cs="Arial"/>
          <w:sz w:val="20"/>
          <w:szCs w:val="20"/>
        </w:rPr>
        <w:tab/>
      </w:r>
    </w:p>
    <w:p w:rsidR="00C3744A" w:rsidRDefault="001C2B34">
      <w:pPr>
        <w:autoSpaceDE w:val="0"/>
        <w:spacing w:line="360" w:lineRule="auto"/>
        <w:ind w:left="360" w:hanging="360"/>
        <w:jc w:val="both"/>
        <w:rPr>
          <w:rFonts w:ascii="Arial" w:hAnsi="Arial" w:cs="Arial"/>
          <w:sz w:val="20"/>
          <w:szCs w:val="20"/>
        </w:rPr>
      </w:pPr>
      <w:r>
        <w:rPr>
          <w:rFonts w:ascii="Arial" w:hAnsi="Arial" w:cs="Arial"/>
          <w:sz w:val="20"/>
          <w:szCs w:val="20"/>
          <w:lang w:val="sk-SK"/>
        </w:rPr>
        <w:t>(4) Zmeny účtovných zásad a zmeny účtovných metód nenastali.</w:t>
      </w:r>
      <w:r>
        <w:rPr>
          <w:rFonts w:ascii="Arial" w:hAnsi="Arial" w:cs="Arial"/>
          <w:sz w:val="20"/>
          <w:szCs w:val="20"/>
        </w:rPr>
        <w:t xml:space="preserve"> </w:t>
      </w:r>
    </w:p>
    <w:p w:rsidR="00C3744A" w:rsidRDefault="001C2B34">
      <w:pPr>
        <w:spacing w:line="360" w:lineRule="auto"/>
        <w:ind w:left="360" w:hanging="360"/>
        <w:jc w:val="both"/>
        <w:rPr>
          <w:rFonts w:ascii="Arial" w:hAnsi="Arial" w:cs="Arial"/>
          <w:sz w:val="20"/>
          <w:szCs w:val="20"/>
        </w:rPr>
      </w:pPr>
      <w:r>
        <w:rPr>
          <w:rFonts w:ascii="Arial" w:hAnsi="Arial" w:cs="Arial"/>
          <w:sz w:val="20"/>
          <w:szCs w:val="20"/>
        </w:rPr>
        <w:t>(5)  Dotácie  poskytnuté na obstaranie majetku a ich ocenenia: nemá</w:t>
      </w:r>
    </w:p>
    <w:p w:rsidR="00C3744A" w:rsidRDefault="001C2B34">
      <w:pPr>
        <w:spacing w:line="360" w:lineRule="auto"/>
        <w:ind w:left="360" w:hanging="360"/>
        <w:jc w:val="both"/>
        <w:rPr>
          <w:rFonts w:ascii="Arial" w:hAnsi="Arial" w:cs="Arial"/>
          <w:sz w:val="20"/>
          <w:szCs w:val="20"/>
        </w:rPr>
      </w:pPr>
      <w:r>
        <w:rPr>
          <w:rFonts w:ascii="Arial" w:hAnsi="Arial" w:cs="Arial"/>
          <w:sz w:val="20"/>
          <w:szCs w:val="20"/>
        </w:rPr>
        <w:t>(6)  Účtovanie významných a nevýznamných chýb minulých účtovných období:  nie je</w:t>
      </w:r>
    </w:p>
    <w:p w:rsidR="00C3744A" w:rsidRDefault="00C3744A">
      <w:pPr>
        <w:spacing w:line="360" w:lineRule="auto"/>
        <w:ind w:left="360" w:hanging="360"/>
        <w:jc w:val="both"/>
        <w:rPr>
          <w:rFonts w:ascii="Arial" w:hAnsi="Arial" w:cs="Arial"/>
          <w:sz w:val="20"/>
          <w:szCs w:val="20"/>
        </w:rPr>
      </w:pPr>
    </w:p>
    <w:p w:rsidR="00C3744A" w:rsidRDefault="001C2B34">
      <w:pPr>
        <w:jc w:val="center"/>
        <w:rPr>
          <w:rFonts w:ascii="Arial" w:hAnsi="Arial" w:cs="Arial"/>
          <w:b/>
          <w:sz w:val="22"/>
          <w:szCs w:val="22"/>
        </w:rPr>
      </w:pPr>
      <w:r>
        <w:rPr>
          <w:rFonts w:ascii="Arial" w:hAnsi="Arial" w:cs="Arial"/>
          <w:b/>
          <w:sz w:val="22"/>
          <w:szCs w:val="22"/>
        </w:rPr>
        <w:t>Čl. III</w:t>
      </w:r>
    </w:p>
    <w:p w:rsidR="00C3744A" w:rsidRDefault="001C2B34">
      <w:pPr>
        <w:autoSpaceDE w:val="0"/>
        <w:spacing w:line="360" w:lineRule="auto"/>
        <w:jc w:val="center"/>
        <w:rPr>
          <w:rFonts w:ascii="Arial" w:hAnsi="Arial" w:cs="Arial"/>
          <w:b/>
          <w:sz w:val="22"/>
          <w:szCs w:val="22"/>
          <w:lang w:val="sk-SK"/>
        </w:rPr>
      </w:pPr>
      <w:r>
        <w:rPr>
          <w:rFonts w:ascii="Arial" w:hAnsi="Arial" w:cs="Arial"/>
          <w:b/>
          <w:sz w:val="22"/>
          <w:szCs w:val="22"/>
          <w:lang w:val="sk-SK"/>
        </w:rPr>
        <w:t>Informácie ktoré vysvetľujú a dopĺňajú súvahu a výkaz ziskov a strát</w:t>
      </w:r>
    </w:p>
    <w:p w:rsidR="00C3744A" w:rsidRDefault="00C3744A">
      <w:pPr>
        <w:autoSpaceDE w:val="0"/>
        <w:spacing w:line="360" w:lineRule="auto"/>
        <w:jc w:val="center"/>
        <w:rPr>
          <w:rFonts w:ascii="Arial" w:hAnsi="Arial" w:cs="Arial"/>
          <w:b/>
          <w:sz w:val="22"/>
          <w:szCs w:val="22"/>
          <w:lang w:val="sk-SK"/>
        </w:rPr>
      </w:pP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 xml:space="preserve">(1) Výnosy a náklady výnimočného rozsahu účtovná jednotka </w:t>
      </w:r>
      <w:r w:rsidR="0043106A">
        <w:rPr>
          <w:rFonts w:ascii="Arial" w:hAnsi="Arial" w:cs="Arial"/>
          <w:sz w:val="20"/>
          <w:szCs w:val="20"/>
          <w:lang w:val="sk-SK"/>
        </w:rPr>
        <w:t>:nemá</w:t>
      </w: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Záväzky so zostatkovou dobou splatnosti dlhšou ako 5 rokov a zabezpečené záväzky účtovná jednotka</w:t>
      </w:r>
      <w:r w:rsidR="0043106A">
        <w:rPr>
          <w:rFonts w:ascii="Arial" w:hAnsi="Arial" w:cs="Arial"/>
          <w:sz w:val="20"/>
          <w:szCs w:val="20"/>
          <w:lang w:val="sk-SK"/>
        </w:rPr>
        <w:t>:nemá</w:t>
      </w:r>
    </w:p>
    <w:p w:rsidR="00C3744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(3) Účtovná jednotka nenadobudla vlastné akcie</w:t>
      </w:r>
    </w:p>
    <w:p w:rsidR="00C3744A" w:rsidRDefault="001C2B34">
      <w:pPr>
        <w:spacing w:line="360" w:lineRule="auto"/>
        <w:ind w:left="360" w:hanging="360"/>
        <w:jc w:val="both"/>
        <w:rPr>
          <w:rFonts w:ascii="Arial" w:hAnsi="Arial" w:cs="Arial"/>
          <w:sz w:val="20"/>
          <w:szCs w:val="20"/>
        </w:rPr>
      </w:pPr>
      <w:r>
        <w:rPr>
          <w:rFonts w:ascii="Arial" w:hAnsi="Arial" w:cs="Arial"/>
          <w:sz w:val="20"/>
          <w:szCs w:val="20"/>
          <w:lang w:val="sk-SK"/>
        </w:rPr>
        <w:t xml:space="preserve">(4) </w:t>
      </w:r>
      <w:r>
        <w:rPr>
          <w:rFonts w:ascii="Arial" w:hAnsi="Arial" w:cs="Arial"/>
          <w:sz w:val="20"/>
          <w:szCs w:val="20"/>
        </w:rPr>
        <w:t xml:space="preserve"> Príjmy a výhody členov štatutárnych orgánov, dozorných orgánov a iných orgánov účtovnej jednotky - nie sú</w:t>
      </w:r>
    </w:p>
    <w:p w:rsidR="00C3744A" w:rsidRDefault="001C2B34">
      <w:pPr>
        <w:spacing w:line="360" w:lineRule="auto"/>
        <w:ind w:left="360" w:hanging="360"/>
        <w:jc w:val="both"/>
        <w:rPr>
          <w:rFonts w:ascii="Arial" w:hAnsi="Arial" w:cs="Arial"/>
          <w:sz w:val="20"/>
          <w:szCs w:val="20"/>
        </w:rPr>
      </w:pPr>
      <w:r>
        <w:rPr>
          <w:rFonts w:ascii="Arial" w:hAnsi="Arial" w:cs="Arial"/>
          <w:sz w:val="20"/>
          <w:szCs w:val="20"/>
        </w:rPr>
        <w:t xml:space="preserve">(5) Informácie o povinnostiach účtovnej jednotky: </w:t>
      </w:r>
      <w:r>
        <w:rPr>
          <w:rFonts w:ascii="Arial" w:hAnsi="Arial" w:cs="Arial"/>
          <w:b/>
          <w:sz w:val="20"/>
          <w:szCs w:val="20"/>
        </w:rPr>
        <w:t xml:space="preserve"> </w:t>
      </w:r>
      <w:r>
        <w:rPr>
          <w:rFonts w:ascii="Arial" w:hAnsi="Arial" w:cs="Arial"/>
          <w:sz w:val="20"/>
          <w:szCs w:val="20"/>
        </w:rPr>
        <w:t>V účtovnej jednotke nenastali významné skutočnosti po dni, ku ktorému sa zostavuje závierka do dňa zostavenia účtovnej závierky.</w:t>
      </w:r>
    </w:p>
    <w:p w:rsidR="00C3744A" w:rsidRDefault="00C3744A">
      <w:pPr>
        <w:spacing w:line="360" w:lineRule="auto"/>
        <w:ind w:left="360" w:firstLine="5400"/>
        <w:jc w:val="both"/>
        <w:rPr>
          <w:rFonts w:ascii="Arial" w:hAnsi="Arial" w:cs="Arial"/>
          <w:sz w:val="20"/>
          <w:szCs w:val="20"/>
        </w:rPr>
      </w:pPr>
    </w:p>
    <w:p w:rsidR="001C2B34" w:rsidRDefault="001C2B34">
      <w:pPr>
        <w:spacing w:line="360" w:lineRule="auto"/>
        <w:ind w:left="360" w:firstLine="5400"/>
        <w:jc w:val="both"/>
      </w:pPr>
    </w:p>
    <w:sectPr w:rsidR="001C2B34" w:rsidSect="00C3744A">
      <w:footerReference w:type="default" r:id="rId6"/>
      <w:pgSz w:w="12240" w:h="15840"/>
      <w:pgMar w:top="680" w:right="567" w:bottom="765" w:left="964" w:header="708" w:footer="709" w:gutter="0"/>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233E" w:rsidRDefault="00F7233E">
      <w:r>
        <w:separator/>
      </w:r>
    </w:p>
  </w:endnote>
  <w:endnote w:type="continuationSeparator" w:id="1">
    <w:p w:rsidR="00F7233E" w:rsidRDefault="00F7233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744A" w:rsidRDefault="00C3744A">
    <w:pPr>
      <w:pStyle w:val="Pta"/>
      <w:ind w:right="360"/>
    </w:pPr>
    <w:r>
      <w:pict>
        <v:shapetype id="_x0000_t202" coordsize="21600,21600" o:spt="202" path="m,l,21600r21600,l21600,xe">
          <v:stroke joinstyle="miter"/>
          <v:path gradientshapeok="t" o:connecttype="rect"/>
        </v:shapetype>
        <v:shape id="_x0000_s1025" type="#_x0000_t202" style="position:absolute;margin-left:577.6pt;margin-top:.05pt;width:6pt;height:13.75pt;z-index:251657728;mso-wrap-distance-left:0;mso-wrap-distance-right:0;mso-position-horizontal-relative:page" stroked="f">
          <v:fill opacity="0" color2="black"/>
          <v:textbox inset="0,0,0,0">
            <w:txbxContent>
              <w:p w:rsidR="00C3744A" w:rsidRDefault="00C3744A">
                <w:pPr>
                  <w:pStyle w:val="Pta"/>
                </w:pPr>
                <w:r>
                  <w:rPr>
                    <w:rStyle w:val="slostrany"/>
                  </w:rPr>
                  <w:fldChar w:fldCharType="begin"/>
                </w:r>
                <w:r w:rsidR="001C2B34">
                  <w:rPr>
                    <w:rStyle w:val="slostrany"/>
                  </w:rPr>
                  <w:instrText xml:space="preserve"> PAGE </w:instrText>
                </w:r>
                <w:r>
                  <w:rPr>
                    <w:rStyle w:val="slostrany"/>
                  </w:rPr>
                  <w:fldChar w:fldCharType="separate"/>
                </w:r>
                <w:r w:rsidR="006D7F3F">
                  <w:rPr>
                    <w:rStyle w:val="slostrany"/>
                    <w:noProof/>
                  </w:rPr>
                  <w:t>6</w:t>
                </w:r>
                <w:r>
                  <w:rPr>
                    <w:rStyle w:val="slostrany"/>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233E" w:rsidRDefault="00F7233E">
      <w:r>
        <w:separator/>
      </w:r>
    </w:p>
  </w:footnote>
  <w:footnote w:type="continuationSeparator" w:id="1">
    <w:p w:rsidR="00F7233E" w:rsidRDefault="00F7233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o:colormenu v:ext="edit" fillcolor="none [4]" strokecolor="none [1]" shadowcolor="none [2]"/>
    </o:shapedefaults>
    <o:shapelayout v:ext="edit">
      <o:idmap v:ext="edit" data="1"/>
    </o:shapelayout>
  </w:hdrShapeDefaults>
  <w:footnotePr>
    <w:footnote w:id="0"/>
    <w:footnote w:id="1"/>
  </w:footnotePr>
  <w:endnotePr>
    <w:endnote w:id="0"/>
    <w:endnote w:id="1"/>
  </w:endnotePr>
  <w:compat/>
  <w:rsids>
    <w:rsidRoot w:val="0043106A"/>
    <w:rsid w:val="001C2B34"/>
    <w:rsid w:val="0043106A"/>
    <w:rsid w:val="005C2BC5"/>
    <w:rsid w:val="006D7F3F"/>
    <w:rsid w:val="00C3744A"/>
    <w:rsid w:val="00F7233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3744A"/>
    <w:pPr>
      <w:suppressAutoHyphens/>
    </w:pPr>
    <w:rPr>
      <w:sz w:val="24"/>
      <w:szCs w:val="24"/>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3z0">
    <w:name w:val="WW8Num3z0"/>
    <w:rsid w:val="00C3744A"/>
    <w:rPr>
      <w:rFonts w:ascii="Times New Roman" w:hAnsi="Times New Roman" w:cs="Times New Roman"/>
      <w:b w:val="0"/>
      <w:bCs w:val="0"/>
      <w:i w:val="0"/>
      <w:iCs w:val="0"/>
      <w:strike w:val="0"/>
      <w:dstrike w:val="0"/>
      <w:sz w:val="24"/>
      <w:szCs w:val="24"/>
    </w:rPr>
  </w:style>
  <w:style w:type="character" w:customStyle="1" w:styleId="WW8Num5z0">
    <w:name w:val="WW8Num5z0"/>
    <w:rsid w:val="00C3744A"/>
    <w:rPr>
      <w:rFonts w:ascii="Times New Roman" w:hAnsi="Times New Roman" w:cs="Times New Roman"/>
      <w:b w:val="0"/>
      <w:bCs w:val="0"/>
      <w:i w:val="0"/>
      <w:iCs w:val="0"/>
      <w:strike w:val="0"/>
      <w:dstrike w:val="0"/>
      <w:position w:val="0"/>
      <w:sz w:val="24"/>
      <w:szCs w:val="24"/>
      <w:vertAlign w:val="baseline"/>
    </w:rPr>
  </w:style>
  <w:style w:type="character" w:customStyle="1" w:styleId="Standardnpsmoodstavce">
    <w:name w:val="Standardní písmo odstavce"/>
    <w:rsid w:val="00C3744A"/>
  </w:style>
  <w:style w:type="character" w:customStyle="1" w:styleId="Znakyprepoznmkupodiarou">
    <w:name w:val="Znaky pre poznámku pod čiarou"/>
    <w:basedOn w:val="Standardnpsmoodstavce"/>
    <w:rsid w:val="00C3744A"/>
    <w:rPr>
      <w:vertAlign w:val="superscript"/>
    </w:rPr>
  </w:style>
  <w:style w:type="character" w:customStyle="1" w:styleId="Znakyprevysvetlivky">
    <w:name w:val="Znaky pre vysvetlivky"/>
    <w:basedOn w:val="Standardnpsmoodstavce"/>
    <w:rsid w:val="00C3744A"/>
    <w:rPr>
      <w:vertAlign w:val="superscript"/>
    </w:rPr>
  </w:style>
  <w:style w:type="character" w:styleId="slostrany">
    <w:name w:val="page number"/>
    <w:basedOn w:val="Standardnpsmoodstavce"/>
    <w:rsid w:val="00C3744A"/>
  </w:style>
  <w:style w:type="character" w:customStyle="1" w:styleId="ValueChar">
    <w:name w:val="Value Char"/>
    <w:basedOn w:val="Standardnpsmoodstavce"/>
    <w:rsid w:val="00C3744A"/>
    <w:rPr>
      <w:rFonts w:ascii="Arial Narrow" w:hAnsi="Arial Narrow"/>
      <w:sz w:val="22"/>
      <w:szCs w:val="24"/>
      <w:lang w:val="sk-SK" w:eastAsia="ar-SA" w:bidi="ar-SA"/>
    </w:rPr>
  </w:style>
  <w:style w:type="paragraph" w:customStyle="1" w:styleId="Nadpis">
    <w:name w:val="Nadpis"/>
    <w:basedOn w:val="Normlny"/>
    <w:next w:val="Zkladntext"/>
    <w:rsid w:val="00C3744A"/>
    <w:pPr>
      <w:keepNext/>
      <w:spacing w:before="240" w:after="120"/>
    </w:pPr>
    <w:rPr>
      <w:rFonts w:ascii="Arial" w:eastAsia="Lucida Sans Unicode" w:hAnsi="Arial" w:cs="Mangal"/>
      <w:sz w:val="28"/>
      <w:szCs w:val="28"/>
    </w:rPr>
  </w:style>
  <w:style w:type="paragraph" w:styleId="Zkladntext">
    <w:name w:val="Body Text"/>
    <w:basedOn w:val="Normlny"/>
    <w:rsid w:val="00C3744A"/>
    <w:pPr>
      <w:spacing w:after="120"/>
    </w:pPr>
  </w:style>
  <w:style w:type="paragraph" w:styleId="Zoznam">
    <w:name w:val="List"/>
    <w:basedOn w:val="Zkladntext"/>
    <w:rsid w:val="00C3744A"/>
    <w:rPr>
      <w:rFonts w:cs="Mangal"/>
    </w:rPr>
  </w:style>
  <w:style w:type="paragraph" w:customStyle="1" w:styleId="Popisok">
    <w:name w:val="Popisok"/>
    <w:basedOn w:val="Normlny"/>
    <w:rsid w:val="00C3744A"/>
    <w:pPr>
      <w:suppressLineNumbers/>
      <w:spacing w:before="120" w:after="120"/>
    </w:pPr>
    <w:rPr>
      <w:rFonts w:cs="Mangal"/>
      <w:i/>
      <w:iCs/>
    </w:rPr>
  </w:style>
  <w:style w:type="paragraph" w:customStyle="1" w:styleId="Index">
    <w:name w:val="Index"/>
    <w:basedOn w:val="Normlny"/>
    <w:rsid w:val="00C3744A"/>
    <w:pPr>
      <w:suppressLineNumbers/>
    </w:pPr>
    <w:rPr>
      <w:rFonts w:cs="Mangal"/>
    </w:rPr>
  </w:style>
  <w:style w:type="paragraph" w:styleId="Textpoznmkypodiarou">
    <w:name w:val="footnote text"/>
    <w:basedOn w:val="Normlny"/>
    <w:rsid w:val="00C3744A"/>
    <w:rPr>
      <w:sz w:val="20"/>
      <w:szCs w:val="20"/>
      <w:lang w:val="sk-SK"/>
    </w:rPr>
  </w:style>
  <w:style w:type="paragraph" w:styleId="Pta">
    <w:name w:val="footer"/>
    <w:basedOn w:val="Normlny"/>
    <w:rsid w:val="00C3744A"/>
    <w:pPr>
      <w:tabs>
        <w:tab w:val="center" w:pos="4536"/>
        <w:tab w:val="right" w:pos="9072"/>
      </w:tabs>
    </w:pPr>
    <w:rPr>
      <w:lang w:val="sk-SK"/>
    </w:rPr>
  </w:style>
  <w:style w:type="paragraph" w:customStyle="1" w:styleId="CharChar1">
    <w:name w:val="Char Char1"/>
    <w:basedOn w:val="Normlny"/>
    <w:rsid w:val="00C3744A"/>
    <w:pPr>
      <w:spacing w:after="160" w:line="240" w:lineRule="exact"/>
    </w:pPr>
    <w:rPr>
      <w:rFonts w:ascii="Tahoma" w:hAnsi="Tahoma" w:cs="Tahoma"/>
      <w:sz w:val="20"/>
      <w:szCs w:val="20"/>
      <w:lang w:val="en-US"/>
    </w:rPr>
  </w:style>
  <w:style w:type="paragraph" w:styleId="Textkoncovejpoznmky">
    <w:name w:val="endnote text"/>
    <w:basedOn w:val="Normlny"/>
    <w:rsid w:val="00C3744A"/>
    <w:rPr>
      <w:sz w:val="20"/>
      <w:szCs w:val="20"/>
    </w:rPr>
  </w:style>
  <w:style w:type="paragraph" w:customStyle="1" w:styleId="TopHeader">
    <w:name w:val="Top Header"/>
    <w:basedOn w:val="Normlny"/>
    <w:rsid w:val="00C3744A"/>
    <w:pPr>
      <w:jc w:val="center"/>
    </w:pPr>
    <w:rPr>
      <w:rFonts w:ascii="Arial Narrow" w:hAnsi="Arial Narrow"/>
      <w:b/>
      <w:bCs/>
      <w:sz w:val="22"/>
      <w:szCs w:val="22"/>
      <w:lang w:val="sk-SK"/>
    </w:rPr>
  </w:style>
  <w:style w:type="paragraph" w:customStyle="1" w:styleId="Value">
    <w:name w:val="Value"/>
    <w:basedOn w:val="Normlny"/>
    <w:rsid w:val="00C3744A"/>
    <w:pPr>
      <w:jc w:val="right"/>
    </w:pPr>
    <w:rPr>
      <w:rFonts w:ascii="Arial Narrow" w:hAnsi="Arial Narrow"/>
      <w:sz w:val="22"/>
      <w:lang w:val="sk-SK"/>
    </w:rPr>
  </w:style>
  <w:style w:type="paragraph" w:styleId="Textbubliny">
    <w:name w:val="Balloon Text"/>
    <w:basedOn w:val="Normlny"/>
    <w:rsid w:val="00C3744A"/>
    <w:rPr>
      <w:rFonts w:ascii="Tahoma" w:hAnsi="Tahoma" w:cs="Tahoma"/>
      <w:sz w:val="16"/>
      <w:szCs w:val="16"/>
    </w:rPr>
  </w:style>
  <w:style w:type="paragraph" w:customStyle="1" w:styleId="Obsahtabuky">
    <w:name w:val="Obsah tabuľky"/>
    <w:basedOn w:val="Normlny"/>
    <w:rsid w:val="00C3744A"/>
    <w:pPr>
      <w:suppressLineNumbers/>
    </w:pPr>
  </w:style>
  <w:style w:type="paragraph" w:customStyle="1" w:styleId="Nadpistabuky">
    <w:name w:val="Nadpis tabuľky"/>
    <w:basedOn w:val="Obsahtabuky"/>
    <w:rsid w:val="00C3744A"/>
    <w:pPr>
      <w:jc w:val="center"/>
    </w:pPr>
    <w:rPr>
      <w:b/>
      <w:bCs/>
    </w:rPr>
  </w:style>
  <w:style w:type="paragraph" w:customStyle="1" w:styleId="Obsahrmca">
    <w:name w:val="Obsah rámca"/>
    <w:basedOn w:val="Zkladntext"/>
    <w:rsid w:val="00C3744A"/>
  </w:style>
  <w:style w:type="paragraph" w:styleId="Hlavika">
    <w:name w:val="header"/>
    <w:basedOn w:val="Normlny"/>
    <w:rsid w:val="00C3744A"/>
    <w:pPr>
      <w:suppressLineNumbers/>
      <w:tabs>
        <w:tab w:val="center" w:pos="4819"/>
        <w:tab w:val="right" w:pos="9638"/>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306</Words>
  <Characters>1747</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Slavka</dc:creator>
  <cp:lastModifiedBy>Používateľ systému Windows</cp:lastModifiedBy>
  <cp:revision>2</cp:revision>
  <cp:lastPrinted>2015-03-05T16:55:00Z</cp:lastPrinted>
  <dcterms:created xsi:type="dcterms:W3CDTF">2018-05-09T13:54:00Z</dcterms:created>
  <dcterms:modified xsi:type="dcterms:W3CDTF">2018-05-09T13:54:00Z</dcterms:modified>
</cp:coreProperties>
</file>