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267" w:rsidRDefault="00E10945">
      <w:pPr>
        <w:ind w:left="3180"/>
        <w:rPr>
          <w:sz w:val="20"/>
          <w:szCs w:val="20"/>
        </w:rPr>
      </w:pPr>
      <w:bookmarkStart w:id="0" w:name="page1"/>
      <w:bookmarkEnd w:id="0"/>
      <w:r>
        <w:rPr>
          <w:rFonts w:eastAsia="Times New Roman"/>
          <w:i/>
          <w:iCs/>
          <w:sz w:val="24"/>
          <w:szCs w:val="24"/>
        </w:rPr>
        <w:t>Materská škola Kysucký Lieskovec č. 309</w:t>
      </w:r>
    </w:p>
    <w:p w:rsidR="000C6267" w:rsidRDefault="000C6267">
      <w:pPr>
        <w:spacing w:line="2" w:lineRule="exact"/>
        <w:rPr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4220"/>
        <w:gridCol w:w="560"/>
        <w:gridCol w:w="5480"/>
      </w:tblGrid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0260" w:type="dxa"/>
            <w:gridSpan w:val="3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Poznámky individuálnej účtovnej závierky zostavenej k 31. decembru 201</w:t>
            </w:r>
            <w:r w:rsidR="004A0DBE">
              <w:rPr>
                <w:rFonts w:eastAsia="Times New Roman"/>
                <w:sz w:val="24"/>
                <w:szCs w:val="24"/>
              </w:rPr>
              <w:t>7</w:t>
            </w:r>
          </w:p>
        </w:tc>
      </w:tr>
      <w:tr w:rsidR="000C6267">
        <w:trPr>
          <w:trHeight w:val="2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</w:tr>
      <w:tr w:rsidR="000C6267">
        <w:trPr>
          <w:trHeight w:val="63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0260" w:type="dxa"/>
            <w:gridSpan w:val="3"/>
            <w:vAlign w:val="bottom"/>
          </w:tcPr>
          <w:p w:rsidR="000C6267" w:rsidRDefault="00E10945" w:rsidP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36"/>
                <w:szCs w:val="36"/>
              </w:rPr>
              <w:t>Poznámky k 31.12.201</w:t>
            </w:r>
            <w:r w:rsidR="004A0DBE">
              <w:rPr>
                <w:rFonts w:eastAsia="Times New Roman"/>
                <w:b/>
                <w:bCs/>
                <w:w w:val="99"/>
                <w:sz w:val="36"/>
                <w:szCs w:val="36"/>
              </w:rPr>
              <w:t>7</w:t>
            </w:r>
          </w:p>
        </w:tc>
      </w:tr>
      <w:tr w:rsidR="000C6267">
        <w:trPr>
          <w:trHeight w:val="55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Čl. I</w:t>
            </w:r>
          </w:p>
        </w:tc>
      </w:tr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040" w:type="dxa"/>
            <w:gridSpan w:val="2"/>
            <w:vAlign w:val="bottom"/>
          </w:tcPr>
          <w:p w:rsidR="000C6267" w:rsidRDefault="00E10945">
            <w:pPr>
              <w:ind w:right="4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Všeobecné údaje</w:t>
            </w:r>
          </w:p>
        </w:tc>
      </w:tr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1. Identifikačné údaje účtovnej jednotky</w:t>
            </w: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Materská škola</w:t>
            </w:r>
          </w:p>
        </w:tc>
      </w:tr>
      <w:tr w:rsidR="000C6267">
        <w:trPr>
          <w:trHeight w:val="26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023 34 Kysucký Lieskovec č. 309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IČO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37812769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Dátum zriadenia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30. 6. 2002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Spôsob zriadenia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Zriaďovacia listina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zriaďovateľa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Obec Kysucký Lieskovec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zriaďovateľa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023 34 Kysucký Lieskovec č. 29</w:t>
            </w:r>
          </w:p>
        </w:tc>
      </w:tr>
      <w:tr w:rsidR="000C6267">
        <w:trPr>
          <w:trHeight w:val="264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Právny dôvod na zostavenie účtovnej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riadna</w:t>
            </w:r>
          </w:p>
        </w:tc>
      </w:tr>
      <w:tr w:rsidR="000C6267">
        <w:trPr>
          <w:trHeight w:val="284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závierky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mimoriadna</w:t>
            </w:r>
          </w:p>
        </w:tc>
      </w:tr>
      <w:tr w:rsidR="000C6267">
        <w:trPr>
          <w:trHeight w:val="25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Účtovná jednotka je súčasťou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0C6267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konsolidovaného celku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d)Účtovná jednotka je súčasťou súhrnného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0C6267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celku verejnej správy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0C6267">
        <w:trPr>
          <w:trHeight w:val="54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 Opis činnosti účtovnej jednotky</w:t>
            </w: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Predprimárne vzdelávanie</w:t>
            </w:r>
          </w:p>
        </w:tc>
      </w:tr>
    </w:tbl>
    <w:p w:rsidR="000C6267" w:rsidRDefault="00E10945">
      <w:pPr>
        <w:spacing w:line="271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4720" behindDoc="1" locked="0" layoutInCell="0" allowOverlap="1">
            <wp:simplePos x="0" y="0"/>
            <wp:positionH relativeFrom="column">
              <wp:posOffset>3136265</wp:posOffset>
            </wp:positionH>
            <wp:positionV relativeFrom="paragraph">
              <wp:posOffset>-1778000</wp:posOffset>
            </wp:positionV>
            <wp:extent cx="155575" cy="104394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1043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Informácie o štatutárnych zástupcoch a o organizačnej štruktúre účtovnej jednotky</w:t>
      </w:r>
    </w:p>
    <w:p w:rsidR="000C6267" w:rsidRDefault="000C6267">
      <w:pPr>
        <w:spacing w:line="261" w:lineRule="exact"/>
        <w:rPr>
          <w:sz w:val="24"/>
          <w:szCs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800"/>
        <w:gridCol w:w="5500"/>
      </w:tblGrid>
      <w:tr w:rsidR="000C6267">
        <w:trPr>
          <w:trHeight w:val="276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Bc. Katarína Králiková</w:t>
            </w:r>
          </w:p>
        </w:tc>
      </w:tr>
      <w:tr w:rsidR="000C6267">
        <w:trPr>
          <w:trHeight w:val="28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riaditeľka</w:t>
            </w:r>
          </w:p>
        </w:tc>
      </w:tr>
      <w:tr w:rsidR="000C6267">
        <w:trPr>
          <w:trHeight w:val="260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Božena Koprnová</w:t>
            </w: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zástupkyňa</w:t>
            </w: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Priemerný počet zamestnancov počas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11</w:t>
            </w: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účtovného obdobia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Počet zamestnancov ku dňu, ku ktorému sa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11</w:t>
            </w:r>
          </w:p>
        </w:tc>
      </w:tr>
      <w:tr w:rsidR="000C626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zostavuje účtovná závierka účtovnej jednotky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toho: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počet vedúcich zamestnancov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</w:t>
            </w:r>
          </w:p>
        </w:tc>
      </w:tr>
      <w:tr w:rsidR="000C6267">
        <w:trPr>
          <w:trHeight w:val="266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rozpočtové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8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príspevkové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8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neziskové organizácie založené/zriadené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účtovnou 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3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právnické osoby založené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500" w:bottom="361" w:left="1100" w:header="0" w:footer="0" w:gutter="0"/>
          <w:cols w:space="708" w:equalWidth="0">
            <w:col w:w="10300"/>
          </w:cols>
        </w:sect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374" w:lineRule="exact"/>
        <w:rPr>
          <w:sz w:val="24"/>
          <w:szCs w:val="24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" w:name="page2"/>
      <w:bookmarkEnd w:id="1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4A0DBE">
        <w:rPr>
          <w:rFonts w:eastAsia="Times New Roman"/>
          <w:sz w:val="24"/>
          <w:szCs w:val="24"/>
        </w:rPr>
        <w:t>7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57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</w:t>
      </w:r>
    </w:p>
    <w:p w:rsidR="000C6267" w:rsidRDefault="00E10945">
      <w:pPr>
        <w:ind w:left="22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účtovných zásadách a účtovných metódach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Účtovná závierka je zostavená za splnenia predpokladu nepretržitého pokračovania účtovnej</w:t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40"/>
        <w:gridCol w:w="3160"/>
        <w:gridCol w:w="800"/>
      </w:tblGrid>
      <w:tr w:rsidR="000C6267">
        <w:trPr>
          <w:trHeight w:val="276"/>
        </w:trPr>
        <w:tc>
          <w:tcPr>
            <w:tcW w:w="50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jednotky vo svojej činnosti</w:t>
            </w:r>
          </w:p>
        </w:tc>
        <w:tc>
          <w:tcPr>
            <w:tcW w:w="3160" w:type="dxa"/>
            <w:vAlign w:val="bottom"/>
          </w:tcPr>
          <w:p w:rsidR="000C6267" w:rsidRDefault="00E10945">
            <w:pPr>
              <w:ind w:left="23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</w:tbl>
    <w:p w:rsidR="000C6267" w:rsidRDefault="00E10945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6768" behindDoc="1" locked="0" layoutInCell="0" allowOverlap="1">
            <wp:simplePos x="0" y="0"/>
            <wp:positionH relativeFrom="column">
              <wp:posOffset>4634230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17792" behindDoc="1" locked="0" layoutInCell="0" allowOverlap="1">
            <wp:simplePos x="0" y="0"/>
            <wp:positionH relativeFrom="column">
              <wp:posOffset>5500370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0C6267">
      <w:pPr>
        <w:spacing w:line="213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"/>
        </w:numPr>
        <w:tabs>
          <w:tab w:val="left" w:pos="300"/>
        </w:tabs>
        <w:ind w:left="300" w:hanging="28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Zmeny účtovných metód a účtovných zásad</w:t>
      </w:r>
    </w:p>
    <w:p w:rsidR="000C6267" w:rsidRDefault="00E10945">
      <w:pPr>
        <w:spacing w:line="235" w:lineRule="auto"/>
        <w:ind w:left="300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Účtovná  jednotka  zmenila  účtovné  metódy,  účtovné  zásady oproti  predchádzajúcemu  účtovnému</w:t>
      </w:r>
    </w:p>
    <w:p w:rsidR="000C6267" w:rsidRDefault="000C6267">
      <w:pPr>
        <w:spacing w:line="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80"/>
        <w:gridCol w:w="2460"/>
        <w:gridCol w:w="2480"/>
        <w:gridCol w:w="1340"/>
        <w:gridCol w:w="1620"/>
      </w:tblGrid>
      <w:tr w:rsidR="000C6267">
        <w:trPr>
          <w:trHeight w:val="276"/>
        </w:trPr>
        <w:tc>
          <w:tcPr>
            <w:tcW w:w="2380" w:type="dxa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obdobiu</w:t>
            </w:r>
          </w:p>
        </w:tc>
        <w:tc>
          <w:tcPr>
            <w:tcW w:w="24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4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340" w:type="dxa"/>
            <w:vAlign w:val="bottom"/>
          </w:tcPr>
          <w:p w:rsidR="000C6267" w:rsidRDefault="00E10945">
            <w:pPr>
              <w:ind w:left="4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1620" w:type="dxa"/>
            <w:vAlign w:val="bottom"/>
          </w:tcPr>
          <w:p w:rsidR="000C6267" w:rsidRDefault="00E10945">
            <w:pPr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nie</w:t>
            </w:r>
          </w:p>
        </w:tc>
      </w:tr>
      <w:tr w:rsidR="000C6267">
        <w:trPr>
          <w:trHeight w:val="515"/>
        </w:trPr>
        <w:tc>
          <w:tcPr>
            <w:tcW w:w="2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Ak áno:</w:t>
            </w:r>
          </w:p>
        </w:tc>
        <w:tc>
          <w:tcPr>
            <w:tcW w:w="24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17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Vplyv zmeny na hodnotu</w:t>
            </w:r>
          </w:p>
        </w:tc>
        <w:tc>
          <w:tcPr>
            <w:tcW w:w="1340" w:type="dxa"/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4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zmeny</w:t>
            </w: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zmeny</w:t>
            </w: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majetku, záväzkov,</w:t>
            </w:r>
          </w:p>
        </w:tc>
        <w:tc>
          <w:tcPr>
            <w:tcW w:w="2960" w:type="dxa"/>
            <w:gridSpan w:val="2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Peňažné vyjadrenie</w:t>
            </w:r>
          </w:p>
        </w:tc>
      </w:tr>
      <w:tr w:rsidR="000C6267">
        <w:trPr>
          <w:trHeight w:val="230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vlastného imania</w:t>
            </w:r>
          </w:p>
        </w:tc>
        <w:tc>
          <w:tcPr>
            <w:tcW w:w="1340" w:type="dxa"/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7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výsledku hospodárenia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E10945">
      <w:pPr>
        <w:spacing w:line="27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8816" behindDoc="1" locked="0" layoutInCell="0" allowOverlap="1">
            <wp:simplePos x="0" y="0"/>
            <wp:positionH relativeFrom="column">
              <wp:posOffset>4733290</wp:posOffset>
            </wp:positionH>
            <wp:positionV relativeFrom="paragraph">
              <wp:posOffset>-1381760</wp:posOffset>
            </wp:positionV>
            <wp:extent cx="140335" cy="14033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19840" behindDoc="1" locked="0" layoutInCell="0" allowOverlap="1">
            <wp:simplePos x="0" y="0"/>
            <wp:positionH relativeFrom="column">
              <wp:posOffset>5600700</wp:posOffset>
            </wp:positionH>
            <wp:positionV relativeFrom="paragraph">
              <wp:posOffset>-1381760</wp:posOffset>
            </wp:positionV>
            <wp:extent cx="140335" cy="14033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80"/>
        <w:gridCol w:w="6120"/>
        <w:gridCol w:w="3880"/>
      </w:tblGrid>
      <w:tr w:rsidR="000C6267">
        <w:trPr>
          <w:trHeight w:val="276"/>
        </w:trPr>
        <w:tc>
          <w:tcPr>
            <w:tcW w:w="28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612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ocenenia jednotlivých položiek</w:t>
            </w:r>
          </w:p>
        </w:tc>
        <w:tc>
          <w:tcPr>
            <w:tcW w:w="38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81"/>
        </w:trPr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3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2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9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oceňovania</w:t>
            </w:r>
          </w:p>
        </w:tc>
      </w:tr>
      <w:tr w:rsidR="000C6267">
        <w:trPr>
          <w:trHeight w:val="263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 dlhodobý nehmotný majetok nakupovaný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dlhodobý hmotný majetok nakupovaný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1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e) dlhodobý nehmotný majetok a dlhodobý hmotný majetok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reprodukčnou obstarávacou cenou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získaný bezodplatne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8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87"/>
                <w:sz w:val="24"/>
                <w:szCs w:val="24"/>
              </w:rPr>
              <w:t>f)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g) zásoby nakupované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h) zásoby vytvorené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6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i)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reprodukčnou obstarávacou cenou</w:t>
            </w:r>
          </w:p>
        </w:tc>
      </w:tr>
      <w:tr w:rsidR="000C6267">
        <w:trPr>
          <w:trHeight w:val="266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j)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pohľadávky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k) krátkodobý finančný majetok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3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l)</w:t>
            </w: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náklady budúcich období a príjmy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m) záväzky, vrátane dlhopisov, pôžičiek a úverov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1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n) rezervy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oceňujú sa v očakávanej výške</w:t>
            </w:r>
          </w:p>
        </w:tc>
      </w:tr>
      <w:tr w:rsidR="000C6267">
        <w:trPr>
          <w:trHeight w:val="284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záväzku</w:t>
            </w:r>
          </w:p>
        </w:tc>
      </w:tr>
      <w:tr w:rsidR="000C6267">
        <w:trPr>
          <w:trHeight w:val="258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o) časové rozlíšenie na strane pasív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výdavky budúcich období a výnosy</w:t>
            </w:r>
          </w:p>
        </w:tc>
      </w:tr>
      <w:tr w:rsidR="000C6267">
        <w:trPr>
          <w:trHeight w:val="277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0C6267">
        <w:trPr>
          <w:trHeight w:val="268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p) deriváty pri nadobudnutí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</w:tbl>
    <w:p w:rsidR="000C6267" w:rsidRDefault="00E55E99">
      <w:pPr>
        <w:spacing w:line="263" w:lineRule="exact"/>
        <w:ind w:left="140"/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7" o:spid="_x0000_s1032" style="position:absolute;left:0;text-align:left;margin-left:513.25pt;margin-top:-84.5pt;width:.95pt;height:1pt;z-index:-251631104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8" o:spid="_x0000_s1033" style="position:absolute;left:0;text-align:left;margin-left:513.25pt;margin-top:-.7pt;width:.95pt;height:.95pt;z-index:-251630080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4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2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2" w:name="page3"/>
      <w:bookmarkEnd w:id="2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4A0DBE">
        <w:rPr>
          <w:rFonts w:eastAsia="Times New Roman"/>
          <w:sz w:val="24"/>
          <w:szCs w:val="24"/>
        </w:rPr>
        <w:t>7</w:t>
      </w:r>
    </w:p>
    <w:p w:rsidR="000C6267" w:rsidRDefault="00E10945">
      <w:pPr>
        <w:spacing w:line="276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086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tabs>
          <w:tab w:val="left" w:pos="280"/>
        </w:tabs>
        <w:spacing w:line="234" w:lineRule="auto"/>
        <w:ind w:left="300" w:hanging="279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Spôsob zostavenia odpisového plánu pre dlhodobý majetok, doba odpisovania, sadzby odpisov a odpisové metódy pri stanovení účtovných odpisov</w:t>
      </w:r>
    </w:p>
    <w:p w:rsidR="000C6267" w:rsidRDefault="000C6267">
      <w:pPr>
        <w:spacing w:line="9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Odpisy dlhodobého nehmotného majetku a dlhodobého hmotného majetku sú stanovené tak, že sa vychádza z predpokladanej doby jeho užívania a predpokladaného priebehu jeho opotrebenia. Odpisovať sa začína: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800"/>
        <w:rPr>
          <w:sz w:val="20"/>
          <w:szCs w:val="20"/>
        </w:rPr>
      </w:pPr>
      <w:r>
        <w:rPr>
          <w:rFonts w:eastAsia="Times New Roman"/>
        </w:rPr>
        <w:t xml:space="preserve">odo </w:t>
      </w:r>
      <w:r>
        <w:rPr>
          <w:rFonts w:eastAsia="Times New Roman"/>
          <w:sz w:val="24"/>
          <w:szCs w:val="24"/>
        </w:rPr>
        <w:t>dňa jeho zaradenia do používania</w:t>
      </w:r>
    </w:p>
    <w:p w:rsidR="000C6267" w:rsidRDefault="00E10945">
      <w:pPr>
        <w:spacing w:line="12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1888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44" w:lineRule="auto"/>
        <w:ind w:left="20" w:right="1340" w:firstLine="44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40335" cy="140335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23"/>
          <w:szCs w:val="23"/>
        </w:rPr>
        <w:t xml:space="preserve"> prvým dňom mesiaca nasledujúceho po uvedení dlhodobého majetku do používania Účtovné odpisy sa zaokrúhľujú na celé eurá nahor. Metóda odpisovania sa používa lineárna.</w:t>
      </w:r>
    </w:p>
    <w:p w:rsidR="000C6267" w:rsidRDefault="00E10945">
      <w:pPr>
        <w:spacing w:line="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2912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-198120</wp:posOffset>
            </wp:positionV>
            <wp:extent cx="140335" cy="889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zaraďuje majetok do odpisových skupín v zmysle zákona č.595/2003 Z.z. o dani z príjmov v z.n.p. Ak účtovná jednotka nemôže zaradiť majetok do 1. - 4. odpisovej skupiny, individuálne prehodnotí odpisový plán konkrétneho majetku podľa špecifických podmienok používania.</w:t>
      </w:r>
    </w:p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00"/>
        <w:gridCol w:w="3060"/>
        <w:gridCol w:w="4180"/>
      </w:tblGrid>
      <w:tr w:rsidR="000C6267">
        <w:trPr>
          <w:trHeight w:val="226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Odpisová skupina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Predpokladaná doba</w:t>
            </w:r>
          </w:p>
        </w:tc>
        <w:tc>
          <w:tcPr>
            <w:tcW w:w="4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Ročná odpisová sadzba</w:t>
            </w:r>
          </w:p>
        </w:tc>
      </w:tr>
      <w:tr w:rsidR="000C6267">
        <w:trPr>
          <w:trHeight w:val="231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používania v rokoch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</w:tr>
      <w:tr w:rsidR="000C6267">
        <w:trPr>
          <w:trHeight w:val="218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1/4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1/6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3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12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1/12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20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1/20</w:t>
            </w:r>
          </w:p>
        </w:tc>
      </w:tr>
      <w:tr w:rsidR="000C6267">
        <w:trPr>
          <w:trHeight w:val="223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Drobný nehmotný majetok od 1 Eur do 2400 €, ktorý podľa rozhodnutia účtovnej jednotky nie je dlhodobým nehmotným majetkom sa účtuje pri obstaraní do nákladov na účet 518 - Ostatné služby. Drobný hmotný majetok od 1 Eur do 1700 €, ktorý podľa rozhodnutia účtovnej jednotky nie je dlhodobým hmotným majetkom sa účtuje na účet 501 – Spotreba materiálu.</w:t>
      </w:r>
    </w:p>
    <w:p w:rsidR="000C6267" w:rsidRDefault="000C6267">
      <w:pPr>
        <w:spacing w:line="280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81" w:lineRule="exact"/>
        <w:rPr>
          <w:sz w:val="20"/>
          <w:szCs w:val="20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40"/>
        <w:gridCol w:w="6880"/>
        <w:gridCol w:w="1540"/>
        <w:gridCol w:w="800"/>
      </w:tblGrid>
      <w:tr w:rsidR="000C6267">
        <w:trPr>
          <w:trHeight w:val="276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5. Zásady pre zohľadnenie zníženia hodnoty majetku.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1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spacing w:line="270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Prechodné zníženie hodnoty majetku sa vyjadruje </w:t>
            </w:r>
            <w:r>
              <w:rPr>
                <w:rFonts w:eastAsia="Times New Roman"/>
                <w:sz w:val="24"/>
                <w:szCs w:val="24"/>
                <w:u w:val="single"/>
              </w:rPr>
              <w:t>opravnou položkou</w:t>
            </w:r>
            <w:r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6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Účtovná jednotka tvorila opravné položky k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odpisovanému dlhodobému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neodpisovanému dlhodobému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nedokončeným investíciám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dlhodobému finančnému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zásobám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pohľadávkam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</w:tbl>
    <w:p w:rsidR="000C6267" w:rsidRDefault="00E10945">
      <w:pPr>
        <w:spacing w:line="28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3936" behindDoc="1" locked="0" layoutInCell="0" allowOverlap="1">
            <wp:simplePos x="0" y="0"/>
            <wp:positionH relativeFrom="column">
              <wp:posOffset>4936490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4960" behindDoc="1" locked="0" layoutInCell="0" allowOverlap="1">
            <wp:simplePos x="0" y="0"/>
            <wp:positionH relativeFrom="column">
              <wp:posOffset>5801995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5984" behindDoc="1" locked="0" layoutInCell="0" allowOverlap="1">
            <wp:simplePos x="0" y="0"/>
            <wp:positionH relativeFrom="column">
              <wp:posOffset>4940935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7008" behindDoc="1" locked="0" layoutInCell="0" allowOverlap="1">
            <wp:simplePos x="0" y="0"/>
            <wp:positionH relativeFrom="column">
              <wp:posOffset>5806440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8032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9056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0080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1104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2128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3152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4176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5200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4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Účtovná jednotka </w:t>
      </w:r>
      <w:r>
        <w:rPr>
          <w:rFonts w:eastAsia="Times New Roman"/>
          <w:sz w:val="24"/>
          <w:szCs w:val="24"/>
          <w:u w:val="single"/>
        </w:rPr>
        <w:t>tvorila opravné položky k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pohľadávkam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v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rámci hlavnej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činnosti,</w:t>
      </w:r>
      <w:r>
        <w:rPr>
          <w:rFonts w:eastAsia="Times New Roman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:rsidR="000C6267" w:rsidRDefault="00E55E99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25" o:spid="_x0000_s1050" style="position:absolute;margin-left:510.6pt;margin-top:.3pt;width:.95pt;height:1pt;z-index:-251629056;visibility:visible;mso-wrap-distance-left:0;mso-wrap-distance-right:0" o:allowincell="f" fillcolor="black" stroked="f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60"/>
        <w:gridCol w:w="1960"/>
        <w:gridCol w:w="6820"/>
      </w:tblGrid>
      <w:tr w:rsidR="000C6267">
        <w:trPr>
          <w:trHeight w:val="271"/>
        </w:trPr>
        <w:tc>
          <w:tcPr>
            <w:tcW w:w="1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70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  <w:tr w:rsidR="000C6267">
        <w:trPr>
          <w:trHeight w:val="268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  <w:tr w:rsidR="000C6267">
        <w:trPr>
          <w:trHeight w:val="266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Účtovná jednotka </w:t>
      </w:r>
      <w:r>
        <w:rPr>
          <w:rFonts w:eastAsia="Times New Roman"/>
          <w:sz w:val="24"/>
          <w:szCs w:val="24"/>
          <w:u w:val="single"/>
        </w:rPr>
        <w:t>tvorila opravné položky k pohľadávkam v rámci podnikateľskej činnosti</w:t>
      </w:r>
      <w:r>
        <w:rPr>
          <w:rFonts w:eastAsia="Times New Roman"/>
          <w:sz w:val="24"/>
          <w:szCs w:val="24"/>
        </w:rPr>
        <w:t>, podľa ustanovenia § 20 zákona č.595/2003 Z.z. o dani z príjmov v z.n.p..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84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3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40"/>
        <w:rPr>
          <w:sz w:val="20"/>
          <w:szCs w:val="20"/>
        </w:rPr>
      </w:pPr>
      <w:bookmarkStart w:id="3" w:name="page4"/>
      <w:bookmarkEnd w:id="3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4A0DBE">
        <w:rPr>
          <w:rFonts w:eastAsia="Times New Roman"/>
          <w:sz w:val="24"/>
          <w:szCs w:val="24"/>
        </w:rPr>
        <w:t>7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6224" behindDoc="1" locked="0" layoutInCell="0" allowOverlap="1">
            <wp:simplePos x="0" y="0"/>
            <wp:positionH relativeFrom="column">
              <wp:posOffset>-22225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6. Zásady pre vykazovanie transferov.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spacing w:line="234" w:lineRule="auto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 nároku na dotácie zo štátneho rozpočtu sa účtuje, ak je takmer isté, že sa splnia všetky podmienky súvisiace s dotáciou a súčasne, že sa dotácia poskytne.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Bežný transfer</w:t>
      </w:r>
    </w:p>
    <w:p w:rsidR="000C6267" w:rsidRDefault="00E10945">
      <w:pPr>
        <w:tabs>
          <w:tab w:val="left" w:pos="660"/>
        </w:tabs>
        <w:spacing w:line="235" w:lineRule="auto"/>
        <w:ind w:left="3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2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výdavkami</w:t>
      </w:r>
    </w:p>
    <w:p w:rsidR="000C6267" w:rsidRDefault="00E10945">
      <w:pPr>
        <w:numPr>
          <w:ilvl w:val="0"/>
          <w:numId w:val="3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</w:t>
      </w:r>
    </w:p>
    <w:p w:rsidR="000C6267" w:rsidRDefault="00E10945">
      <w:pPr>
        <w:numPr>
          <w:ilvl w:val="0"/>
          <w:numId w:val="3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pri poskytnutí transferu</w:t>
      </w:r>
    </w:p>
    <w:p w:rsidR="000C6267" w:rsidRDefault="000C6267">
      <w:pPr>
        <w:spacing w:line="28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Kapitálový transfer</w:t>
      </w:r>
    </w:p>
    <w:p w:rsidR="000C6267" w:rsidRDefault="00E10945">
      <w:pPr>
        <w:numPr>
          <w:ilvl w:val="0"/>
          <w:numId w:val="4"/>
        </w:numPr>
        <w:tabs>
          <w:tab w:val="left" w:pos="680"/>
        </w:tabs>
        <w:spacing w:line="235" w:lineRule="auto"/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 zúčtuje do výnosov  vo vecnej a časovej súvislosti s nákladmi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spacing w:line="234" w:lineRule="auto"/>
        <w:ind w:left="68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(napr. s odpismi, s opravnou položkou, so zostatkovou hodnotou vyradeného dlhodobého majetku).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4"/>
        </w:numPr>
        <w:tabs>
          <w:tab w:val="left" w:pos="680"/>
        </w:tabs>
        <w:spacing w:line="234" w:lineRule="auto"/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 (napr. s odpismi, s opravnou položkou, so zostatkovou hodnotou vyradeného dlhodobého majetku).</w:t>
      </w:r>
    </w:p>
    <w:p w:rsidR="000C6267" w:rsidRDefault="000C6267">
      <w:pPr>
        <w:spacing w:line="2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4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podmienok.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tabs>
          <w:tab w:val="left" w:pos="660"/>
        </w:tabs>
        <w:spacing w:line="234" w:lineRule="auto"/>
        <w:ind w:left="680" w:hanging="35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vo vecnej a časovej súvislosti s nákladmi účtovanými v organizáciách v zriaďovateľskej pôsobnosti obce/mesta.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7. Spôsob prepočtu údajov v cudzích menách na menu euro.</w:t>
      </w:r>
    </w:p>
    <w:p w:rsidR="000C6267" w:rsidRDefault="000C6267">
      <w:pPr>
        <w:spacing w:line="7" w:lineRule="exact"/>
        <w:rPr>
          <w:sz w:val="20"/>
          <w:szCs w:val="20"/>
        </w:rPr>
      </w:pPr>
    </w:p>
    <w:p w:rsidR="000C6267" w:rsidRDefault="00E10945">
      <w:pPr>
        <w:spacing w:line="235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0C6267" w:rsidRDefault="000C6267">
      <w:pPr>
        <w:spacing w:line="15" w:lineRule="exact"/>
        <w:rPr>
          <w:sz w:val="20"/>
          <w:szCs w:val="20"/>
        </w:rPr>
      </w:pPr>
    </w:p>
    <w:p w:rsidR="000C6267" w:rsidRDefault="00E10945">
      <w:pPr>
        <w:spacing w:line="234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ocenenie prírastku cudzej meny nakúpenej za euro sa použije kurz, za ktorý bola táto cudzia mena nakúpená.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ind w:left="478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III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strane aktív súvahy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A Neobežný majetok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2" w:lineRule="auto"/>
        <w:ind w:right="40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1. Dlhodobý nehmotný majetok a dlhodobý hmotný majetok </w:t>
      </w: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prehľad o pohybe dlhodobého majetku</w:t>
      </w:r>
      <w:r>
        <w:rPr>
          <w:rFonts w:eastAsia="Times New Roman"/>
          <w:sz w:val="24"/>
          <w:szCs w:val="24"/>
        </w:rPr>
        <w:t xml:space="preserve"> (tabuľka č.1)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  .............................................................................................................................</w:t>
      </w:r>
    </w:p>
    <w:p w:rsidR="000C6267" w:rsidRDefault="00E10945">
      <w:pPr>
        <w:spacing w:line="239" w:lineRule="auto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40" w:header="0" w:footer="0" w:gutter="0"/>
          <w:cols w:space="708" w:equalWidth="0">
            <w:col w:w="1020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6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4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4" w:name="page5"/>
      <w:bookmarkEnd w:id="4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4A0DBE">
        <w:rPr>
          <w:rFonts w:eastAsia="Times New Roman"/>
          <w:sz w:val="24"/>
          <w:szCs w:val="24"/>
        </w:rPr>
        <w:t>7</w:t>
      </w:r>
    </w:p>
    <w:p w:rsidR="000C6267" w:rsidRDefault="00E10945">
      <w:pPr>
        <w:spacing w:line="25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724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spôsob a výška poistenia</w:t>
      </w:r>
      <w:r>
        <w:rPr>
          <w:rFonts w:eastAsia="Times New Roman"/>
          <w:sz w:val="24"/>
          <w:szCs w:val="24"/>
        </w:rPr>
        <w:t xml:space="preserve"> dlhodobého nehmotného majetku a dlhodobého hmotného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420"/>
        <w:gridCol w:w="5680"/>
      </w:tblGrid>
      <w:tr w:rsidR="000C6267">
        <w:trPr>
          <w:trHeight w:val="229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56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0C6267">
        <w:trPr>
          <w:trHeight w:val="218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DHM –vnútorne zariadenie</w:t>
            </w: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right="24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222,00</w:t>
            </w:r>
          </w:p>
        </w:tc>
      </w:tr>
      <w:tr w:rsidR="000C6267">
        <w:trPr>
          <w:trHeight w:val="224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5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zriadenie záložného práva </w:t>
      </w:r>
      <w:r>
        <w:rPr>
          <w:rFonts w:eastAsia="Times New Roman"/>
          <w:sz w:val="24"/>
          <w:szCs w:val="24"/>
        </w:rPr>
        <w:t>na dlhodobý nehmotný majetok a dlhodobý hmotný majetok alebo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obmedzenie práva nakladať s dlhodobým majetkom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9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00" w:hanging="283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</w:t>
      </w:r>
      <w:r>
        <w:rPr>
          <w:rFonts w:eastAsia="Times New Roman"/>
          <w:b/>
          <w:bCs/>
          <w:sz w:val="24"/>
          <w:szCs w:val="24"/>
        </w:rPr>
        <w:t>opis 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hodnota dlhodobého majetku vo vlastníctve účtovnej jednotky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alebo v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správe účtovnej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jednotky</w:t>
      </w:r>
    </w:p>
    <w:p w:rsidR="000C6267" w:rsidRDefault="00E55E99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28" o:spid="_x0000_s1053" style="position:absolute;margin-left:510.6pt;margin-top:.05pt;width:.95pt;height:1pt;z-index:-251628032;visibility:visible;mso-wrap-distance-left:0;mso-wrap-distance-right:0" o:allowincell="f" fillcolor="black" stroked="f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2180"/>
        <w:gridCol w:w="5000"/>
      </w:tblGrid>
      <w:tr w:rsidR="000C6267">
        <w:trPr>
          <w:trHeight w:val="226"/>
        </w:trPr>
        <w:tc>
          <w:tcPr>
            <w:tcW w:w="3060" w:type="dxa"/>
            <w:tcBorders>
              <w:top w:val="single" w:sz="8" w:space="0" w:color="auto"/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2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8"/>
        </w:trPr>
        <w:tc>
          <w:tcPr>
            <w:tcW w:w="524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ku ktorému 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>má</w:t>
            </w:r>
            <w:r>
              <w:rPr>
                <w:rFonts w:eastAsia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Pozemky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207,00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Budovy, stavby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4A0DBE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18150,51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Stroje, prístroje, zariadenia, inventár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4A0DBE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0,00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Dopravné prostriedky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4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Majetok v správe účtovnej jednotky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/RO,PO/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e) </w:t>
      </w:r>
      <w:r>
        <w:rPr>
          <w:rFonts w:eastAsia="Times New Roman"/>
          <w:b/>
          <w:bCs/>
          <w:sz w:val="24"/>
          <w:szCs w:val="24"/>
        </w:rPr>
        <w:t>opis a hodnota majetku</w:t>
      </w:r>
      <w:r>
        <w:rPr>
          <w:rFonts w:eastAsia="Times New Roman"/>
          <w:sz w:val="24"/>
          <w:szCs w:val="24"/>
        </w:rPr>
        <w:t xml:space="preserve">, ku ktorému účtovná jednotka </w:t>
      </w:r>
      <w:r>
        <w:rPr>
          <w:rFonts w:eastAsia="Times New Roman"/>
          <w:b/>
          <w:bCs/>
          <w:sz w:val="24"/>
          <w:szCs w:val="24"/>
        </w:rPr>
        <w:t>nemá vlastnícke právo</w:t>
      </w:r>
    </w:p>
    <w:p w:rsidR="000C6267" w:rsidRDefault="00E10945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827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6350</wp:posOffset>
            </wp:positionV>
            <wp:extent cx="6489065" cy="906780"/>
            <wp:effectExtent l="0" t="0" r="0" b="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00"/>
        <w:gridCol w:w="120"/>
        <w:gridCol w:w="4980"/>
      </w:tblGrid>
      <w:tr w:rsidR="000C6267">
        <w:trPr>
          <w:trHeight w:val="230"/>
        </w:trPr>
        <w:tc>
          <w:tcPr>
            <w:tcW w:w="500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1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98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</w:tbl>
    <w:p w:rsidR="000C6267" w:rsidRDefault="00E10945">
      <w:pPr>
        <w:spacing w:line="231" w:lineRule="auto"/>
        <w:ind w:left="5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 xml:space="preserve">ku ktorému </w:t>
      </w:r>
      <w:r>
        <w:rPr>
          <w:rFonts w:eastAsia="Times New Roman"/>
          <w:b/>
          <w:bCs/>
          <w:sz w:val="20"/>
          <w:szCs w:val="20"/>
        </w:rPr>
        <w:t>nemá</w:t>
      </w:r>
      <w:r>
        <w:rPr>
          <w:rFonts w:eastAsia="Times New Roman"/>
          <w:sz w:val="20"/>
          <w:szCs w:val="20"/>
        </w:rPr>
        <w:t xml:space="preserve"> účtovná jednotka vlastnícke právo</w:t>
      </w:r>
    </w:p>
    <w:p w:rsidR="000C6267" w:rsidRDefault="000C6267">
      <w:pPr>
        <w:spacing w:line="1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1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Majetok, ktorý využíva účtovná jednotka na základe zmluvy</w:t>
      </w:r>
    </w:p>
    <w:p w:rsidR="000C6267" w:rsidRDefault="00E10945">
      <w:pPr>
        <w:numPr>
          <w:ilvl w:val="1"/>
          <w:numId w:val="6"/>
        </w:numPr>
        <w:tabs>
          <w:tab w:val="left" w:pos="320"/>
        </w:tabs>
        <w:spacing w:line="239" w:lineRule="auto"/>
        <w:ind w:left="320" w:hanging="148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výpožičke</w:t>
      </w:r>
    </w:p>
    <w:p w:rsidR="000C6267" w:rsidRDefault="000C6267">
      <w:pPr>
        <w:spacing w:line="200" w:lineRule="exact"/>
        <w:rPr>
          <w:rFonts w:eastAsia="Times New Roman"/>
          <w:sz w:val="20"/>
          <w:szCs w:val="20"/>
        </w:rPr>
      </w:pPr>
    </w:p>
    <w:p w:rsidR="000C6267" w:rsidRDefault="000C6267">
      <w:pPr>
        <w:spacing w:line="200" w:lineRule="exact"/>
        <w:rPr>
          <w:rFonts w:eastAsia="Times New Roman"/>
          <w:sz w:val="20"/>
          <w:szCs w:val="20"/>
        </w:rPr>
      </w:pPr>
    </w:p>
    <w:p w:rsidR="000C6267" w:rsidRDefault="000C6267">
      <w:pPr>
        <w:spacing w:line="376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7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zvýšenia, zníženia a zrušenia opravných položiek</w:t>
      </w:r>
      <w:r>
        <w:rPr>
          <w:rFonts w:eastAsia="Times New Roman"/>
          <w:sz w:val="24"/>
          <w:szCs w:val="24"/>
        </w:rPr>
        <w:t xml:space="preserve"> k dlhodobému nehmotnému majetku a dlhodobému hmotnému majetku.</w:t>
      </w:r>
    </w:p>
    <w:p w:rsidR="000C6267" w:rsidRDefault="000C6267">
      <w:pPr>
        <w:spacing w:line="268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39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DM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zvýšenie, zníženia a zrušenia OP</w:t>
            </w:r>
          </w:p>
        </w:tc>
      </w:tr>
      <w:tr w:rsidR="000C6267">
        <w:trPr>
          <w:trHeight w:val="221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Dlhodobý finančný majetok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prehľad o pohybe dlhodobého finančného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majetku</w:t>
      </w:r>
      <w:r>
        <w:rPr>
          <w:rFonts w:eastAsia="Times New Roman"/>
          <w:sz w:val="24"/>
          <w:szCs w:val="24"/>
        </w:rPr>
        <w:t xml:space="preserve"> - tabuľka č.1</w:t>
      </w:r>
    </w:p>
    <w:p w:rsidR="000C6267" w:rsidRDefault="00E10945">
      <w:pPr>
        <w:spacing w:line="238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 .............................................................................................................................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opis dôvodov </w:t>
      </w:r>
      <w:r>
        <w:rPr>
          <w:rFonts w:eastAsia="Times New Roman"/>
          <w:b/>
          <w:bCs/>
          <w:sz w:val="24"/>
          <w:szCs w:val="24"/>
        </w:rPr>
        <w:t>zvýšenia, zníženia a zrušenia</w:t>
      </w:r>
      <w:r>
        <w:rPr>
          <w:rFonts w:eastAsia="Times New Roman"/>
          <w:sz w:val="24"/>
          <w:szCs w:val="24"/>
        </w:rPr>
        <w:t xml:space="preserve"> opravných položiek k dlhodobému finančnému 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3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DFM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zvýšenie, zníženia a zrušenia OP</w:t>
            </w: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E55E99">
      <w:pPr>
        <w:rPr>
          <w:sz w:val="20"/>
          <w:szCs w:val="20"/>
        </w:r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sz w:val="20"/>
          <w:szCs w:val="20"/>
        </w:rPr>
        <w:pict>
          <v:rect id="Shape 30" o:spid="_x0000_s1055" style="position:absolute;margin-left:510.6pt;margin-top:-.7pt;width:.95pt;height:.95pt;z-index:-251627008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40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5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5" w:name="page6"/>
      <w:bookmarkEnd w:id="5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4A0DBE">
        <w:rPr>
          <w:rFonts w:eastAsia="Times New Roman"/>
          <w:sz w:val="24"/>
          <w:szCs w:val="24"/>
        </w:rPr>
        <w:t>7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929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Majetkové podiely účtovnej jednotky v iných spoločnostiach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 w:right="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Informácia o spoločnostiach, v ktorých má účtovná jednotka majetkový podiel (riadky 025 až 026 súvahy):</w:t>
      </w:r>
    </w:p>
    <w:p w:rsidR="000C6267" w:rsidRDefault="00E10945">
      <w:pPr>
        <w:spacing w:line="15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0320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7620</wp:posOffset>
            </wp:positionV>
            <wp:extent cx="6489065" cy="1847215"/>
            <wp:effectExtent l="0" t="0" r="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1847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500"/>
        <w:gridCol w:w="780"/>
        <w:gridCol w:w="1100"/>
        <w:gridCol w:w="1000"/>
        <w:gridCol w:w="1040"/>
        <w:gridCol w:w="1100"/>
        <w:gridCol w:w="1120"/>
        <w:gridCol w:w="1140"/>
        <w:gridCol w:w="1020"/>
      </w:tblGrid>
      <w:tr w:rsidR="000C6267">
        <w:trPr>
          <w:trHeight w:val="207"/>
        </w:trPr>
        <w:tc>
          <w:tcPr>
            <w:tcW w:w="1500" w:type="dxa"/>
            <w:vAlign w:val="bottom"/>
          </w:tcPr>
          <w:p w:rsidR="000C6267" w:rsidRDefault="00E10945">
            <w:pPr>
              <w:spacing w:line="206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Názov spoločnosti</w:t>
            </w:r>
          </w:p>
        </w:tc>
        <w:tc>
          <w:tcPr>
            <w:tcW w:w="78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Právna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Základné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Podiel ÚJ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Podiel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Účtovná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Účtovná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18"/>
                <w:szCs w:val="18"/>
              </w:rPr>
              <w:t>forma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imanie (ZI)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3"/>
                <w:sz w:val="18"/>
                <w:szCs w:val="18"/>
              </w:rPr>
              <w:t>na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ÚJ na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vlastného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vlastného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3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základnom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hlasovacích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imania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18"/>
                <w:szCs w:val="18"/>
              </w:rPr>
              <w:t>imania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vykázaná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vykázaná</w:t>
            </w:r>
          </w:p>
        </w:tc>
      </w:tr>
      <w:tr w:rsidR="000C6267">
        <w:trPr>
          <w:trHeight w:val="209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peňažných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imaní (ZI)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právach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súvahe ÚJ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súvahe ÚJ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  <w:shd w:val="clear" w:color="auto" w:fill="F2F2F2"/>
              </w:rPr>
              <w:t>jednotkách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%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eurách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eurách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k 31.12.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3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v %</w:t>
            </w:r>
          </w:p>
        </w:tc>
        <w:tc>
          <w:tcPr>
            <w:tcW w:w="10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  <w:tc>
          <w:tcPr>
            <w:tcW w:w="114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201</w:t>
            </w:r>
            <w:r w:rsidR="004A0DBE">
              <w:rPr>
                <w:rFonts w:eastAsia="Times New Roman"/>
                <w:w w:val="99"/>
                <w:sz w:val="18"/>
                <w:szCs w:val="18"/>
              </w:rPr>
              <w:t>7</w:t>
            </w:r>
          </w:p>
        </w:tc>
        <w:tc>
          <w:tcPr>
            <w:tcW w:w="1020" w:type="dxa"/>
            <w:vAlign w:val="bottom"/>
          </w:tcPr>
          <w:p w:rsidR="000C6267" w:rsidRDefault="00F12E13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201</w:t>
            </w:r>
            <w:r w:rsidR="004A0DBE">
              <w:rPr>
                <w:rFonts w:eastAsia="Times New Roman"/>
                <w:w w:val="99"/>
                <w:sz w:val="18"/>
                <w:szCs w:val="18"/>
              </w:rPr>
              <w:t>7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201</w:t>
            </w:r>
            <w:r w:rsidR="004A0DBE">
              <w:rPr>
                <w:rFonts w:eastAsia="Times New Roman"/>
                <w:w w:val="99"/>
                <w:sz w:val="18"/>
                <w:szCs w:val="18"/>
              </w:rPr>
              <w:t>7</w:t>
            </w:r>
          </w:p>
        </w:tc>
        <w:tc>
          <w:tcPr>
            <w:tcW w:w="112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201</w:t>
            </w:r>
            <w:r w:rsidR="004A0DBE">
              <w:rPr>
                <w:rFonts w:eastAsia="Times New Roman"/>
                <w:w w:val="99"/>
                <w:sz w:val="18"/>
                <w:szCs w:val="18"/>
              </w:rPr>
              <w:t>7</w:t>
            </w:r>
          </w:p>
        </w:tc>
        <w:tc>
          <w:tcPr>
            <w:tcW w:w="11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2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41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4" w:lineRule="auto"/>
        <w:ind w:left="300" w:right="60" w:hanging="279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Dlhové cenné papiere a realizovateľné cenné papiere, dlhodobé pôžičky a ostatný dlhodobý finančný majetok</w:t>
      </w:r>
    </w:p>
    <w:p w:rsidR="000C6267" w:rsidRDefault="00E10945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 dlhové cenné papiere držané do splatnosti a realizovateľné cenné papiere (riadky 027 až 028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60"/>
        <w:gridCol w:w="900"/>
        <w:gridCol w:w="1080"/>
        <w:gridCol w:w="1260"/>
        <w:gridCol w:w="1080"/>
        <w:gridCol w:w="1820"/>
        <w:gridCol w:w="1800"/>
      </w:tblGrid>
      <w:tr w:rsidR="000C626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Názov emitenta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20"/>
                <w:szCs w:val="20"/>
              </w:rPr>
              <w:t>Druh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Výnos v %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8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Účtovná hodnota</w:t>
            </w:r>
          </w:p>
        </w:tc>
        <w:tc>
          <w:tcPr>
            <w:tcW w:w="18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Účtovná hodnota</w:t>
            </w:r>
          </w:p>
        </w:tc>
      </w:tr>
      <w:tr w:rsidR="000C6267">
        <w:trPr>
          <w:trHeight w:val="230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cenného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cenného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splatnosti</w:t>
            </w:r>
          </w:p>
        </w:tc>
        <w:tc>
          <w:tcPr>
            <w:tcW w:w="18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 v súvahe</w:t>
            </w:r>
          </w:p>
        </w:tc>
        <w:tc>
          <w:tcPr>
            <w:tcW w:w="18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 v súvahe</w:t>
            </w:r>
          </w:p>
        </w:tc>
      </w:tr>
      <w:tr w:rsidR="000C6267">
        <w:trPr>
          <w:trHeight w:val="236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papiera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papiera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účtovnej jednotky</w:t>
            </w:r>
          </w:p>
        </w:tc>
        <w:tc>
          <w:tcPr>
            <w:tcW w:w="18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účtovnej jednotky</w:t>
            </w:r>
          </w:p>
        </w:tc>
      </w:tr>
      <w:tr w:rsidR="000C6267">
        <w:trPr>
          <w:trHeight w:val="226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w w:val="99"/>
                <w:sz w:val="20"/>
                <w:szCs w:val="20"/>
              </w:rPr>
              <w:t>201</w:t>
            </w:r>
            <w:r w:rsidR="004A0DBE">
              <w:rPr>
                <w:rFonts w:eastAsia="Times New Roman"/>
                <w:w w:val="99"/>
                <w:sz w:val="20"/>
                <w:szCs w:val="20"/>
              </w:rPr>
              <w:t>7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w w:val="99"/>
                <w:sz w:val="20"/>
                <w:szCs w:val="20"/>
              </w:rPr>
              <w:t>201</w:t>
            </w:r>
            <w:r w:rsidR="004A0DBE">
              <w:rPr>
                <w:rFonts w:eastAsia="Times New Roman"/>
                <w:w w:val="99"/>
                <w:sz w:val="20"/>
                <w:szCs w:val="20"/>
              </w:rPr>
              <w:t>6</w:t>
            </w:r>
          </w:p>
        </w:tc>
      </w:tr>
      <w:tr w:rsidR="000C6267">
        <w:trPr>
          <w:trHeight w:val="224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b) dlhodobé pôžičky (riadky 029 až 030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60"/>
        <w:gridCol w:w="900"/>
        <w:gridCol w:w="1080"/>
        <w:gridCol w:w="1260"/>
        <w:gridCol w:w="1620"/>
        <w:gridCol w:w="1640"/>
        <w:gridCol w:w="1440"/>
      </w:tblGrid>
      <w:tr w:rsidR="000C626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Názov dlžníka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Výnos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6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Účtovná hodnota</w:t>
            </w:r>
          </w:p>
        </w:tc>
        <w:tc>
          <w:tcPr>
            <w:tcW w:w="16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Účtovná hodnota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Popis</w:t>
            </w:r>
          </w:p>
        </w:tc>
      </w:tr>
      <w:tr w:rsidR="000C6267">
        <w:trPr>
          <w:trHeight w:val="239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 %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splatnosti</w:t>
            </w: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zabezpečenia</w:t>
            </w: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súvahe účtovnej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súvahe účtovnej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pôžičky</w:t>
            </w:r>
          </w:p>
        </w:tc>
      </w:tr>
      <w:tr w:rsidR="000C6267">
        <w:trPr>
          <w:trHeight w:val="230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jednotky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jednotky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sz w:val="20"/>
                <w:szCs w:val="20"/>
              </w:rPr>
              <w:t>201</w:t>
            </w:r>
            <w:r w:rsidR="004A0DBE">
              <w:rPr>
                <w:rFonts w:eastAsia="Times New Roman"/>
                <w:sz w:val="20"/>
                <w:szCs w:val="20"/>
              </w:rPr>
              <w:t>7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sz w:val="20"/>
                <w:szCs w:val="20"/>
              </w:rPr>
              <w:t>201</w:t>
            </w:r>
            <w:r w:rsidR="004A0DBE">
              <w:rPr>
                <w:rFonts w:eastAsia="Times New Roman"/>
                <w:sz w:val="20"/>
                <w:szCs w:val="20"/>
              </w:rPr>
              <w:t>6</w:t>
            </w: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c) významné položky ostatného dlhodobého finančného majetku (riadok 031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860"/>
        <w:gridCol w:w="3120"/>
        <w:gridCol w:w="3260"/>
      </w:tblGrid>
      <w:tr w:rsidR="000C6267">
        <w:trPr>
          <w:trHeight w:val="228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Významné položky ostatného DFM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k 31.12.</w:t>
            </w:r>
            <w:r w:rsidR="00F12E13">
              <w:rPr>
                <w:rFonts w:eastAsia="Times New Roman"/>
                <w:sz w:val="20"/>
                <w:szCs w:val="20"/>
              </w:rPr>
              <w:t>201</w:t>
            </w:r>
            <w:r w:rsidR="004A0DBE">
              <w:rPr>
                <w:rFonts w:eastAsia="Times New Roman"/>
                <w:sz w:val="20"/>
                <w:szCs w:val="20"/>
              </w:rPr>
              <w:t>7</w:t>
            </w:r>
          </w:p>
        </w:tc>
        <w:tc>
          <w:tcPr>
            <w:tcW w:w="3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8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31.12.</w:t>
            </w:r>
            <w:r w:rsidR="00F12E13">
              <w:rPr>
                <w:rFonts w:eastAsia="Times New Roman"/>
                <w:sz w:val="20"/>
                <w:szCs w:val="20"/>
              </w:rPr>
              <w:t>201</w:t>
            </w:r>
            <w:r w:rsidR="004A0DBE">
              <w:rPr>
                <w:rFonts w:eastAsia="Times New Roman"/>
                <w:sz w:val="20"/>
                <w:szCs w:val="20"/>
              </w:rPr>
              <w:t>6</w:t>
            </w:r>
          </w:p>
        </w:tc>
      </w:tr>
      <w:tr w:rsidR="000C6267">
        <w:trPr>
          <w:trHeight w:val="222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E55E99">
      <w:pPr>
        <w:spacing w:line="283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33" o:spid="_x0000_s1058" style="position:absolute;margin-left:510.6pt;margin-top:-.7pt;width:.95pt;height:.95pt;z-index:-25162598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spacing w:line="234" w:lineRule="auto"/>
        <w:ind w:left="20" w:right="8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Obežný majetok 1. Zásoby</w:t>
      </w:r>
    </w:p>
    <w:p w:rsidR="000C6267" w:rsidRDefault="00E10945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vývoj </w:t>
      </w:r>
      <w:r>
        <w:rPr>
          <w:rFonts w:eastAsia="Times New Roman"/>
          <w:b/>
          <w:bCs/>
          <w:sz w:val="24"/>
          <w:szCs w:val="24"/>
        </w:rPr>
        <w:t>opravnej položky</w:t>
      </w:r>
      <w:r>
        <w:rPr>
          <w:rFonts w:eastAsia="Times New Roman"/>
          <w:sz w:val="24"/>
          <w:szCs w:val="24"/>
        </w:rPr>
        <w:t xml:space="preserve"> k zásobám - tabuľka č.2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č.2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tvorby, zníženia 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zrušenia</w:t>
      </w:r>
      <w:r>
        <w:rPr>
          <w:rFonts w:eastAsia="Times New Roman"/>
          <w:sz w:val="24"/>
          <w:szCs w:val="24"/>
        </w:rPr>
        <w:t xml:space="preserve"> opravných položiek k zásobám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29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Konkrétny druh zásob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0C6267">
        <w:trPr>
          <w:trHeight w:val="221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E55E99">
      <w:pPr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34" o:spid="_x0000_s1059" style="position:absolute;margin-left:510.6pt;margin-top:-.7pt;width:.95pt;height:.95pt;z-index:-251624960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8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6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6" w:name="page7"/>
      <w:bookmarkEnd w:id="6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4A0DBE">
        <w:rPr>
          <w:rFonts w:eastAsia="Times New Roman"/>
          <w:sz w:val="24"/>
          <w:szCs w:val="24"/>
        </w:rPr>
        <w:t>7</w:t>
      </w:r>
    </w:p>
    <w:p w:rsidR="000C6267" w:rsidRDefault="00E10945">
      <w:pPr>
        <w:spacing w:line="27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13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4" w:lineRule="auto"/>
        <w:ind w:left="300" w:right="60" w:hanging="283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zásoby, na ktoré je zriadené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výška zásob, pri ktorých má účtovná jednotka obmedzené právo s nimi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40"/>
        <w:gridCol w:w="5000"/>
      </w:tblGrid>
      <w:tr w:rsidR="000C6267">
        <w:trPr>
          <w:trHeight w:val="228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2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5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zásob</w:t>
            </w:r>
          </w:p>
        </w:tc>
      </w:tr>
      <w:tr w:rsidR="000C6267">
        <w:trPr>
          <w:trHeight w:val="21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Záložné  právo k zásobám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Obmedzené právo nakladať so zásobami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spôsob a výška </w:t>
      </w:r>
      <w:r>
        <w:rPr>
          <w:rFonts w:eastAsia="Times New Roman"/>
          <w:b/>
          <w:bCs/>
          <w:sz w:val="24"/>
          <w:szCs w:val="24"/>
        </w:rPr>
        <w:t>poistenia zásob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3180"/>
        <w:gridCol w:w="3840"/>
      </w:tblGrid>
      <w:tr w:rsidR="000C626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31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3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40"/>
        <w:gridCol w:w="2480"/>
        <w:gridCol w:w="1560"/>
        <w:gridCol w:w="2280"/>
        <w:gridCol w:w="980"/>
        <w:gridCol w:w="2760"/>
      </w:tblGrid>
      <w:tr w:rsidR="000C6267">
        <w:trPr>
          <w:trHeight w:val="276"/>
        </w:trPr>
        <w:tc>
          <w:tcPr>
            <w:tcW w:w="24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2480" w:type="dxa"/>
            <w:vAlign w:val="bottom"/>
          </w:tcPr>
          <w:p w:rsidR="000C6267" w:rsidRDefault="00E10945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Pohľadávky</w:t>
            </w:r>
          </w:p>
        </w:tc>
        <w:tc>
          <w:tcPr>
            <w:tcW w:w="15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2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7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7"/>
        </w:trPr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7300" w:type="dxa"/>
            <w:gridSpan w:val="4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opis významných pohľadávok </w:t>
            </w:r>
            <w:r>
              <w:rPr>
                <w:rFonts w:eastAsia="Times New Roman"/>
                <w:sz w:val="24"/>
                <w:szCs w:val="24"/>
              </w:rPr>
              <w:t>podľa jednotlivých položiek súvahy</w:t>
            </w:r>
          </w:p>
        </w:tc>
        <w:tc>
          <w:tcPr>
            <w:tcW w:w="27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23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Riadok súvahy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  <w:tc>
          <w:tcPr>
            <w:tcW w:w="98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0C6267">
        <w:trPr>
          <w:trHeight w:val="222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vývoj opravnej položky</w:t>
      </w:r>
      <w:r>
        <w:rPr>
          <w:rFonts w:eastAsia="Times New Roman"/>
          <w:sz w:val="24"/>
          <w:szCs w:val="24"/>
        </w:rPr>
        <w:t xml:space="preserve"> k pohľadávkam - tabuľka č.3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č.3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tvorby, zníženia a zrušenia</w:t>
      </w:r>
      <w:r>
        <w:rPr>
          <w:rFonts w:eastAsia="Times New Roman"/>
          <w:sz w:val="24"/>
          <w:szCs w:val="24"/>
        </w:rPr>
        <w:t xml:space="preserve"> opravných položiek k pohľadávkam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0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E55E99">
      <w:pPr>
        <w:spacing w:line="266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36" o:spid="_x0000_s1061" style="position:absolute;margin-left:510.6pt;margin-top:-.7pt;width:.95pt;height:.95pt;z-index:-251623936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pohľadávky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048 a 060 súvahy) - tabuľka č.4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č.4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pohľadávky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048 a 060 súvahy) - tabuľka č.4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č.4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e) pohľadávky zabezpečené </w:t>
      </w:r>
      <w:r>
        <w:rPr>
          <w:rFonts w:eastAsia="Times New Roman"/>
          <w:b/>
          <w:bCs/>
          <w:sz w:val="24"/>
          <w:szCs w:val="24"/>
        </w:rPr>
        <w:t>záložným právom</w:t>
      </w:r>
      <w:r>
        <w:rPr>
          <w:rFonts w:eastAsia="Times New Roman"/>
          <w:sz w:val="24"/>
          <w:szCs w:val="24"/>
        </w:rPr>
        <w:t xml:space="preserve"> alebo </w:t>
      </w:r>
      <w:r>
        <w:rPr>
          <w:rFonts w:eastAsia="Times New Roman"/>
          <w:b/>
          <w:bCs/>
          <w:sz w:val="24"/>
          <w:szCs w:val="24"/>
        </w:rPr>
        <w:t>inou formou zabezpečenia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140"/>
        <w:gridCol w:w="2820"/>
        <w:gridCol w:w="2340"/>
      </w:tblGrid>
      <w:tr w:rsidR="000C6267">
        <w:trPr>
          <w:trHeight w:val="228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predmetu záložného práva</w:t>
            </w:r>
          </w:p>
        </w:tc>
        <w:tc>
          <w:tcPr>
            <w:tcW w:w="2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5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predmetu</w:t>
            </w:r>
          </w:p>
        </w:tc>
        <w:tc>
          <w:tcPr>
            <w:tcW w:w="2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pohľadávky</w:t>
            </w:r>
          </w:p>
        </w:tc>
      </w:tr>
      <w:tr w:rsidR="000C6267">
        <w:trPr>
          <w:trHeight w:val="214"/>
        </w:trPr>
        <w:tc>
          <w:tcPr>
            <w:tcW w:w="51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Pohľadávky kryté záložným právom alebo inou formou</w:t>
            </w:r>
          </w:p>
        </w:tc>
        <w:tc>
          <w:tcPr>
            <w:tcW w:w="28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3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5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zabezpečenia (uviesť inú formu zabezpečenia)</w:t>
            </w:r>
          </w:p>
        </w:tc>
        <w:tc>
          <w:tcPr>
            <w:tcW w:w="2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right="60" w:hanging="27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f)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pohľadávky, na ktoré sa zriadilo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výška pohľadávok, pri ktorých má účtovná jednotka </w:t>
      </w:r>
      <w:r>
        <w:rPr>
          <w:rFonts w:eastAsia="Times New Roman"/>
          <w:b/>
          <w:bCs/>
          <w:sz w:val="24"/>
          <w:szCs w:val="24"/>
        </w:rPr>
        <w:t>obmedzené právo s nimi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40"/>
        <w:gridCol w:w="5000"/>
      </w:tblGrid>
      <w:tr w:rsidR="000C6267">
        <w:trPr>
          <w:trHeight w:val="224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pohľadávok</w:t>
            </w:r>
          </w:p>
        </w:tc>
        <w:tc>
          <w:tcPr>
            <w:tcW w:w="5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ind w:left="15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</w:tr>
      <w:tr w:rsidR="000C6267">
        <w:trPr>
          <w:trHeight w:val="217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pohľadávok pri ktorých je obmedzené</w:t>
            </w:r>
          </w:p>
        </w:tc>
        <w:tc>
          <w:tcPr>
            <w:tcW w:w="50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7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právo s nimi nakladať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E55E99">
      <w:pPr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37" o:spid="_x0000_s1062" style="position:absolute;margin-left:510.6pt;margin-top:-.7pt;width:.95pt;height:.95pt;z-index:-251622912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13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7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7" w:name="page8"/>
      <w:bookmarkEnd w:id="7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4A0DBE">
        <w:rPr>
          <w:rFonts w:eastAsia="Times New Roman"/>
          <w:sz w:val="24"/>
          <w:szCs w:val="24"/>
        </w:rPr>
        <w:t>7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236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Finančný majetok</w:t>
      </w: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opis významných zložiek </w:t>
      </w:r>
      <w:r>
        <w:rPr>
          <w:rFonts w:eastAsia="Times New Roman"/>
          <w:b/>
          <w:bCs/>
          <w:sz w:val="24"/>
          <w:szCs w:val="24"/>
        </w:rPr>
        <w:t>krátkodobého finančného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00"/>
        <w:gridCol w:w="5240"/>
      </w:tblGrid>
      <w:tr w:rsidR="000C6267">
        <w:trPr>
          <w:trHeight w:val="228"/>
        </w:trPr>
        <w:tc>
          <w:tcPr>
            <w:tcW w:w="5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5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</w:t>
            </w:r>
            <w:r w:rsidR="004A0DBE">
              <w:rPr>
                <w:rFonts w:eastAsia="Times New Roman"/>
                <w:b/>
                <w:bCs/>
                <w:sz w:val="20"/>
                <w:szCs w:val="20"/>
              </w:rPr>
              <w:t>7</w:t>
            </w:r>
          </w:p>
        </w:tc>
      </w:tr>
      <w:tr w:rsidR="000C6267">
        <w:trPr>
          <w:trHeight w:val="222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00" w:hanging="283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krátkodobý finančný majetok, na ktorý je zriadené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krátkodobý finančný majetok, pri ktorom má účtovná jednotka </w:t>
      </w:r>
      <w:r>
        <w:rPr>
          <w:rFonts w:eastAsia="Times New Roman"/>
          <w:b/>
          <w:bCs/>
          <w:sz w:val="24"/>
          <w:szCs w:val="24"/>
        </w:rPr>
        <w:t>obmedzené právo s ním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6120"/>
        <w:gridCol w:w="4120"/>
      </w:tblGrid>
      <w:tr w:rsidR="000C6267">
        <w:trPr>
          <w:trHeight w:val="226"/>
        </w:trPr>
        <w:tc>
          <w:tcPr>
            <w:tcW w:w="61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</w:t>
            </w:r>
          </w:p>
        </w:tc>
        <w:tc>
          <w:tcPr>
            <w:tcW w:w="4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Hodnota</w:t>
            </w:r>
          </w:p>
        </w:tc>
      </w:tr>
      <w:tr w:rsidR="000C6267">
        <w:trPr>
          <w:trHeight w:val="232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krátkodobého finančného majetku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krátkodobého finančného majetku</w:t>
            </w:r>
          </w:p>
        </w:tc>
      </w:tr>
      <w:tr w:rsidR="000C6267">
        <w:trPr>
          <w:trHeight w:val="218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61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Krátkodobý finančný majetok, pri ktorom je obmedzené právo s nám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nakladať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4. Poskytnuté návratné finančné výpomoci </w:t>
      </w:r>
      <w:r>
        <w:rPr>
          <w:rFonts w:eastAsia="Times New Roman"/>
          <w:sz w:val="24"/>
          <w:szCs w:val="24"/>
        </w:rPr>
        <w:t>(riadky 098 a 104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súvahy):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Popis a hodnota poskytnutých návratných finančných výpomoci podľa jednotlivých druhov výpomocí v členení na </w:t>
      </w:r>
      <w:r>
        <w:rPr>
          <w:rFonts w:eastAsia="Times New Roman"/>
          <w:b/>
          <w:bCs/>
          <w:sz w:val="24"/>
          <w:szCs w:val="24"/>
        </w:rPr>
        <w:t>dlhodobé</w:t>
      </w:r>
      <w:r>
        <w:rPr>
          <w:rFonts w:eastAsia="Times New Roman"/>
          <w:sz w:val="24"/>
          <w:szCs w:val="24"/>
        </w:rPr>
        <w:t xml:space="preserve"> návratné výpomoci a </w:t>
      </w:r>
      <w:r>
        <w:rPr>
          <w:rFonts w:eastAsia="Times New Roman"/>
          <w:b/>
          <w:bCs/>
          <w:sz w:val="24"/>
          <w:szCs w:val="24"/>
        </w:rPr>
        <w:t>krátkodobé</w:t>
      </w:r>
      <w:r>
        <w:rPr>
          <w:rFonts w:eastAsia="Times New Roman"/>
          <w:sz w:val="24"/>
          <w:szCs w:val="24"/>
        </w:rPr>
        <w:t xml:space="preserve"> návratné finančné výpomoci</w:t>
      </w:r>
    </w:p>
    <w:p w:rsidR="000C6267" w:rsidRDefault="00E10945">
      <w:pPr>
        <w:spacing w:line="1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339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7620</wp:posOffset>
            </wp:positionV>
            <wp:extent cx="6489065" cy="906780"/>
            <wp:effectExtent l="0" t="0" r="0" b="0"/>
            <wp:wrapNone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7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0"/>
        <w:gridCol w:w="1180"/>
        <w:gridCol w:w="940"/>
        <w:gridCol w:w="1360"/>
        <w:gridCol w:w="2180"/>
        <w:gridCol w:w="1900"/>
      </w:tblGrid>
      <w:tr w:rsidR="000C6267">
        <w:trPr>
          <w:trHeight w:val="230"/>
        </w:trPr>
        <w:tc>
          <w:tcPr>
            <w:tcW w:w="168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dlžníka</w:t>
            </w:r>
          </w:p>
        </w:tc>
        <w:tc>
          <w:tcPr>
            <w:tcW w:w="1180" w:type="dxa"/>
            <w:vAlign w:val="bottom"/>
          </w:tcPr>
          <w:p w:rsidR="000C6267" w:rsidRDefault="00E10945">
            <w:pPr>
              <w:spacing w:line="229" w:lineRule="exact"/>
              <w:ind w:left="18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Výnos</w:t>
            </w:r>
          </w:p>
        </w:tc>
        <w:tc>
          <w:tcPr>
            <w:tcW w:w="940" w:type="dxa"/>
            <w:vAlign w:val="bottom"/>
          </w:tcPr>
          <w:p w:rsidR="000C6267" w:rsidRDefault="00E10945">
            <w:pPr>
              <w:spacing w:line="229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360" w:type="dxa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2180" w:type="dxa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návratnej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spacing w:line="229" w:lineRule="exact"/>
              <w:ind w:left="10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návratnej</w:t>
            </w:r>
          </w:p>
        </w:tc>
      </w:tr>
      <w:tr w:rsidR="000C6267">
        <w:trPr>
          <w:trHeight w:val="230"/>
        </w:trPr>
        <w:tc>
          <w:tcPr>
            <w:tcW w:w="16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vAlign w:val="bottom"/>
          </w:tcPr>
          <w:p w:rsidR="000C6267" w:rsidRDefault="00E10945">
            <w:pPr>
              <w:ind w:left="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94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2180" w:type="dxa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finančnej výpomoci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finančnej výpomoci</w:t>
            </w:r>
          </w:p>
        </w:tc>
      </w:tr>
      <w:tr w:rsidR="000C6267">
        <w:trPr>
          <w:trHeight w:val="228"/>
        </w:trPr>
        <w:tc>
          <w:tcPr>
            <w:tcW w:w="16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6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4A0DBE">
              <w:rPr>
                <w:rFonts w:eastAsia="Times New Roman"/>
                <w:b/>
                <w:bCs/>
                <w:w w:val="99"/>
                <w:sz w:val="20"/>
                <w:szCs w:val="20"/>
              </w:rPr>
              <w:t>7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spacing w:line="227" w:lineRule="exact"/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</w:t>
            </w:r>
            <w:r w:rsidR="004A0DBE">
              <w:rPr>
                <w:rFonts w:eastAsia="Times New Roman"/>
                <w:b/>
                <w:bCs/>
                <w:sz w:val="20"/>
                <w:szCs w:val="20"/>
              </w:rPr>
              <w:t>6</w:t>
            </w: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4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5. Časové rozlíšenie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Významné položky časového rozlíšenia </w:t>
      </w:r>
      <w:r>
        <w:rPr>
          <w:rFonts w:eastAsia="Times New Roman"/>
          <w:b/>
          <w:bCs/>
          <w:sz w:val="24"/>
          <w:szCs w:val="24"/>
        </w:rPr>
        <w:t>nákladov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príjmov budúcich období</w:t>
      </w:r>
    </w:p>
    <w:p w:rsidR="000C6267" w:rsidRDefault="00E55E99">
      <w:pPr>
        <w:spacing w:line="21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40" o:spid="_x0000_s1065" style="position:absolute;z-index:251651584;visibility:visible;mso-wrap-distance-left:0;mso-wrap-distance-right:0" from=".4pt,.75pt" to="511.3pt,.75pt" o:allowincell="f" strokeweight=".48pt"/>
        </w:pict>
      </w:r>
      <w:r>
        <w:rPr>
          <w:sz w:val="20"/>
          <w:szCs w:val="20"/>
        </w:rPr>
        <w:pict>
          <v:line id="Shape 41" o:spid="_x0000_s1066" style="position:absolute;z-index:251652608;visibility:visible;mso-wrap-distance-left:0;mso-wrap-distance-right:0" from=".4pt,12.75pt" to="511.3pt,12.75pt" o:allowincell="f" strokeweight=".48pt"/>
        </w:pict>
      </w:r>
      <w:r>
        <w:rPr>
          <w:sz w:val="20"/>
          <w:szCs w:val="20"/>
        </w:rPr>
        <w:pict>
          <v:line id="Shape 42" o:spid="_x0000_s1067" style="position:absolute;z-index:251653632;visibility:visible;mso-wrap-distance-left:0;mso-wrap-distance-right:0" from=".4pt,24.75pt" to="511.3pt,24.75pt" o:allowincell="f" strokeweight=".48pt"/>
        </w:pict>
      </w:r>
      <w:r>
        <w:rPr>
          <w:sz w:val="20"/>
          <w:szCs w:val="20"/>
        </w:rPr>
        <w:pict>
          <v:line id="Shape 43" o:spid="_x0000_s1068" style="position:absolute;z-index:251654656;visibility:visible;mso-wrap-distance-left:0;mso-wrap-distance-right:0" from=".4pt,36.75pt" to="511.3pt,36.75pt" o:allowincell="f" strokeweight=".48pt"/>
        </w:pict>
      </w:r>
      <w:r>
        <w:rPr>
          <w:sz w:val="20"/>
          <w:szCs w:val="20"/>
        </w:rPr>
        <w:pict>
          <v:line id="Shape 44" o:spid="_x0000_s1069" style="position:absolute;z-index:251655680;visibility:visible;mso-wrap-distance-left:0;mso-wrap-distance-right:0" from=".4pt,48.75pt" to="511.3pt,48.75pt" o:allowincell="f" strokeweight=".48pt"/>
        </w:pict>
      </w:r>
      <w:r>
        <w:rPr>
          <w:sz w:val="20"/>
          <w:szCs w:val="20"/>
        </w:rPr>
        <w:pict>
          <v:line id="Shape 45" o:spid="_x0000_s1070" style="position:absolute;z-index:251656704;visibility:visible;mso-wrap-distance-left:0;mso-wrap-distance-right:0" from=".4pt,60.8pt" to="511.3pt,60.8pt" o:allowincell="f" strokeweight=".48pt"/>
        </w:pict>
      </w:r>
      <w:r>
        <w:rPr>
          <w:sz w:val="20"/>
          <w:szCs w:val="20"/>
        </w:rPr>
        <w:pict>
          <v:line id="Shape 46" o:spid="_x0000_s1071" style="position:absolute;z-index:251657728;visibility:visible;mso-wrap-distance-left:0;mso-wrap-distance-right:0" from=".4pt,72.8pt" to="511.3pt,72.8pt" o:allowincell="f" strokeweight=".48pt"/>
        </w:pict>
      </w:r>
      <w:r>
        <w:rPr>
          <w:sz w:val="20"/>
          <w:szCs w:val="20"/>
        </w:rPr>
        <w:pict>
          <v:line id="Shape 47" o:spid="_x0000_s1072" style="position:absolute;z-index:251658752;visibility:visible;mso-wrap-distance-left:0;mso-wrap-distance-right:0" from=".4pt,84.8pt" to="511.3pt,84.8pt" o:allowincell="f" strokeweight=".48pt"/>
        </w:pict>
      </w:r>
      <w:r>
        <w:rPr>
          <w:sz w:val="20"/>
          <w:szCs w:val="20"/>
        </w:rPr>
        <w:pict>
          <v:line id="Shape 48" o:spid="_x0000_s1073" style="position:absolute;z-index:251659776;visibility:visible;mso-wrap-distance-left:0;mso-wrap-distance-right:0" from=".6pt,.5pt" to=".6pt,97pt" o:allowincell="f" strokeweight=".16931mm"/>
        </w:pict>
      </w:r>
      <w:r>
        <w:rPr>
          <w:sz w:val="20"/>
          <w:szCs w:val="20"/>
        </w:rPr>
        <w:pict>
          <v:line id="Shape 49" o:spid="_x0000_s1074" style="position:absolute;z-index:251660800;visibility:visible;mso-wrap-distance-left:0;mso-wrap-distance-right:0" from="284.25pt,.5pt" to="284.25pt,97pt" o:allowincell="f" strokeweight=".16931mm"/>
        </w:pict>
      </w:r>
      <w:r>
        <w:rPr>
          <w:sz w:val="20"/>
          <w:szCs w:val="20"/>
        </w:rPr>
        <w:pict>
          <v:line id="Shape 50" o:spid="_x0000_s1075" style="position:absolute;z-index:251661824;visibility:visible;mso-wrap-distance-left:0;mso-wrap-distance-right:0" from=".4pt,96.8pt" to="511.3pt,96.8pt" o:allowincell="f" strokeweight=".48pt"/>
        </w:pict>
      </w:r>
      <w:r>
        <w:rPr>
          <w:sz w:val="20"/>
          <w:szCs w:val="20"/>
        </w:rPr>
        <w:pict>
          <v:line id="Shape 51" o:spid="_x0000_s1076" style="position:absolute;z-index:251662848;visibility:visible;mso-wrap-distance-left:0;mso-wrap-distance-right:0" from="511.1pt,.5pt" to="511.1pt,97pt" o:allowincell="f" strokeweight=".16931mm"/>
        </w:pic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660"/>
        <w:gridCol w:w="20"/>
        <w:gridCol w:w="4520"/>
      </w:tblGrid>
      <w:tr w:rsidR="000C6267">
        <w:trPr>
          <w:trHeight w:val="230"/>
        </w:trPr>
        <w:tc>
          <w:tcPr>
            <w:tcW w:w="566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52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</w:t>
            </w:r>
            <w:r w:rsidR="004A0DBE">
              <w:rPr>
                <w:rFonts w:eastAsia="Times New Roman"/>
                <w:b/>
                <w:bCs/>
                <w:sz w:val="20"/>
                <w:szCs w:val="20"/>
              </w:rPr>
              <w:t>7</w:t>
            </w:r>
          </w:p>
        </w:tc>
      </w:tr>
    </w:tbl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Náklady budúcich období 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3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Príjmy budúcich období 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620"/>
        <w:gridCol w:w="960"/>
        <w:gridCol w:w="6660"/>
      </w:tblGrid>
      <w:tr w:rsidR="000C6267">
        <w:trPr>
          <w:trHeight w:val="276"/>
        </w:trPr>
        <w:tc>
          <w:tcPr>
            <w:tcW w:w="26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9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6660" w:type="dxa"/>
            <w:vAlign w:val="bottom"/>
          </w:tcPr>
          <w:p w:rsidR="000C6267" w:rsidRDefault="00E10945">
            <w:pPr>
              <w:ind w:right="3475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Čl. IV</w:t>
            </w:r>
          </w:p>
        </w:tc>
      </w:tr>
      <w:tr w:rsidR="000C6267">
        <w:trPr>
          <w:trHeight w:val="276"/>
        </w:trPr>
        <w:tc>
          <w:tcPr>
            <w:tcW w:w="26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7620" w:type="dxa"/>
            <w:gridSpan w:val="2"/>
            <w:vAlign w:val="bottom"/>
          </w:tcPr>
          <w:p w:rsidR="000C6267" w:rsidRDefault="00E10945">
            <w:pPr>
              <w:ind w:right="2515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Informácie o údajoch na strane pasív súvahy</w:t>
            </w:r>
          </w:p>
        </w:tc>
      </w:tr>
      <w:tr w:rsidR="000C6267">
        <w:trPr>
          <w:trHeight w:val="552"/>
        </w:trPr>
        <w:tc>
          <w:tcPr>
            <w:tcW w:w="10240" w:type="dxa"/>
            <w:gridSpan w:val="3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A Vlastné imanie </w:t>
            </w:r>
            <w:r>
              <w:rPr>
                <w:rFonts w:eastAsia="Times New Roman"/>
                <w:sz w:val="24"/>
                <w:szCs w:val="24"/>
              </w:rPr>
              <w:t>-</w:t>
            </w: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/>
                <w:sz w:val="24"/>
                <w:szCs w:val="24"/>
              </w:rPr>
              <w:t>tabuľka č.5</w:t>
            </w:r>
          </w:p>
        </w:tc>
      </w:tr>
      <w:tr w:rsidR="000C6267">
        <w:trPr>
          <w:trHeight w:val="224"/>
        </w:trPr>
        <w:tc>
          <w:tcPr>
            <w:tcW w:w="26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Opis jednotlivých položiek a opis zmien jednotlivých položiek vlastného</w:t>
            </w:r>
          </w:p>
        </w:tc>
      </w:tr>
      <w:tr w:rsidR="000C6267">
        <w:trPr>
          <w:trHeight w:val="228"/>
        </w:trPr>
        <w:tc>
          <w:tcPr>
            <w:tcW w:w="26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imania, najmä zmeny oceňovacích rozdielov,</w:t>
            </w:r>
          </w:p>
        </w:tc>
      </w:tr>
      <w:tr w:rsidR="000C6267">
        <w:trPr>
          <w:trHeight w:val="233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opravy významných chýb minulých rokov</w:t>
            </w:r>
          </w:p>
        </w:tc>
      </w:tr>
      <w:tr w:rsidR="000C6267">
        <w:trPr>
          <w:trHeight w:val="221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Záväzky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1. Rezervy 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tabuľka č.6-7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Predpokladaný rok použitia rezerv a opis významných položiek rezerv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0"/>
        <w:gridCol w:w="5720"/>
      </w:tblGrid>
      <w:tr w:rsidR="000C6267">
        <w:trPr>
          <w:trHeight w:val="228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7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Predpokladaný rok použitia</w:t>
            </w:r>
          </w:p>
        </w:tc>
      </w:tr>
      <w:tr w:rsidR="000C6267">
        <w:trPr>
          <w:trHeight w:val="222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54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8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8" w:name="page9"/>
      <w:bookmarkEnd w:id="8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4A0DBE">
        <w:rPr>
          <w:rFonts w:eastAsia="Times New Roman"/>
          <w:sz w:val="24"/>
          <w:szCs w:val="24"/>
        </w:rPr>
        <w:t>7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441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Záväzky podľa doby splatnosti</w:t>
      </w: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záväzky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č.8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záväzky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č.8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8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</w:t>
      </w:r>
      <w:r>
        <w:rPr>
          <w:rFonts w:eastAsia="Times New Roman"/>
          <w:b/>
          <w:bCs/>
          <w:sz w:val="24"/>
          <w:szCs w:val="24"/>
        </w:rPr>
        <w:t>popis významných položiek záväzkov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40"/>
        <w:gridCol w:w="2280"/>
        <w:gridCol w:w="4820"/>
      </w:tblGrid>
      <w:tr w:rsidR="000C6267">
        <w:trPr>
          <w:trHeight w:val="223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Záväzok</w:t>
            </w:r>
          </w:p>
        </w:tc>
        <w:tc>
          <w:tcPr>
            <w:tcW w:w="2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záväzku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2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0C6267">
        <w:trPr>
          <w:trHeight w:val="22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Bankové úvery a ostatné prijaté návratné finančné výpomoci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 dlhodobé bankové úvery a krátkodobé bankové úvery - tabuľka č.9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č.9 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popis zabezpečenia</w:t>
      </w:r>
      <w:r>
        <w:rPr>
          <w:rFonts w:eastAsia="Times New Roman"/>
          <w:sz w:val="24"/>
          <w:szCs w:val="24"/>
        </w:rPr>
        <w:t xml:space="preserve"> dlhodobého bankového úveru alebo krátkodobého bankového úveru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0"/>
        <w:gridCol w:w="5860"/>
      </w:tblGrid>
      <w:tr w:rsidR="000C6267">
        <w:trPr>
          <w:trHeight w:val="226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Druh bankového úveru</w:t>
            </w:r>
          </w:p>
        </w:tc>
        <w:tc>
          <w:tcPr>
            <w:tcW w:w="58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Popis zabezpečenia dlhodobého bankového úveru</w:t>
            </w:r>
          </w:p>
        </w:tc>
      </w:tr>
      <w:tr w:rsidR="000C6267">
        <w:trPr>
          <w:trHeight w:val="231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podľa splatnosti /krátkodobý, dlhodobý/</w:t>
            </w: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alebo krátkodobého bankového úveru</w:t>
            </w:r>
          </w:p>
        </w:tc>
      </w:tr>
      <w:tr w:rsidR="000C6267">
        <w:trPr>
          <w:trHeight w:val="221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</w:t>
      </w:r>
      <w:r>
        <w:rPr>
          <w:rFonts w:eastAsia="Times New Roman"/>
          <w:b/>
          <w:bCs/>
          <w:sz w:val="24"/>
          <w:szCs w:val="24"/>
        </w:rPr>
        <w:t>dlhodobé emitované dlhopisy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krátkodobé emitované dlhopisy</w:t>
      </w:r>
      <w:r>
        <w:rPr>
          <w:rFonts w:eastAsia="Times New Roman"/>
          <w:sz w:val="24"/>
          <w:szCs w:val="24"/>
        </w:rPr>
        <w:t xml:space="preserve"> (riadky 150 a 176 súvahy)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60"/>
        <w:gridCol w:w="1880"/>
        <w:gridCol w:w="1000"/>
        <w:gridCol w:w="1400"/>
        <w:gridCol w:w="1480"/>
        <w:gridCol w:w="1440"/>
      </w:tblGrid>
      <w:tr w:rsidR="000C6267">
        <w:trPr>
          <w:trHeight w:val="226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cenného papiera</w:t>
            </w:r>
          </w:p>
        </w:tc>
        <w:tc>
          <w:tcPr>
            <w:tcW w:w="18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Mena, v ktorej sú</w:t>
            </w:r>
          </w:p>
        </w:tc>
        <w:tc>
          <w:tcPr>
            <w:tcW w:w="1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Úroková</w:t>
            </w:r>
          </w:p>
        </w:tc>
        <w:tc>
          <w:tcPr>
            <w:tcW w:w="14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4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Stav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Stav</w:t>
            </w:r>
          </w:p>
        </w:tc>
      </w:tr>
      <w:tr w:rsidR="000C6267">
        <w:trPr>
          <w:trHeight w:val="232"/>
        </w:trPr>
        <w:tc>
          <w:tcPr>
            <w:tcW w:w="3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cenné papiere</w:t>
            </w:r>
          </w:p>
        </w:tc>
        <w:tc>
          <w:tcPr>
            <w:tcW w:w="10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sadzba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4A0DBE">
              <w:rPr>
                <w:rFonts w:eastAsia="Times New Roman"/>
                <w:b/>
                <w:bCs/>
                <w:w w:val="99"/>
                <w:sz w:val="20"/>
                <w:szCs w:val="20"/>
              </w:rPr>
              <w:t>7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4A0DBE">
              <w:rPr>
                <w:rFonts w:eastAsia="Times New Roman"/>
                <w:b/>
                <w:bCs/>
                <w:w w:val="99"/>
                <w:sz w:val="20"/>
                <w:szCs w:val="20"/>
              </w:rPr>
              <w:t>6</w:t>
            </w:r>
          </w:p>
        </w:tc>
      </w:tr>
      <w:tr w:rsidR="000C6267">
        <w:trPr>
          <w:trHeight w:val="229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vydané</w:t>
            </w: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</w:t>
      </w:r>
      <w:r>
        <w:rPr>
          <w:rFonts w:eastAsia="Times New Roman"/>
          <w:b/>
          <w:bCs/>
          <w:sz w:val="24"/>
          <w:szCs w:val="24"/>
        </w:rPr>
        <w:t>prijaté dlhodobé návratné finančné výpomoci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krátkodobé návratné finančné výpomoci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40"/>
        <w:gridCol w:w="2140"/>
        <w:gridCol w:w="1120"/>
        <w:gridCol w:w="1140"/>
        <w:gridCol w:w="1420"/>
        <w:gridCol w:w="1500"/>
      </w:tblGrid>
      <w:tr w:rsidR="000C6267">
        <w:trPr>
          <w:trHeight w:val="222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Poskytovateľ</w:t>
            </w:r>
          </w:p>
        </w:tc>
        <w:tc>
          <w:tcPr>
            <w:tcW w:w="21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Druh prijatej</w:t>
            </w:r>
          </w:p>
        </w:tc>
        <w:tc>
          <w:tcPr>
            <w:tcW w:w="1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Účel</w:t>
            </w:r>
          </w:p>
        </w:tc>
        <w:tc>
          <w:tcPr>
            <w:tcW w:w="11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4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Výška prijatej</w:t>
            </w:r>
          </w:p>
        </w:tc>
        <w:tc>
          <w:tcPr>
            <w:tcW w:w="15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Výška prijatej</w:t>
            </w:r>
          </w:p>
        </w:tc>
      </w:tr>
      <w:tr w:rsidR="000C6267">
        <w:trPr>
          <w:trHeight w:val="233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návratnej výpomoci</w:t>
            </w:r>
          </w:p>
        </w:tc>
        <w:tc>
          <w:tcPr>
            <w:tcW w:w="2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návratnej výpomoci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použitia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splatnosti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návratnej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návratnej</w:t>
            </w:r>
          </w:p>
        </w:tc>
      </w:tr>
      <w:tr w:rsidR="000C6267">
        <w:trPr>
          <w:trHeight w:val="228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/krátkodobá,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výpomoci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výpomoci</w:t>
            </w:r>
          </w:p>
        </w:tc>
      </w:tr>
      <w:tr w:rsidR="000C6267">
        <w:trPr>
          <w:trHeight w:val="23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dlhodobá/</w:t>
            </w: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4A0DBE">
              <w:rPr>
                <w:rFonts w:eastAsia="Times New Roman"/>
                <w:b/>
                <w:bCs/>
                <w:w w:val="99"/>
                <w:sz w:val="20"/>
                <w:szCs w:val="20"/>
              </w:rPr>
              <w:t>7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4A0DBE">
              <w:rPr>
                <w:rFonts w:eastAsia="Times New Roman"/>
                <w:b/>
                <w:bCs/>
                <w:w w:val="99"/>
                <w:sz w:val="20"/>
                <w:szCs w:val="20"/>
              </w:rPr>
              <w:t>6</w:t>
            </w:r>
          </w:p>
        </w:tc>
      </w:tr>
      <w:tr w:rsidR="000C6267">
        <w:trPr>
          <w:trHeight w:val="22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340" w:bottom="361" w:left="1120" w:header="0" w:footer="0" w:gutter="0"/>
          <w:cols w:space="708" w:equalWidth="0">
            <w:col w:w="1044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25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9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9" w:name="page10"/>
      <w:bookmarkEnd w:id="9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4A0DBE">
        <w:rPr>
          <w:rFonts w:eastAsia="Times New Roman"/>
          <w:sz w:val="24"/>
          <w:szCs w:val="24"/>
        </w:rPr>
        <w:t>7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5440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 Časové rozlíšenie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right="140" w:hanging="27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popis významných položiek časového rozlíšenia </w:t>
      </w:r>
      <w:r>
        <w:rPr>
          <w:rFonts w:eastAsia="Times New Roman"/>
          <w:b/>
          <w:bCs/>
          <w:sz w:val="24"/>
          <w:szCs w:val="24"/>
        </w:rPr>
        <w:t>výdavkov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výnosov budúcich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období</w:t>
      </w:r>
    </w:p>
    <w:p w:rsidR="000C6267" w:rsidRDefault="00E55E99">
      <w:pPr>
        <w:spacing w:line="17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54" o:spid="_x0000_s1079" style="position:absolute;z-index:251663872;visibility:visible;mso-wrap-distance-left:0;mso-wrap-distance-right:0" from=".4pt,.55pt" to="518.4pt,.55pt" o:allowincell="f" strokeweight=".16931mm"/>
        </w:pict>
      </w:r>
      <w:r>
        <w:rPr>
          <w:sz w:val="20"/>
          <w:szCs w:val="20"/>
        </w:rPr>
        <w:pict>
          <v:line id="Shape 55" o:spid="_x0000_s1080" style="position:absolute;z-index:251664896;visibility:visible;mso-wrap-distance-left:0;mso-wrap-distance-right:0" from=".4pt,12.55pt" to="518.4pt,12.55pt" o:allowincell="f" strokeweight=".16931mm"/>
        </w:pict>
      </w:r>
      <w:r>
        <w:rPr>
          <w:sz w:val="20"/>
          <w:szCs w:val="20"/>
        </w:rPr>
        <w:pict>
          <v:line id="Shape 56" o:spid="_x0000_s1081" style="position:absolute;z-index:251665920;visibility:visible;mso-wrap-distance-left:0;mso-wrap-distance-right:0" from="277.15pt,.35pt" to="277.15pt,96.8pt" o:allowincell="f" strokeweight=".48pt"/>
        </w:pict>
      </w:r>
      <w:r>
        <w:rPr>
          <w:sz w:val="20"/>
          <w:szCs w:val="20"/>
        </w:rPr>
        <w:pict>
          <v:line id="Shape 57" o:spid="_x0000_s1082" style="position:absolute;z-index:251666944;visibility:visible;mso-wrap-distance-left:0;mso-wrap-distance-right:0" from=".4pt,24.55pt" to="518.4pt,24.55pt" o:allowincell="f" strokeweight=".16931mm"/>
        </w:pict>
      </w:r>
      <w:r>
        <w:rPr>
          <w:sz w:val="20"/>
          <w:szCs w:val="20"/>
        </w:rPr>
        <w:pict>
          <v:line id="Shape 58" o:spid="_x0000_s1083" style="position:absolute;z-index:251667968;visibility:visible;mso-wrap-distance-left:0;mso-wrap-distance-right:0" from=".4pt,36.55pt" to="518.4pt,36.55pt" o:allowincell="f" strokeweight=".16931mm"/>
        </w:pict>
      </w:r>
      <w:r>
        <w:rPr>
          <w:sz w:val="20"/>
          <w:szCs w:val="20"/>
        </w:rPr>
        <w:pict>
          <v:line id="Shape 59" o:spid="_x0000_s1084" style="position:absolute;z-index:251668992;visibility:visible;mso-wrap-distance-left:0;mso-wrap-distance-right:0" from=".4pt,48.55pt" to="518.4pt,48.55pt" o:allowincell="f" strokeweight=".16931mm"/>
        </w:pict>
      </w:r>
      <w:r>
        <w:rPr>
          <w:sz w:val="20"/>
          <w:szCs w:val="20"/>
        </w:rPr>
        <w:pict>
          <v:line id="Shape 60" o:spid="_x0000_s1085" style="position:absolute;z-index:251670016;visibility:visible;mso-wrap-distance-left:0;mso-wrap-distance-right:0" from=".4pt,60.55pt" to="518.4pt,60.55pt" o:allowincell="f" strokeweight=".16931mm"/>
        </w:pict>
      </w:r>
      <w:r>
        <w:rPr>
          <w:sz w:val="20"/>
          <w:szCs w:val="20"/>
        </w:rPr>
        <w:pict>
          <v:line id="Shape 61" o:spid="_x0000_s1086" style="position:absolute;z-index:251671040;visibility:visible;mso-wrap-distance-left:0;mso-wrap-distance-right:0" from=".4pt,72.55pt" to="518.4pt,72.55pt" o:allowincell="f" strokeweight=".16931mm"/>
        </w:pict>
      </w:r>
      <w:r>
        <w:rPr>
          <w:sz w:val="20"/>
          <w:szCs w:val="20"/>
        </w:rPr>
        <w:pict>
          <v:line id="Shape 62" o:spid="_x0000_s1087" style="position:absolute;z-index:251672064;visibility:visible;mso-wrap-distance-left:0;mso-wrap-distance-right:0" from=".4pt,84.55pt" to="518.4pt,84.55pt" o:allowincell="f" strokeweight=".16931mm"/>
        </w:pict>
      </w:r>
      <w:r>
        <w:rPr>
          <w:sz w:val="20"/>
          <w:szCs w:val="20"/>
        </w:rPr>
        <w:pict>
          <v:line id="Shape 63" o:spid="_x0000_s1088" style="position:absolute;z-index:251673088;visibility:visible;mso-wrap-distance-left:0;mso-wrap-distance-right:0" from=".6pt,.35pt" to=".6pt,96.8pt" o:allowincell="f" strokeweight=".16931mm"/>
        </w:pict>
      </w:r>
      <w:r>
        <w:rPr>
          <w:sz w:val="20"/>
          <w:szCs w:val="20"/>
        </w:rPr>
        <w:pict>
          <v:line id="Shape 64" o:spid="_x0000_s1089" style="position:absolute;z-index:251674112;visibility:visible;mso-wrap-distance-left:0;mso-wrap-distance-right:0" from="518.2pt,.35pt" to="518.2pt,96.8pt" o:allowincell="f" strokeweight=".16931mm"/>
        </w:pic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560"/>
        <w:gridCol w:w="4780"/>
      </w:tblGrid>
      <w:tr w:rsidR="000C6267">
        <w:trPr>
          <w:trHeight w:val="230"/>
        </w:trPr>
        <w:tc>
          <w:tcPr>
            <w:tcW w:w="556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478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4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</w:t>
            </w:r>
            <w:r w:rsidR="004A0DBE">
              <w:rPr>
                <w:rFonts w:eastAsia="Times New Roman"/>
                <w:b/>
                <w:bCs/>
                <w:sz w:val="20"/>
                <w:szCs w:val="20"/>
              </w:rPr>
              <w:t>7</w:t>
            </w:r>
          </w:p>
        </w:tc>
      </w:tr>
    </w:tbl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Výdavky budúcich období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9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Výnosy budúcich období spolu z toho:</w:t>
      </w:r>
    </w:p>
    <w:p w:rsidR="000C6267" w:rsidRDefault="00E55E99"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5" o:spid="_x0000_s1090" style="position:absolute;z-index:251675136;visibility:visible;mso-wrap-distance-left:0;mso-wrap-distance-right:0" from=".4pt,36.7pt" to="518.4pt,36.7pt" o:allowincell="f" strokeweight=".16931mm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5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informácia o </w:t>
      </w:r>
      <w:r>
        <w:rPr>
          <w:rFonts w:eastAsia="Times New Roman"/>
          <w:b/>
          <w:bCs/>
          <w:sz w:val="24"/>
          <w:szCs w:val="24"/>
        </w:rPr>
        <w:t>prijatých kapitálových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transferoch</w:t>
      </w:r>
      <w:r>
        <w:rPr>
          <w:rFonts w:eastAsia="Times New Roman"/>
          <w:sz w:val="24"/>
          <w:szCs w:val="24"/>
        </w:rPr>
        <w:t xml:space="preserve"> zaúčtovaných na účte 384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560"/>
        <w:gridCol w:w="4820"/>
      </w:tblGrid>
      <w:tr w:rsidR="000C6267">
        <w:trPr>
          <w:trHeight w:val="229"/>
        </w:trPr>
        <w:tc>
          <w:tcPr>
            <w:tcW w:w="5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9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Kapitálový transfer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Zúčtovanie do výnosov budúcich období</w:t>
            </w:r>
          </w:p>
        </w:tc>
      </w:tr>
      <w:tr w:rsidR="000C626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</w:t>
      </w:r>
    </w:p>
    <w:p w:rsidR="000C6267" w:rsidRDefault="00E10945">
      <w:pPr>
        <w:ind w:left="3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výnosoch a nákladoch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Výnosy - popis a výška významných položiek výnosov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23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right="17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0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tržby za vlastné výkony a tovar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služieb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 w:rsidP="00F231CC">
            <w:pPr>
              <w:spacing w:line="213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19</w:t>
            </w:r>
            <w:r w:rsidR="00F231CC">
              <w:rPr>
                <w:rFonts w:eastAsia="Times New Roman"/>
                <w:sz w:val="20"/>
                <w:szCs w:val="20"/>
              </w:rPr>
              <w:t>610</w:t>
            </w:r>
            <w:r>
              <w:rPr>
                <w:rFonts w:eastAsia="Times New Roman"/>
                <w:sz w:val="20"/>
                <w:szCs w:val="20"/>
              </w:rPr>
              <w:t>,8</w:t>
            </w:r>
            <w:r w:rsidR="00F231CC"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školné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strava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 w:rsidP="00F231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16</w:t>
            </w:r>
            <w:r w:rsidR="00F231CC">
              <w:rPr>
                <w:rFonts w:eastAsia="Times New Roman"/>
                <w:sz w:val="20"/>
                <w:szCs w:val="20"/>
              </w:rPr>
              <w:t>685</w:t>
            </w:r>
            <w:r>
              <w:rPr>
                <w:rFonts w:eastAsia="Times New Roman"/>
                <w:sz w:val="20"/>
                <w:szCs w:val="20"/>
              </w:rPr>
              <w:t>,</w:t>
            </w:r>
            <w:r w:rsidR="00F231CC">
              <w:rPr>
                <w:rFonts w:eastAsia="Times New Roman"/>
                <w:sz w:val="20"/>
                <w:szCs w:val="20"/>
              </w:rPr>
              <w:t>04</w:t>
            </w: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kopírovacie služby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vyhlasovanie rozhlasom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1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režijné náklady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 w:rsidP="00F231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292</w:t>
            </w:r>
            <w:r w:rsidR="00F231CC">
              <w:rPr>
                <w:rFonts w:eastAsia="Times New Roman"/>
                <w:sz w:val="20"/>
                <w:szCs w:val="20"/>
              </w:rPr>
              <w:t>5</w:t>
            </w:r>
            <w:r>
              <w:rPr>
                <w:rFonts w:eastAsia="Times New Roman"/>
                <w:sz w:val="20"/>
                <w:szCs w:val="20"/>
              </w:rPr>
              <w:t>,76</w:t>
            </w:r>
          </w:p>
        </w:tc>
      </w:tr>
      <w:tr w:rsidR="000C6267">
        <w:trPr>
          <w:trHeight w:val="239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8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zmena stavu vnútroorganizačných zásob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aktivácia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624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Aktivácia DHM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9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daňové a colné výnosy a výnosy z poplatkov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632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Daňové výnosy samosprávy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podielové dane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daň z nehnuteľností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daň za psa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633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poplatkov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správne poplatky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KO a DSO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finančné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4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CP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predaj akcií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Úroky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výnosy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mimoriadne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672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Náhrady škôd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výnosy z transferov a rozpočtových príjmov v obciach, VÚC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 RO a PO zriadených obcou alebo VÚC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9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bežných transferov z rozpočtu obce, VÚC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F231CC" w:rsidP="00F231CC">
            <w:pPr>
              <w:spacing w:line="218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152243,33</w:t>
            </w:r>
          </w:p>
        </w:tc>
      </w:tr>
    </w:tbl>
    <w:p w:rsidR="000C6267" w:rsidRDefault="00E55E99">
      <w:pPr>
        <w:spacing w:line="218" w:lineRule="exact"/>
        <w:jc w:val="right"/>
        <w:rPr>
          <w:sz w:val="20"/>
          <w:szCs w:val="20"/>
        </w:rPr>
        <w:sectPr w:rsidR="000C6267">
          <w:pgSz w:w="11900" w:h="16838"/>
          <w:pgMar w:top="698" w:right="420" w:bottom="361" w:left="1120" w:header="0" w:footer="0" w:gutter="0"/>
          <w:cols w:space="708" w:equalWidth="0">
            <w:col w:w="10360"/>
          </w:cols>
        </w:sectPr>
      </w:pPr>
      <w:r>
        <w:rPr>
          <w:sz w:val="20"/>
          <w:szCs w:val="20"/>
        </w:rPr>
        <w:pict>
          <v:rect id="Shape 66" o:spid="_x0000_s1091" style="position:absolute;left:0;text-align:left;margin-left:510.6pt;margin-top:-131.3pt;width:.95pt;height:1pt;z-index:-251621888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67" o:spid="_x0000_s1092" style="position:absolute;left:0;text-align:left;margin-left:510.6pt;margin-top:-.7pt;width:.95pt;height:.95pt;z-index:-25162086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99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10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0" w:name="page11"/>
      <w:bookmarkEnd w:id="10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4A0DBE">
        <w:rPr>
          <w:rFonts w:eastAsia="Times New Roman"/>
          <w:sz w:val="24"/>
          <w:szCs w:val="24"/>
        </w:rPr>
        <w:t>7</w:t>
      </w:r>
    </w:p>
    <w:p w:rsidR="000C6267" w:rsidRDefault="00E10945">
      <w:pPr>
        <w:spacing w:line="24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646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32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školský klub</w:t>
            </w:r>
          </w:p>
        </w:tc>
        <w:tc>
          <w:tcPr>
            <w:tcW w:w="4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1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školskú jedáleň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11199,13</w:t>
            </w: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na školu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 w:rsidP="00F231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  <w:r w:rsidR="00F231CC">
              <w:rPr>
                <w:rFonts w:eastAsia="Times New Roman"/>
                <w:sz w:val="20"/>
                <w:szCs w:val="20"/>
              </w:rPr>
              <w:t>36665,00</w:t>
            </w: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kapitálových transferov z rozpočtu obce, VÚC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zúčtovanie kapitálového transferu zriaďovateľa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zo ŠR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F231CC">
            <w:pPr>
              <w:spacing w:line="216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  43</w:t>
            </w:r>
            <w:r w:rsidR="00F231CC">
              <w:rPr>
                <w:rFonts w:eastAsia="Times New Roman"/>
                <w:sz w:val="20"/>
                <w:szCs w:val="20"/>
              </w:rPr>
              <w:t>79</w:t>
            </w:r>
            <w:r>
              <w:rPr>
                <w:rFonts w:eastAsia="Times New Roman"/>
                <w:sz w:val="20"/>
                <w:szCs w:val="20"/>
              </w:rPr>
              <w:t>,</w:t>
            </w:r>
            <w:r w:rsidR="00F231CC">
              <w:rPr>
                <w:rFonts w:eastAsia="Times New Roman"/>
                <w:sz w:val="20"/>
                <w:szCs w:val="20"/>
              </w:rPr>
              <w:t>2</w:t>
            </w: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-bežný transfer na príspevok 5. ročné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F231CC" w:rsidP="00F231CC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  4133,00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-bežný transfer na stravné a školské potreby DvHN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F231CC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246,20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694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zo ŠR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zo ŠR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695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EÚ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696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od EÚ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-zúčtovanie kapitálového transferu od EÚ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697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ostatných subjektov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mimo verejnej 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od ostatných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subjektov mimo verejnej 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od ostatných subjektov mimo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699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odvodu rozpočtových príjmov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zinkasované príjmy RO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ostatné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645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výnosy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4776,65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 zúčtovanie rezerv, opravných položiek, časového rozlíšenia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Zúčtovanie ostatných rezerv z prevádzkovej činnosti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Zúčtovanie ostatných opravných položiek z prevádzkovej činnosti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Náklady - popis a výška významných položiek nákladov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23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3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3" w:lineRule="exact"/>
              <w:ind w:right="17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spotrebované nákupy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materiálu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1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21860,42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energie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3791,84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elektrická energia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  </w:t>
            </w:r>
            <w:r w:rsidR="00E10945">
              <w:rPr>
                <w:rFonts w:eastAsia="Times New Roman"/>
                <w:sz w:val="20"/>
                <w:szCs w:val="20"/>
              </w:rPr>
              <w:t>1734,24</w:t>
            </w: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voda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plyn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2057,60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služby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Opravy a udržiavanie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spacing w:line="212" w:lineRule="exact"/>
              <w:jc w:val="right"/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oprava xxx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Cestovné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reprezentáciu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služby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4341,13</w:t>
            </w: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osobné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Mzdové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AA1335" w:rsidP="00AA1335">
            <w:pPr>
              <w:spacing w:line="21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77</w:t>
            </w:r>
            <w:r w:rsidR="00D21415">
              <w:rPr>
                <w:rFonts w:eastAsia="Times New Roman"/>
                <w:sz w:val="20"/>
                <w:szCs w:val="20"/>
              </w:rPr>
              <w:t>532,14</w:t>
            </w: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D21415" w:rsidP="00AA1335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12917,90</w:t>
            </w: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527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D21415" w:rsidP="00AA1335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2832,32</w:t>
            </w: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dane a poplatky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 z nehnuteľností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dane a poplatky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odpisy, rezervy a opravné položky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E55E99">
      <w:pPr>
        <w:rPr>
          <w:sz w:val="20"/>
          <w:szCs w:val="20"/>
        </w:r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sz w:val="20"/>
          <w:szCs w:val="20"/>
        </w:rPr>
        <w:pict>
          <v:rect id="Shape 69" o:spid="_x0000_s1094" style="position:absolute;margin-left:510.6pt;margin-top:-131.75pt;width:.95pt;height:.95pt;z-index:-251619840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70" o:spid="_x0000_s1095" style="position:absolute;margin-left:510.6pt;margin-top:-.7pt;width:.95pt;height:.95pt;z-index:-251618816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18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11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380"/>
        <w:gridCol w:w="220"/>
        <w:gridCol w:w="5480"/>
        <w:gridCol w:w="40"/>
        <w:gridCol w:w="2980"/>
        <w:gridCol w:w="1120"/>
        <w:gridCol w:w="30"/>
      </w:tblGrid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  <w:bookmarkStart w:id="11" w:name="page12"/>
            <w:bookmarkEnd w:id="11"/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500" w:type="dxa"/>
            <w:gridSpan w:val="3"/>
            <w:vAlign w:val="bottom"/>
          </w:tcPr>
          <w:p w:rsidR="000C6267" w:rsidRDefault="00E10945">
            <w:pPr>
              <w:ind w:left="2540"/>
              <w:rPr>
                <w:sz w:val="20"/>
                <w:szCs w:val="20"/>
              </w:rPr>
            </w:pPr>
            <w:r>
              <w:rPr>
                <w:rFonts w:eastAsia="Times New Roman"/>
                <w:i/>
                <w:iCs/>
                <w:sz w:val="24"/>
                <w:szCs w:val="24"/>
              </w:rPr>
              <w:t>Materská škola Kysucký Lieskovec č. 309</w:t>
            </w: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8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8500" w:type="dxa"/>
            <w:gridSpan w:val="3"/>
            <w:vAlign w:val="bottom"/>
          </w:tcPr>
          <w:p w:rsidR="000C6267" w:rsidRDefault="00E10945">
            <w:pPr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Poznámky individuálnej účtovnej závierky zostavenej k 31. decembru </w:t>
            </w:r>
            <w:r w:rsidR="00F12E13">
              <w:rPr>
                <w:rFonts w:eastAsia="Times New Roman"/>
                <w:sz w:val="24"/>
                <w:szCs w:val="24"/>
              </w:rPr>
              <w:t>201</w:t>
            </w:r>
            <w:r w:rsidR="004A0DBE">
              <w:rPr>
                <w:rFonts w:eastAsia="Times New Roman"/>
                <w:sz w:val="24"/>
                <w:szCs w:val="24"/>
              </w:rPr>
              <w:t>7</w:t>
            </w: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700" w:type="dxa"/>
            <w:gridSpan w:val="2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00" w:type="dxa"/>
            <w:gridSpan w:val="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551</w:t>
            </w:r>
          </w:p>
        </w:tc>
        <w:tc>
          <w:tcPr>
            <w:tcW w:w="5740" w:type="dxa"/>
            <w:gridSpan w:val="3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Odpisy DNM a DHM</w:t>
            </w:r>
          </w:p>
        </w:tc>
        <w:tc>
          <w:tcPr>
            <w:tcW w:w="2980" w:type="dxa"/>
            <w:tcBorders>
              <w:top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 z vlastných zdrojov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 z cudzích zdrojov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553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Tvorba ostatných rezerv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Tvorba ostatných opravných položiek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daňovým pohľadávkam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nedaňovým pohľadávkam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finančné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Predané CP a podiely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562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Úroky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náklady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D21415" w:rsidP="00225B32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550,85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mimoriadne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572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Škody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náklady na transfery a náklady z odvodov príjmov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3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584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do RO, PO zriadených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obcou alebo VÚC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u zriaďovateľa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585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ostatným subjektov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586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subjektov mimo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587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ostatné transfery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odvodu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D21415" w:rsidP="00225B32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11199,13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predpis odvodu príjmov RO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D21415" w:rsidP="00225B32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11199,13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589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budúceho odvodu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spacing w:line="216" w:lineRule="exact"/>
              <w:jc w:val="right"/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predpis budúceho odvodu príjmov RO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spacing w:line="229" w:lineRule="exact"/>
              <w:jc w:val="right"/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ostatné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ZC predaného DNM a DHM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544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545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546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 pohľadávky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náklady na prevádzkovú činnosť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549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Manká a škody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j) dane z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591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5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Splatná daň z príjmov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54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9100" w:type="dxa"/>
            <w:gridSpan w:val="5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3. Náklady voči audítorovi alebo audítorskej spoločnosti</w:t>
            </w: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2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Osobitné náklady podľa zákona o účtovníctve § 18 ods.6</w:t>
            </w:r>
          </w:p>
        </w:tc>
        <w:tc>
          <w:tcPr>
            <w:tcW w:w="3020" w:type="dxa"/>
            <w:gridSpan w:val="2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9100" w:type="dxa"/>
            <w:gridSpan w:val="5"/>
            <w:vAlign w:val="bottom"/>
          </w:tcPr>
          <w:p w:rsidR="000C6267" w:rsidRDefault="00E10945">
            <w:pPr>
              <w:spacing w:line="213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voči audítorovi alebo audítorskej spoločnosti v členení na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9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100" w:type="dxa"/>
            <w:gridSpan w:val="5"/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za: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E55E99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71" o:spid="_x0000_s1096" style="position:absolute;margin-left:511.6pt;margin-top:-63.8pt;width:.95pt;height:.95pt;z-index:-251617792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line id="Shape 72" o:spid="_x0000_s1097" style="position:absolute;z-index:251676160;visibility:visible;mso-wrap-distance-left:0;mso-wrap-distance-right:0;mso-position-horizontal-relative:text;mso-position-vertical-relative:text" from="1.6pt,-35.5pt" to="1.6pt,60.5pt" o:allowincell="f" strokeweight=".16931mm"/>
        </w:pict>
      </w:r>
      <w:r>
        <w:rPr>
          <w:sz w:val="20"/>
          <w:szCs w:val="20"/>
        </w:rPr>
        <w:pict>
          <v:line id="Shape 73" o:spid="_x0000_s1098" style="position:absolute;z-index:251677184;visibility:visible;mso-wrap-distance-left:0;mso-wrap-distance-right:0;mso-position-horizontal-relative:text;mso-position-vertical-relative:text" from="306.5pt,-35.5pt" to="306.5pt,60.5pt" o:allowincell="f" strokeweight=".48pt"/>
        </w:pict>
      </w:r>
      <w:r>
        <w:rPr>
          <w:sz w:val="20"/>
          <w:szCs w:val="20"/>
        </w:rPr>
        <w:pict>
          <v:line id="Shape 74" o:spid="_x0000_s1099" style="position:absolute;z-index:251678208;visibility:visible;mso-wrap-distance-left:0;mso-wrap-distance-right:0;mso-position-horizontal-relative:text;mso-position-vertical-relative:text" from="1.4pt,.2pt" to="511.85pt,.2pt" o:allowincell="f" strokeweight=".16931mm"/>
        </w:pict>
      </w:r>
      <w:r>
        <w:rPr>
          <w:sz w:val="20"/>
          <w:szCs w:val="20"/>
        </w:rPr>
        <w:pict>
          <v:rect id="Shape 75" o:spid="_x0000_s1100" style="position:absolute;margin-left:511.6pt;margin-top:-.25pt;width:.95pt;height:.95pt;z-index:-251616768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line id="Shape 76" o:spid="_x0000_s1101" style="position:absolute;z-index:251679232;visibility:visible;mso-wrap-distance-left:0;mso-wrap-distance-right:0;mso-position-horizontal-relative:text;mso-position-vertical-relative:text" from="1.4pt,12.25pt" to="512.3pt,12.25pt" o:allowincell="f" strokeweight=".48pt"/>
        </w:pict>
      </w:r>
      <w:r>
        <w:rPr>
          <w:sz w:val="20"/>
          <w:szCs w:val="20"/>
        </w:rPr>
        <w:pict>
          <v:line id="Shape 77" o:spid="_x0000_s1102" style="position:absolute;z-index:251680256;visibility:visible;mso-wrap-distance-left:0;mso-wrap-distance-right:0;mso-position-horizontal-relative:text;mso-position-vertical-relative:text" from="1.4pt,24.25pt" to="512.3pt,24.25pt" o:allowincell="f" strokeweight=".48pt"/>
        </w:pict>
      </w:r>
      <w:r>
        <w:rPr>
          <w:sz w:val="20"/>
          <w:szCs w:val="20"/>
        </w:rPr>
        <w:pict>
          <v:line id="Shape 78" o:spid="_x0000_s1103" style="position:absolute;z-index:251681280;visibility:visible;mso-wrap-distance-left:0;mso-wrap-distance-right:0;mso-position-horizontal-relative:text;mso-position-vertical-relative:text" from="1.4pt,36.25pt" to="512.3pt,36.25pt" o:allowincell="f" strokeweight=".48pt"/>
        </w:pict>
      </w:r>
      <w:r>
        <w:rPr>
          <w:sz w:val="20"/>
          <w:szCs w:val="20"/>
        </w:rPr>
        <w:pict>
          <v:line id="Shape 79" o:spid="_x0000_s1104" style="position:absolute;z-index:251682304;visibility:visible;mso-wrap-distance-left:0;mso-wrap-distance-right:0;mso-position-horizontal-relative:text;mso-position-vertical-relative:text" from="1.4pt,48.25pt" to="512.3pt,48.25pt" o:allowincell="f" strokeweight=".48pt"/>
        </w:pict>
      </w:r>
      <w:r>
        <w:rPr>
          <w:sz w:val="20"/>
          <w:szCs w:val="20"/>
        </w:rPr>
        <w:pict>
          <v:line id="Shape 80" o:spid="_x0000_s1105" style="position:absolute;z-index:251683328;visibility:visible;mso-wrap-distance-left:0;mso-wrap-distance-right:0;mso-position-horizontal-relative:text;mso-position-vertical-relative:text" from="1.4pt,60.25pt" to="512.3pt,60.25pt" o:allowincell="f" strokeweight=".48pt"/>
        </w:pict>
      </w:r>
      <w:r>
        <w:rPr>
          <w:sz w:val="20"/>
          <w:szCs w:val="20"/>
        </w:rPr>
        <w:pict>
          <v:line id="Shape 81" o:spid="_x0000_s1106" style="position:absolute;z-index:251684352;visibility:visible;mso-wrap-distance-left:0;mso-wrap-distance-right:0;mso-position-horizontal-relative:text;mso-position-vertical-relative:text" from="512.1pt,.45pt" to="512.1pt,60.5pt" o:allowincell="f" strokeweight=".16931mm"/>
        </w:pict>
      </w: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overenie účtovnej závierky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uisťovacie audítorské služby s výnimkou overenia účtovnej závierky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súvisiace audítorské služby,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daňové poradenstvo,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ostatné neaudítorské služby</w:t>
      </w:r>
    </w:p>
    <w:p w:rsidR="000C6267" w:rsidRDefault="000C6267">
      <w:pPr>
        <w:sectPr w:rsidR="000C6267">
          <w:pgSz w:w="11900" w:h="16838"/>
          <w:pgMar w:top="698" w:right="520" w:bottom="361" w:left="1100" w:header="0" w:footer="0" w:gutter="0"/>
          <w:cols w:space="708" w:equalWidth="0">
            <w:col w:w="1028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2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12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2" w:name="page13"/>
      <w:bookmarkEnd w:id="12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4A0DBE">
        <w:rPr>
          <w:rFonts w:eastAsia="Times New Roman"/>
          <w:sz w:val="24"/>
          <w:szCs w:val="24"/>
        </w:rPr>
        <w:t>7</w:t>
      </w:r>
    </w:p>
    <w:p w:rsidR="000C6267" w:rsidRDefault="00E10945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748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1" w:lineRule="exact"/>
        <w:rPr>
          <w:sz w:val="20"/>
          <w:szCs w:val="20"/>
        </w:rPr>
      </w:pPr>
    </w:p>
    <w:p w:rsidR="000C6267" w:rsidRDefault="00E10945">
      <w:pPr>
        <w:ind w:left="4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</w:t>
      </w:r>
    </w:p>
    <w:p w:rsidR="000C6267" w:rsidRDefault="00E10945">
      <w:pPr>
        <w:ind w:left="26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podsúvahových účtoch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Majetok a záväzky zabezpečené derivátmi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3060"/>
        <w:gridCol w:w="2880"/>
      </w:tblGrid>
      <w:tr w:rsidR="000C6267">
        <w:trPr>
          <w:trHeight w:val="22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významných položiek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ind w:left="7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majetku</w:t>
            </w:r>
          </w:p>
        </w:tc>
        <w:tc>
          <w:tcPr>
            <w:tcW w:w="28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Forma zabezpečenia</w:t>
            </w:r>
          </w:p>
        </w:tc>
      </w:tr>
      <w:tr w:rsidR="000C6267">
        <w:trPr>
          <w:trHeight w:val="229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 a záväzkov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tabs>
          <w:tab w:val="left" w:pos="340"/>
        </w:tabs>
        <w:spacing w:line="239" w:lineRule="auto"/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3"/>
          <w:szCs w:val="23"/>
        </w:rPr>
        <w:t>Ďalšie informácie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0"/>
        <w:gridCol w:w="3120"/>
        <w:gridCol w:w="2840"/>
      </w:tblGrid>
      <w:tr w:rsidR="000C6267">
        <w:trPr>
          <w:trHeight w:val="203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Významné položky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2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Účet</w:t>
            </w:r>
          </w:p>
        </w:tc>
      </w:tr>
      <w:tr w:rsidR="000C6267">
        <w:trPr>
          <w:trHeight w:val="194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Prenajatý majetok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6"/>
                <w:szCs w:val="16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6"/>
                <w:szCs w:val="16"/>
              </w:rPr>
            </w:pPr>
          </w:p>
        </w:tc>
      </w:tr>
      <w:tr w:rsidR="000C626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Majetok prijatý do úschovy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Odpísané pohľadávky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Prísne zúčtovateľné tlačivá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Materiál v skladoch civilnej ochrany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Prijaté depozitá a hypotéky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Iné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5" w:lineRule="exact"/>
        <w:rPr>
          <w:sz w:val="20"/>
          <w:szCs w:val="20"/>
        </w:rPr>
      </w:pPr>
    </w:p>
    <w:p w:rsidR="000C6267" w:rsidRDefault="00E10945">
      <w:pPr>
        <w:ind w:left="47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</w:t>
      </w:r>
    </w:p>
    <w:p w:rsidR="000C6267" w:rsidRDefault="00E10945">
      <w:pPr>
        <w:ind w:left="2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iných aktívach a iných pasívach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Iné aktíva a iné pasíva</w:t>
      </w:r>
    </w:p>
    <w:p w:rsidR="000C6267" w:rsidRDefault="000C6267">
      <w:pPr>
        <w:spacing w:line="7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hanging="279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opis a hodnota iných aktív</w:t>
      </w:r>
      <w:r>
        <w:rPr>
          <w:rFonts w:eastAsia="Times New Roman"/>
          <w:sz w:val="24"/>
          <w:szCs w:val="24"/>
        </w:rPr>
        <w:t>, ktorými sa rozumie možný majetok, ktorý vznikol v dôsledku minulých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udalostí a ktorého existencia alebo vlastníctvo závisí od toho, či nastane alebo nenastane jedna alebo viac neistých udalostí v budúcnosti, ktorých vznik nezávisí od účtovnej jednotky - tabuľka č.10.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č.10 - riadok 03 obsahuje údaje o budúcom práve účtovnej jednotky zo zmlúv o poskytnutí nenávratného finančného príspevku.</w:t>
      </w:r>
    </w:p>
    <w:p w:rsidR="000C6267" w:rsidRDefault="000C6267">
      <w:pPr>
        <w:spacing w:line="22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020"/>
        <w:gridCol w:w="980"/>
        <w:gridCol w:w="1980"/>
        <w:gridCol w:w="1720"/>
        <w:gridCol w:w="3400"/>
      </w:tblGrid>
      <w:tr w:rsidR="000C6267">
        <w:trPr>
          <w:trHeight w:val="216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Názov poskytovateľa</w:t>
            </w:r>
          </w:p>
        </w:tc>
        <w:tc>
          <w:tcPr>
            <w:tcW w:w="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Číslo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4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Hodnota prefinancovaných nákladov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nenávratného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zmluvy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ind w:left="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Predmet zmluvy</w:t>
            </w: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 zmluvy</w:t>
            </w: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z vlastných prostriedkov alebo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  <w:shd w:val="clear" w:color="auto" w:fill="F2F2F2"/>
              </w:rPr>
              <w:t>finančného príspevku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z úverových zdrojov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neuhradených/nerefundovaných</w:t>
            </w:r>
          </w:p>
        </w:tc>
      </w:tr>
      <w:tr w:rsidR="000C6267">
        <w:trPr>
          <w:trHeight w:val="209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poskytovateľom NFP k 31.12.</w:t>
            </w:r>
            <w:r w:rsidR="00F12E13">
              <w:rPr>
                <w:rFonts w:eastAsia="Times New Roman"/>
                <w:b/>
                <w:bCs/>
                <w:sz w:val="18"/>
                <w:szCs w:val="18"/>
              </w:rPr>
              <w:t>201</w:t>
            </w:r>
            <w:r w:rsidR="004A0DBE">
              <w:rPr>
                <w:rFonts w:eastAsia="Times New Roman"/>
                <w:b/>
                <w:bCs/>
                <w:sz w:val="18"/>
                <w:szCs w:val="18"/>
              </w:rPr>
              <w:t>7</w:t>
            </w:r>
          </w:p>
        </w:tc>
      </w:tr>
      <w:tr w:rsidR="000C6267">
        <w:trPr>
          <w:trHeight w:val="196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E55E99">
      <w:pPr>
        <w:spacing w:line="278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83" o:spid="_x0000_s1108" style="position:absolute;margin-left:503.5pt;margin-top:-.7pt;width:1pt;height:.95pt;z-index:-25161574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numPr>
          <w:ilvl w:val="0"/>
          <w:numId w:val="9"/>
        </w:numPr>
        <w:tabs>
          <w:tab w:val="left" w:pos="300"/>
        </w:tabs>
        <w:spacing w:line="236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opis a hodnota iných pasív</w:t>
      </w:r>
      <w:r>
        <w:rPr>
          <w:rFonts w:eastAsia="Times New Roman"/>
          <w:sz w:val="24"/>
          <w:szCs w:val="24"/>
        </w:rPr>
        <w:t>, vyplývajúcich zo súdnych rozhodnutí, z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poskytnutých záruk,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všeobecne záväzných právnych predpisov, z ručenia podľa jednotlivých druhov ručenia, takýmito inými pasívami sú:</w:t>
      </w:r>
    </w:p>
    <w:p w:rsidR="000C6267" w:rsidRDefault="000C6267">
      <w:pPr>
        <w:spacing w:line="14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1"/>
          <w:numId w:val="9"/>
        </w:numPr>
        <w:tabs>
          <w:tab w:val="left" w:pos="660"/>
        </w:tabs>
        <w:spacing w:line="236" w:lineRule="auto"/>
        <w:ind w:left="660" w:hanging="36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možná povinnosť</w:t>
      </w:r>
      <w:r>
        <w:rPr>
          <w:rFonts w:eastAsia="Times New Roman"/>
          <w:sz w:val="24"/>
          <w:szCs w:val="24"/>
        </w:rPr>
        <w:t>, ktorá vznikla ako dôsledok minulej udalosti a ktorej existencia závisí od toho,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či nastane alebo nenastane jedna alebo viac neistých udalostí v budúcnosti, ktorých vznik nezávisí od účtovnej jednotky, alebo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1"/>
          <w:numId w:val="9"/>
        </w:numPr>
        <w:tabs>
          <w:tab w:val="left" w:pos="660"/>
        </w:tabs>
        <w:spacing w:line="234" w:lineRule="auto"/>
        <w:ind w:left="660" w:hanging="36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povinnosť, </w:t>
      </w:r>
      <w:r>
        <w:rPr>
          <w:rFonts w:eastAsia="Times New Roman"/>
          <w:sz w:val="24"/>
          <w:szCs w:val="24"/>
        </w:rPr>
        <w:t>ktorá vznikla ako dôsledok minulej udalosti, ale ktorá sa nevykazuje v súvahe, pretože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nie je pravdepodobné, že na splnenie tejto povinnosti bude potrebný úbytok ekonomických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 w:right="3480" w:firstLine="64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úžitkov, alebo výška tejto povinnosti sa nedá spoľahlivo oceniť - tabuľka č.10.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4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13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3" w:name="page14"/>
      <w:bookmarkEnd w:id="13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4A0DBE">
        <w:rPr>
          <w:rFonts w:eastAsia="Times New Roman"/>
          <w:sz w:val="24"/>
          <w:szCs w:val="24"/>
        </w:rPr>
        <w:t>7</w:t>
      </w:r>
    </w:p>
    <w:p w:rsidR="000C6267" w:rsidRDefault="00E10945">
      <w:pPr>
        <w:spacing w:line="25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8512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4" name="Pictur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0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zoznam </w:t>
      </w:r>
      <w:r>
        <w:rPr>
          <w:rFonts w:eastAsia="Times New Roman"/>
          <w:b/>
          <w:bCs/>
          <w:sz w:val="24"/>
          <w:szCs w:val="24"/>
        </w:rPr>
        <w:t>nehnuteľných kultúrnych pamiatok</w:t>
      </w:r>
      <w:r>
        <w:rPr>
          <w:rFonts w:eastAsia="Times New Roman"/>
          <w:sz w:val="24"/>
          <w:szCs w:val="24"/>
        </w:rPr>
        <w:t xml:space="preserve"> v správe alebo vo vlastníctve účtovnej jednotky - tabuľka č.11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č.11 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informácia, či sú </w:t>
      </w:r>
      <w:r>
        <w:rPr>
          <w:rFonts w:eastAsia="Times New Roman"/>
          <w:b/>
          <w:bCs/>
          <w:sz w:val="24"/>
          <w:szCs w:val="24"/>
        </w:rPr>
        <w:t>iné aktíva a iné pasíva vykázané</w:t>
      </w:r>
      <w:r>
        <w:rPr>
          <w:rFonts w:eastAsia="Times New Roman"/>
          <w:sz w:val="24"/>
          <w:szCs w:val="24"/>
        </w:rPr>
        <w:t xml:space="preserve"> voči účtovnej jednotke súhrnného celku</w:t>
      </w:r>
    </w:p>
    <w:p w:rsidR="000C6267" w:rsidRDefault="000C6267">
      <w:pPr>
        <w:spacing w:line="266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440"/>
        <w:gridCol w:w="4540"/>
        <w:gridCol w:w="3120"/>
      </w:tblGrid>
      <w:tr w:rsidR="000C6267">
        <w:trPr>
          <w:trHeight w:val="240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Informácia</w:t>
            </w:r>
          </w:p>
        </w:tc>
        <w:tc>
          <w:tcPr>
            <w:tcW w:w="45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Vykázané voči ÚJ súhrnného celku</w:t>
            </w:r>
          </w:p>
        </w:tc>
        <w:tc>
          <w:tcPr>
            <w:tcW w:w="3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celkom</w:t>
            </w:r>
          </w:p>
        </w:tc>
      </w:tr>
      <w:tr w:rsidR="000C6267">
        <w:trPr>
          <w:trHeight w:val="227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Áno/Nie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Iné aktíva</w:t>
            </w: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Iné pasíva</w:t>
            </w: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2. Ostatné finančné povinnosti - </w:t>
      </w:r>
      <w:r>
        <w:rPr>
          <w:rFonts w:eastAsia="Times New Roman"/>
          <w:sz w:val="24"/>
          <w:szCs w:val="24"/>
        </w:rPr>
        <w:t>tabuľka č.10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Významné položky ostatných finančných povinností, ktoré sa nevykazujú v účtovných výkazoch.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58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14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4" w:name="page15"/>
      <w:bookmarkEnd w:id="14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4A0DBE">
        <w:rPr>
          <w:rFonts w:eastAsia="Times New Roman"/>
          <w:sz w:val="24"/>
          <w:szCs w:val="24"/>
        </w:rPr>
        <w:t>7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953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7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VIII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140" w:right="1840" w:hanging="1286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:rsidR="000C6267" w:rsidRDefault="000C6267">
      <w:pPr>
        <w:spacing w:line="290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1"/>
        </w:numPr>
        <w:tabs>
          <w:tab w:val="left" w:pos="300"/>
        </w:tabs>
        <w:spacing w:line="234" w:lineRule="auto"/>
        <w:ind w:left="300" w:right="1480" w:hanging="28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160"/>
        <w:gridCol w:w="1700"/>
        <w:gridCol w:w="1980"/>
        <w:gridCol w:w="2280"/>
        <w:gridCol w:w="1980"/>
      </w:tblGrid>
      <w:tr w:rsidR="000C6267">
        <w:trPr>
          <w:trHeight w:val="219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Hodnotové vyjadrenie</w:t>
            </w:r>
          </w:p>
        </w:tc>
        <w:tc>
          <w:tcPr>
            <w:tcW w:w="22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</w:tr>
      <w:tr w:rsidR="000C626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 neukončených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 cenách/hodnotách</w:t>
            </w:r>
          </w:p>
        </w:tc>
      </w:tr>
      <w:tr w:rsidR="000C626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alebo percentuálne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obchodoch/transakciách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realizovaných</w:t>
            </w:r>
          </w:p>
        </w:tc>
      </w:tr>
      <w:tr w:rsidR="000C6267">
        <w:trPr>
          <w:trHeight w:val="235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obchodu/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vyjadrenie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hodnotovom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</w:tr>
      <w:tr w:rsidR="000C6267">
        <w:trPr>
          <w:trHeight w:val="23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druh transakcie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obchodu/transakcie alebo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medzi účtovnou</w:t>
            </w:r>
          </w:p>
        </w:tc>
      </w:tr>
      <w:tr w:rsidR="000C6267">
        <w:trPr>
          <w:trHeight w:val="222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celkovému objemu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percentuálnom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jednotkou</w:t>
            </w:r>
          </w:p>
        </w:tc>
      </w:tr>
      <w:tr w:rsidR="000C626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obchodu/transakcie k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a spriaznenými</w:t>
            </w:r>
          </w:p>
        </w:tc>
      </w:tr>
      <w:tr w:rsidR="000C626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realizovaných ÚJ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celkovému objemu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osobami</w:t>
            </w:r>
          </w:p>
        </w:tc>
      </w:tr>
      <w:tr w:rsidR="000C6267">
        <w:trPr>
          <w:trHeight w:val="23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obchodov/transakcií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9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realizovaných ÚJ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b) opis a hodnota podmienených záväzkov voči spriazneným osobám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720"/>
        <w:gridCol w:w="2940"/>
        <w:gridCol w:w="3440"/>
      </w:tblGrid>
      <w:tr w:rsidR="000C6267">
        <w:trPr>
          <w:trHeight w:val="229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2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Podmienené záväzky</w:t>
            </w:r>
          </w:p>
        </w:tc>
        <w:tc>
          <w:tcPr>
            <w:tcW w:w="34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podmienených záväzkov</w:t>
            </w:r>
          </w:p>
        </w:tc>
      </w:tr>
      <w:tr w:rsidR="000C6267">
        <w:trPr>
          <w:trHeight w:val="221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4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IX</w:t>
      </w:r>
    </w:p>
    <w:p w:rsidR="000C6267" w:rsidRDefault="00E10945">
      <w:pPr>
        <w:ind w:left="24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rozpočte a hodnotenie plnenia rozpočtu</w:t>
      </w:r>
    </w:p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Informácie o rozpočte a hodnotenie plnenia rozpočtu - </w:t>
      </w:r>
      <w:r>
        <w:rPr>
          <w:rFonts w:eastAsia="Times New Roman"/>
          <w:sz w:val="24"/>
          <w:szCs w:val="24"/>
        </w:rPr>
        <w:t>tabuľka č.12-14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č.12-14: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4A0DBE">
        <w:rPr>
          <w:rFonts w:eastAsia="Times New Roman"/>
          <w:sz w:val="24"/>
          <w:szCs w:val="24"/>
        </w:rPr>
        <w:t>27.</w:t>
      </w:r>
      <w:r>
        <w:rPr>
          <w:rFonts w:eastAsia="Times New Roman"/>
          <w:sz w:val="24"/>
          <w:szCs w:val="24"/>
        </w:rPr>
        <w:t xml:space="preserve"> 0</w:t>
      </w:r>
      <w:r w:rsidR="004A0DBE">
        <w:rPr>
          <w:rFonts w:eastAsia="Times New Roman"/>
          <w:sz w:val="24"/>
          <w:szCs w:val="24"/>
        </w:rPr>
        <w:t>2</w:t>
      </w:r>
      <w:r>
        <w:rPr>
          <w:rFonts w:eastAsia="Times New Roman"/>
          <w:sz w:val="24"/>
          <w:szCs w:val="24"/>
        </w:rPr>
        <w:t xml:space="preserve">. </w:t>
      </w:r>
      <w:r w:rsidR="004A0DBE">
        <w:rPr>
          <w:rFonts w:eastAsia="Times New Roman"/>
          <w:sz w:val="24"/>
          <w:szCs w:val="24"/>
        </w:rPr>
        <w:t>2017</w:t>
      </w:r>
      <w:r>
        <w:rPr>
          <w:rFonts w:eastAsia="Times New Roman"/>
          <w:sz w:val="24"/>
          <w:szCs w:val="24"/>
        </w:rPr>
        <w:t xml:space="preserve"> uznesením č.</w:t>
      </w:r>
      <w:r w:rsidR="004A0DBE">
        <w:rPr>
          <w:rFonts w:eastAsia="Times New Roman"/>
          <w:sz w:val="24"/>
          <w:szCs w:val="24"/>
        </w:rPr>
        <w:t>537</w:t>
      </w:r>
      <w:r>
        <w:rPr>
          <w:rFonts w:eastAsia="Times New Roman"/>
          <w:sz w:val="24"/>
          <w:szCs w:val="24"/>
        </w:rPr>
        <w:t>/</w:t>
      </w:r>
      <w:r w:rsidR="00F12E13">
        <w:rPr>
          <w:rFonts w:eastAsia="Times New Roman"/>
          <w:sz w:val="24"/>
          <w:szCs w:val="24"/>
        </w:rPr>
        <w:t>201</w:t>
      </w:r>
      <w:r w:rsidR="004A0DBE">
        <w:rPr>
          <w:rFonts w:eastAsia="Times New Roman"/>
          <w:sz w:val="24"/>
          <w:szCs w:val="24"/>
        </w:rPr>
        <w:t>7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19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15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47"/>
        <w:rPr>
          <w:sz w:val="20"/>
          <w:szCs w:val="20"/>
        </w:rPr>
      </w:pPr>
      <w:bookmarkStart w:id="15" w:name="page16"/>
      <w:bookmarkEnd w:id="15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6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4A0DBE">
        <w:rPr>
          <w:rFonts w:eastAsia="Times New Roman"/>
          <w:sz w:val="24"/>
          <w:szCs w:val="24"/>
        </w:rPr>
        <w:t>7</w:t>
      </w:r>
    </w:p>
    <w:p w:rsidR="000C6267" w:rsidRDefault="00E10945">
      <w:pPr>
        <w:spacing w:line="25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column">
              <wp:posOffset>-17780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6" name="Picture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7" w:type="dxa"/>
        <w:tblLayout w:type="fixed"/>
        <w:tblCellMar>
          <w:left w:w="0" w:type="dxa"/>
          <w:right w:w="0" w:type="dxa"/>
        </w:tblCellMar>
        <w:tblLook w:val="04A0"/>
      </w:tblPr>
      <w:tblGrid>
        <w:gridCol w:w="580"/>
        <w:gridCol w:w="4400"/>
        <w:gridCol w:w="1740"/>
      </w:tblGrid>
      <w:tr w:rsidR="000C6267">
        <w:trPr>
          <w:trHeight w:val="276"/>
        </w:trPr>
        <w:tc>
          <w:tcPr>
            <w:tcW w:w="498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Zmeny rozpočtu: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prvá zmena schválená dňa .........................</w:t>
            </w:r>
          </w:p>
        </w:tc>
        <w:tc>
          <w:tcPr>
            <w:tcW w:w="17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uznesením č. .......</w:t>
            </w:r>
          </w:p>
        </w:tc>
      </w:tr>
      <w:tr w:rsidR="000C6267">
        <w:trPr>
          <w:trHeight w:val="276"/>
        </w:trPr>
        <w:tc>
          <w:tcPr>
            <w:tcW w:w="4980" w:type="dxa"/>
            <w:gridSpan w:val="2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  druhá zmena schválená dňa .........................</w:t>
            </w:r>
          </w:p>
        </w:tc>
        <w:tc>
          <w:tcPr>
            <w:tcW w:w="17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uznesením č. .......</w:t>
            </w: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tretia zmena schválená dňa .........................</w:t>
            </w:r>
          </w:p>
        </w:tc>
        <w:tc>
          <w:tcPr>
            <w:tcW w:w="17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uznesením č. .......</w:t>
            </w: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4"/>
                <w:szCs w:val="24"/>
              </w:rPr>
              <w:t>....................................................................................................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4"/>
                <w:szCs w:val="24"/>
              </w:rPr>
              <w:t>....................................................................................................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4"/>
                <w:szCs w:val="24"/>
              </w:rPr>
              <w:t>....................................................................................................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</w:tbl>
    <w:p w:rsidR="000C6267" w:rsidRDefault="000C6267">
      <w:pPr>
        <w:spacing w:line="288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7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Výška dlhu </w:t>
      </w:r>
      <w:r>
        <w:rPr>
          <w:rFonts w:eastAsia="Times New Roman"/>
          <w:sz w:val="24"/>
          <w:szCs w:val="24"/>
        </w:rPr>
        <w:t>podľa § 17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ods. 7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zákona č.583/2004 Z.z.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rozpočtových pravidlách územnej samosprávy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a o zmene a doplnení niektorých zákonov v z.n.p. za bežné účtovné obdobie a bezprostredne predchádzajúce účtovné obdobie - tabuľka č.15.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58" w:lineRule="exact"/>
        <w:rPr>
          <w:sz w:val="20"/>
          <w:szCs w:val="20"/>
        </w:rPr>
      </w:pPr>
    </w:p>
    <w:p w:rsidR="000C6267" w:rsidRDefault="00E10945">
      <w:pPr>
        <w:ind w:left="4827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X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247" w:right="380" w:hanging="2865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skutočnostiach, ktoré nastali po dni, ku ktorému sa zostavuje účtovná závierka do dňa zostavenia účtovnej závierky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5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Informácie o skutočnostiach, ktoré nastali po dni, ku ktorému sa zostavuje účtovná závierka do dňa zostavenia účtovnej závierky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2"/>
        </w:numPr>
        <w:tabs>
          <w:tab w:val="left" w:pos="287"/>
        </w:tabs>
        <w:spacing w:line="236" w:lineRule="auto"/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0C6267" w:rsidRDefault="000C6267">
      <w:pPr>
        <w:spacing w:line="1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dôvody pre zmenu výšky rezerv a opravných položiek,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zmeny významných položiek dlhodobého finančného majetku,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vydané dlhopisy a iné cenné papiere,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zmena právnej formy účtovnej jednotky,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mimoriadne udalosti, ak majú vplyv na hospodárenie účtovnej jednotky, napríklad živelné pohromy,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iné mimoriadne skutočnosti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Popis skutočností:</w:t>
      </w: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alebo</w:t>
      </w:r>
    </w:p>
    <w:p w:rsidR="000C6267" w:rsidRDefault="000C6267">
      <w:pPr>
        <w:spacing w:line="33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 31. decembri </w:t>
      </w:r>
      <w:r w:rsidR="004A0DBE">
        <w:rPr>
          <w:rFonts w:eastAsia="Times New Roman"/>
          <w:sz w:val="24"/>
          <w:szCs w:val="24"/>
        </w:rPr>
        <w:t>2017</w:t>
      </w:r>
      <w:r>
        <w:rPr>
          <w:rFonts w:eastAsia="Times New Roman"/>
          <w:sz w:val="24"/>
          <w:szCs w:val="24"/>
        </w:rPr>
        <w:t xml:space="preserve"> nenastali také udalosti, ktoré by si vyžadovali zverejnenie alebo vykázanie v účtovnej závierke za rok </w:t>
      </w:r>
      <w:r w:rsidR="004A0DBE">
        <w:rPr>
          <w:rFonts w:eastAsia="Times New Roman"/>
          <w:sz w:val="24"/>
          <w:szCs w:val="24"/>
        </w:rPr>
        <w:t>2017</w:t>
      </w:r>
      <w:r>
        <w:rPr>
          <w:rFonts w:eastAsia="Times New Roman"/>
          <w:sz w:val="24"/>
          <w:szCs w:val="24"/>
        </w:rPr>
        <w:t>.</w:t>
      </w:r>
    </w:p>
    <w:p w:rsidR="000C6267" w:rsidRDefault="000C6267">
      <w:pPr>
        <w:sectPr w:rsidR="000C6267">
          <w:pgSz w:w="11900" w:h="16838"/>
          <w:pgMar w:top="698" w:right="560" w:bottom="361" w:left="1133" w:header="0" w:footer="0" w:gutter="0"/>
          <w:cols w:space="708" w:equalWidth="0">
            <w:col w:w="10207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35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16</w:t>
      </w:r>
    </w:p>
    <w:sectPr w:rsidR="000C6267" w:rsidSect="000C6267">
      <w:type w:val="continuous"/>
      <w:pgSz w:w="11900" w:h="16838"/>
      <w:pgMar w:top="698" w:right="480" w:bottom="361" w:left="11220" w:header="0" w:footer="0" w:gutter="0"/>
      <w:cols w:space="708" w:equalWidth="0">
        <w:col w:w="20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13D2E270"/>
    <w:lvl w:ilvl="0" w:tplc="7A06A0E2">
      <w:start w:val="2"/>
      <w:numFmt w:val="lowerLetter"/>
      <w:lvlText w:val="%1)"/>
      <w:lvlJc w:val="left"/>
    </w:lvl>
    <w:lvl w:ilvl="1" w:tplc="9CB69A88">
      <w:start w:val="1"/>
      <w:numFmt w:val="decimal"/>
      <w:lvlText w:val="%2."/>
      <w:lvlJc w:val="left"/>
    </w:lvl>
    <w:lvl w:ilvl="2" w:tplc="FEA48004">
      <w:numFmt w:val="decimal"/>
      <w:lvlText w:val=""/>
      <w:lvlJc w:val="left"/>
    </w:lvl>
    <w:lvl w:ilvl="3" w:tplc="A4EEEFC0">
      <w:numFmt w:val="decimal"/>
      <w:lvlText w:val=""/>
      <w:lvlJc w:val="left"/>
    </w:lvl>
    <w:lvl w:ilvl="4" w:tplc="4E928992">
      <w:numFmt w:val="decimal"/>
      <w:lvlText w:val=""/>
      <w:lvlJc w:val="left"/>
    </w:lvl>
    <w:lvl w:ilvl="5" w:tplc="0E2CFE32">
      <w:numFmt w:val="decimal"/>
      <w:lvlText w:val=""/>
      <w:lvlJc w:val="left"/>
    </w:lvl>
    <w:lvl w:ilvl="6" w:tplc="50AE9DC8">
      <w:numFmt w:val="decimal"/>
      <w:lvlText w:val=""/>
      <w:lvlJc w:val="left"/>
    </w:lvl>
    <w:lvl w:ilvl="7" w:tplc="81B4723E">
      <w:numFmt w:val="decimal"/>
      <w:lvlText w:val=""/>
      <w:lvlJc w:val="left"/>
    </w:lvl>
    <w:lvl w:ilvl="8" w:tplc="56461DE4">
      <w:numFmt w:val="decimal"/>
      <w:lvlText w:val=""/>
      <w:lvlJc w:val="left"/>
    </w:lvl>
  </w:abstractNum>
  <w:abstractNum w:abstractNumId="1">
    <w:nsid w:val="1190CDE7"/>
    <w:multiLevelType w:val="hybridMultilevel"/>
    <w:tmpl w:val="59D25BA0"/>
    <w:lvl w:ilvl="0" w:tplc="6082DBF8">
      <w:start w:val="1"/>
      <w:numFmt w:val="decimal"/>
      <w:lvlText w:val="%1."/>
      <w:lvlJc w:val="left"/>
    </w:lvl>
    <w:lvl w:ilvl="1" w:tplc="545CA458">
      <w:numFmt w:val="decimal"/>
      <w:lvlText w:val=""/>
      <w:lvlJc w:val="left"/>
    </w:lvl>
    <w:lvl w:ilvl="2" w:tplc="3A38C0A6">
      <w:numFmt w:val="decimal"/>
      <w:lvlText w:val=""/>
      <w:lvlJc w:val="left"/>
    </w:lvl>
    <w:lvl w:ilvl="3" w:tplc="53E4DD8C">
      <w:numFmt w:val="decimal"/>
      <w:lvlText w:val=""/>
      <w:lvlJc w:val="left"/>
    </w:lvl>
    <w:lvl w:ilvl="4" w:tplc="D04442A6">
      <w:numFmt w:val="decimal"/>
      <w:lvlText w:val=""/>
      <w:lvlJc w:val="left"/>
    </w:lvl>
    <w:lvl w:ilvl="5" w:tplc="5A34FEF2">
      <w:numFmt w:val="decimal"/>
      <w:lvlText w:val=""/>
      <w:lvlJc w:val="left"/>
    </w:lvl>
    <w:lvl w:ilvl="6" w:tplc="485ECDEE">
      <w:numFmt w:val="decimal"/>
      <w:lvlText w:val=""/>
      <w:lvlJc w:val="left"/>
    </w:lvl>
    <w:lvl w:ilvl="7" w:tplc="B3A2EE4E">
      <w:numFmt w:val="decimal"/>
      <w:lvlText w:val=""/>
      <w:lvlJc w:val="left"/>
    </w:lvl>
    <w:lvl w:ilvl="8" w:tplc="C3A418E4">
      <w:numFmt w:val="decimal"/>
      <w:lvlText w:val=""/>
      <w:lvlJc w:val="left"/>
    </w:lvl>
  </w:abstractNum>
  <w:abstractNum w:abstractNumId="2">
    <w:nsid w:val="12200854"/>
    <w:multiLevelType w:val="hybridMultilevel"/>
    <w:tmpl w:val="C5FCE356"/>
    <w:lvl w:ilvl="0" w:tplc="1F3E08A0">
      <w:start w:val="6"/>
      <w:numFmt w:val="lowerLetter"/>
      <w:lvlText w:val="%1)"/>
      <w:lvlJc w:val="left"/>
    </w:lvl>
    <w:lvl w:ilvl="1" w:tplc="3F0AABD6">
      <w:start w:val="1"/>
      <w:numFmt w:val="lowerLetter"/>
      <w:lvlText w:val="%2"/>
      <w:lvlJc w:val="left"/>
    </w:lvl>
    <w:lvl w:ilvl="2" w:tplc="DEC6DCE6">
      <w:numFmt w:val="decimal"/>
      <w:lvlText w:val=""/>
      <w:lvlJc w:val="left"/>
    </w:lvl>
    <w:lvl w:ilvl="3" w:tplc="25A0EC32">
      <w:numFmt w:val="decimal"/>
      <w:lvlText w:val=""/>
      <w:lvlJc w:val="left"/>
    </w:lvl>
    <w:lvl w:ilvl="4" w:tplc="E2EACB2E">
      <w:numFmt w:val="decimal"/>
      <w:lvlText w:val=""/>
      <w:lvlJc w:val="left"/>
    </w:lvl>
    <w:lvl w:ilvl="5" w:tplc="1CA2E422">
      <w:numFmt w:val="decimal"/>
      <w:lvlText w:val=""/>
      <w:lvlJc w:val="left"/>
    </w:lvl>
    <w:lvl w:ilvl="6" w:tplc="AFE0D86E">
      <w:numFmt w:val="decimal"/>
      <w:lvlText w:val=""/>
      <w:lvlJc w:val="left"/>
    </w:lvl>
    <w:lvl w:ilvl="7" w:tplc="A1EE90F2">
      <w:numFmt w:val="decimal"/>
      <w:lvlText w:val=""/>
      <w:lvlJc w:val="left"/>
    </w:lvl>
    <w:lvl w:ilvl="8" w:tplc="3454CB78">
      <w:numFmt w:val="decimal"/>
      <w:lvlText w:val=""/>
      <w:lvlJc w:val="left"/>
    </w:lvl>
  </w:abstractNum>
  <w:abstractNum w:abstractNumId="3">
    <w:nsid w:val="1F16E9E8"/>
    <w:multiLevelType w:val="hybridMultilevel"/>
    <w:tmpl w:val="1052A044"/>
    <w:lvl w:ilvl="0" w:tplc="F15613C8">
      <w:start w:val="3"/>
      <w:numFmt w:val="lowerLetter"/>
      <w:lvlText w:val="%1)"/>
      <w:lvlJc w:val="left"/>
    </w:lvl>
    <w:lvl w:ilvl="1" w:tplc="30E87E54">
      <w:numFmt w:val="decimal"/>
      <w:lvlText w:val=""/>
      <w:lvlJc w:val="left"/>
    </w:lvl>
    <w:lvl w:ilvl="2" w:tplc="D2520A3C">
      <w:numFmt w:val="decimal"/>
      <w:lvlText w:val=""/>
      <w:lvlJc w:val="left"/>
    </w:lvl>
    <w:lvl w:ilvl="3" w:tplc="07BCF2B6">
      <w:numFmt w:val="decimal"/>
      <w:lvlText w:val=""/>
      <w:lvlJc w:val="left"/>
    </w:lvl>
    <w:lvl w:ilvl="4" w:tplc="CF405C46">
      <w:numFmt w:val="decimal"/>
      <w:lvlText w:val=""/>
      <w:lvlJc w:val="left"/>
    </w:lvl>
    <w:lvl w:ilvl="5" w:tplc="6D560306">
      <w:numFmt w:val="decimal"/>
      <w:lvlText w:val=""/>
      <w:lvlJc w:val="left"/>
    </w:lvl>
    <w:lvl w:ilvl="6" w:tplc="5888AFD2">
      <w:numFmt w:val="decimal"/>
      <w:lvlText w:val=""/>
      <w:lvlJc w:val="left"/>
    </w:lvl>
    <w:lvl w:ilvl="7" w:tplc="8B70CC72">
      <w:numFmt w:val="decimal"/>
      <w:lvlText w:val=""/>
      <w:lvlJc w:val="left"/>
    </w:lvl>
    <w:lvl w:ilvl="8" w:tplc="DE32E04C">
      <w:numFmt w:val="decimal"/>
      <w:lvlText w:val=""/>
      <w:lvlJc w:val="left"/>
    </w:lvl>
  </w:abstractNum>
  <w:abstractNum w:abstractNumId="4">
    <w:nsid w:val="2EB141F2"/>
    <w:multiLevelType w:val="hybridMultilevel"/>
    <w:tmpl w:val="A7F4C67E"/>
    <w:lvl w:ilvl="0" w:tplc="4D8EA8CA">
      <w:start w:val="2"/>
      <w:numFmt w:val="decimal"/>
      <w:lvlText w:val="%1."/>
      <w:lvlJc w:val="left"/>
    </w:lvl>
    <w:lvl w:ilvl="1" w:tplc="EB549C4C">
      <w:numFmt w:val="decimal"/>
      <w:lvlText w:val=""/>
      <w:lvlJc w:val="left"/>
    </w:lvl>
    <w:lvl w:ilvl="2" w:tplc="81089296">
      <w:numFmt w:val="decimal"/>
      <w:lvlText w:val=""/>
      <w:lvlJc w:val="left"/>
    </w:lvl>
    <w:lvl w:ilvl="3" w:tplc="ED0C736E">
      <w:numFmt w:val="decimal"/>
      <w:lvlText w:val=""/>
      <w:lvlJc w:val="left"/>
    </w:lvl>
    <w:lvl w:ilvl="4" w:tplc="D1C05EB0">
      <w:numFmt w:val="decimal"/>
      <w:lvlText w:val=""/>
      <w:lvlJc w:val="left"/>
    </w:lvl>
    <w:lvl w:ilvl="5" w:tplc="05EEF5B2">
      <w:numFmt w:val="decimal"/>
      <w:lvlText w:val=""/>
      <w:lvlJc w:val="left"/>
    </w:lvl>
    <w:lvl w:ilvl="6" w:tplc="72F22620">
      <w:numFmt w:val="decimal"/>
      <w:lvlText w:val=""/>
      <w:lvlJc w:val="left"/>
    </w:lvl>
    <w:lvl w:ilvl="7" w:tplc="14B854F0">
      <w:numFmt w:val="decimal"/>
      <w:lvlText w:val=""/>
      <w:lvlJc w:val="left"/>
    </w:lvl>
    <w:lvl w:ilvl="8" w:tplc="DF987542">
      <w:numFmt w:val="decimal"/>
      <w:lvlText w:val=""/>
      <w:lvlJc w:val="left"/>
    </w:lvl>
  </w:abstractNum>
  <w:abstractNum w:abstractNumId="5">
    <w:nsid w:val="41B71EFB"/>
    <w:multiLevelType w:val="hybridMultilevel"/>
    <w:tmpl w:val="CBA2B49E"/>
    <w:lvl w:ilvl="0" w:tplc="9AEE019E">
      <w:start w:val="1"/>
      <w:numFmt w:val="bullet"/>
      <w:lvlText w:val="-"/>
      <w:lvlJc w:val="left"/>
    </w:lvl>
    <w:lvl w:ilvl="1" w:tplc="7262BE9E">
      <w:numFmt w:val="decimal"/>
      <w:lvlText w:val=""/>
      <w:lvlJc w:val="left"/>
    </w:lvl>
    <w:lvl w:ilvl="2" w:tplc="53F42218">
      <w:numFmt w:val="decimal"/>
      <w:lvlText w:val=""/>
      <w:lvlJc w:val="left"/>
    </w:lvl>
    <w:lvl w:ilvl="3" w:tplc="475AA68E">
      <w:numFmt w:val="decimal"/>
      <w:lvlText w:val=""/>
      <w:lvlJc w:val="left"/>
    </w:lvl>
    <w:lvl w:ilvl="4" w:tplc="48D44BCA">
      <w:numFmt w:val="decimal"/>
      <w:lvlText w:val=""/>
      <w:lvlJc w:val="left"/>
    </w:lvl>
    <w:lvl w:ilvl="5" w:tplc="E6F84116">
      <w:numFmt w:val="decimal"/>
      <w:lvlText w:val=""/>
      <w:lvlJc w:val="left"/>
    </w:lvl>
    <w:lvl w:ilvl="6" w:tplc="49BC14F0">
      <w:numFmt w:val="decimal"/>
      <w:lvlText w:val=""/>
      <w:lvlJc w:val="left"/>
    </w:lvl>
    <w:lvl w:ilvl="7" w:tplc="8C9829A2">
      <w:numFmt w:val="decimal"/>
      <w:lvlText w:val=""/>
      <w:lvlJc w:val="left"/>
    </w:lvl>
    <w:lvl w:ilvl="8" w:tplc="84AA01D8">
      <w:numFmt w:val="decimal"/>
      <w:lvlText w:val=""/>
      <w:lvlJc w:val="left"/>
    </w:lvl>
  </w:abstractNum>
  <w:abstractNum w:abstractNumId="6">
    <w:nsid w:val="4DB127F8"/>
    <w:multiLevelType w:val="hybridMultilevel"/>
    <w:tmpl w:val="539E4EE6"/>
    <w:lvl w:ilvl="0" w:tplc="486EFEA0">
      <w:start w:val="1"/>
      <w:numFmt w:val="lowerLetter"/>
      <w:lvlText w:val="%1)"/>
      <w:lvlJc w:val="left"/>
    </w:lvl>
    <w:lvl w:ilvl="1" w:tplc="0E02D574">
      <w:numFmt w:val="decimal"/>
      <w:lvlText w:val=""/>
      <w:lvlJc w:val="left"/>
    </w:lvl>
    <w:lvl w:ilvl="2" w:tplc="6B5077AA">
      <w:numFmt w:val="decimal"/>
      <w:lvlText w:val=""/>
      <w:lvlJc w:val="left"/>
    </w:lvl>
    <w:lvl w:ilvl="3" w:tplc="20526ED4">
      <w:numFmt w:val="decimal"/>
      <w:lvlText w:val=""/>
      <w:lvlJc w:val="left"/>
    </w:lvl>
    <w:lvl w:ilvl="4" w:tplc="4F2EF73E">
      <w:numFmt w:val="decimal"/>
      <w:lvlText w:val=""/>
      <w:lvlJc w:val="left"/>
    </w:lvl>
    <w:lvl w:ilvl="5" w:tplc="C7689E4C">
      <w:numFmt w:val="decimal"/>
      <w:lvlText w:val=""/>
      <w:lvlJc w:val="left"/>
    </w:lvl>
    <w:lvl w:ilvl="6" w:tplc="475263D4">
      <w:numFmt w:val="decimal"/>
      <w:lvlText w:val=""/>
      <w:lvlJc w:val="left"/>
    </w:lvl>
    <w:lvl w:ilvl="7" w:tplc="4E7680A8">
      <w:numFmt w:val="decimal"/>
      <w:lvlText w:val=""/>
      <w:lvlJc w:val="left"/>
    </w:lvl>
    <w:lvl w:ilvl="8" w:tplc="3BC8B032">
      <w:numFmt w:val="decimal"/>
      <w:lvlText w:val=""/>
      <w:lvlJc w:val="left"/>
    </w:lvl>
  </w:abstractNum>
  <w:abstractNum w:abstractNumId="7">
    <w:nsid w:val="515F007C"/>
    <w:multiLevelType w:val="hybridMultilevel"/>
    <w:tmpl w:val="D6925740"/>
    <w:lvl w:ilvl="0" w:tplc="94E24C18">
      <w:start w:val="3"/>
      <w:numFmt w:val="lowerLetter"/>
      <w:lvlText w:val="%1)"/>
      <w:lvlJc w:val="left"/>
    </w:lvl>
    <w:lvl w:ilvl="1" w:tplc="8454FA1C">
      <w:numFmt w:val="decimal"/>
      <w:lvlText w:val=""/>
      <w:lvlJc w:val="left"/>
    </w:lvl>
    <w:lvl w:ilvl="2" w:tplc="95EE40F6">
      <w:numFmt w:val="decimal"/>
      <w:lvlText w:val=""/>
      <w:lvlJc w:val="left"/>
    </w:lvl>
    <w:lvl w:ilvl="3" w:tplc="91980B3C">
      <w:numFmt w:val="decimal"/>
      <w:lvlText w:val=""/>
      <w:lvlJc w:val="left"/>
    </w:lvl>
    <w:lvl w:ilvl="4" w:tplc="54E0A1E6">
      <w:numFmt w:val="decimal"/>
      <w:lvlText w:val=""/>
      <w:lvlJc w:val="left"/>
    </w:lvl>
    <w:lvl w:ilvl="5" w:tplc="85F445AE">
      <w:numFmt w:val="decimal"/>
      <w:lvlText w:val=""/>
      <w:lvlJc w:val="left"/>
    </w:lvl>
    <w:lvl w:ilvl="6" w:tplc="B824DE8C">
      <w:numFmt w:val="decimal"/>
      <w:lvlText w:val=""/>
      <w:lvlJc w:val="left"/>
    </w:lvl>
    <w:lvl w:ilvl="7" w:tplc="3FF861A6">
      <w:numFmt w:val="decimal"/>
      <w:lvlText w:val=""/>
      <w:lvlJc w:val="left"/>
    </w:lvl>
    <w:lvl w:ilvl="8" w:tplc="9C4EE276">
      <w:numFmt w:val="decimal"/>
      <w:lvlText w:val=""/>
      <w:lvlJc w:val="left"/>
    </w:lvl>
  </w:abstractNum>
  <w:abstractNum w:abstractNumId="8">
    <w:nsid w:val="5BD062C2"/>
    <w:multiLevelType w:val="hybridMultilevel"/>
    <w:tmpl w:val="5922ED70"/>
    <w:lvl w:ilvl="0" w:tplc="936AD84C">
      <w:start w:val="1"/>
      <w:numFmt w:val="lowerLetter"/>
      <w:lvlText w:val="%1"/>
      <w:lvlJc w:val="left"/>
    </w:lvl>
    <w:lvl w:ilvl="1" w:tplc="8BF261AC">
      <w:start w:val="15"/>
      <w:numFmt w:val="lowerLetter"/>
      <w:lvlText w:val="%2"/>
      <w:lvlJc w:val="left"/>
    </w:lvl>
    <w:lvl w:ilvl="2" w:tplc="8356FEA0">
      <w:numFmt w:val="decimal"/>
      <w:lvlText w:val=""/>
      <w:lvlJc w:val="left"/>
    </w:lvl>
    <w:lvl w:ilvl="3" w:tplc="EF8203CA">
      <w:numFmt w:val="decimal"/>
      <w:lvlText w:val=""/>
      <w:lvlJc w:val="left"/>
    </w:lvl>
    <w:lvl w:ilvl="4" w:tplc="A7226F36">
      <w:numFmt w:val="decimal"/>
      <w:lvlText w:val=""/>
      <w:lvlJc w:val="left"/>
    </w:lvl>
    <w:lvl w:ilvl="5" w:tplc="D3342F5C">
      <w:numFmt w:val="decimal"/>
      <w:lvlText w:val=""/>
      <w:lvlJc w:val="left"/>
    </w:lvl>
    <w:lvl w:ilvl="6" w:tplc="63EA617A">
      <w:numFmt w:val="decimal"/>
      <w:lvlText w:val=""/>
      <w:lvlJc w:val="left"/>
    </w:lvl>
    <w:lvl w:ilvl="7" w:tplc="09E640A6">
      <w:numFmt w:val="decimal"/>
      <w:lvlText w:val=""/>
      <w:lvlJc w:val="left"/>
    </w:lvl>
    <w:lvl w:ilvl="8" w:tplc="853AA746">
      <w:numFmt w:val="decimal"/>
      <w:lvlText w:val=""/>
      <w:lvlJc w:val="left"/>
    </w:lvl>
  </w:abstractNum>
  <w:abstractNum w:abstractNumId="9">
    <w:nsid w:val="66EF438D"/>
    <w:multiLevelType w:val="hybridMultilevel"/>
    <w:tmpl w:val="368053BE"/>
    <w:lvl w:ilvl="0" w:tplc="FE081108">
      <w:start w:val="1"/>
      <w:numFmt w:val="lowerLetter"/>
      <w:lvlText w:val="%1)"/>
      <w:lvlJc w:val="left"/>
    </w:lvl>
    <w:lvl w:ilvl="1" w:tplc="B4967D14">
      <w:numFmt w:val="decimal"/>
      <w:lvlText w:val=""/>
      <w:lvlJc w:val="left"/>
    </w:lvl>
    <w:lvl w:ilvl="2" w:tplc="D5583D30">
      <w:numFmt w:val="decimal"/>
      <w:lvlText w:val=""/>
      <w:lvlJc w:val="left"/>
    </w:lvl>
    <w:lvl w:ilvl="3" w:tplc="D3CA7AD8">
      <w:numFmt w:val="decimal"/>
      <w:lvlText w:val=""/>
      <w:lvlJc w:val="left"/>
    </w:lvl>
    <w:lvl w:ilvl="4" w:tplc="20AE09D0">
      <w:numFmt w:val="decimal"/>
      <w:lvlText w:val=""/>
      <w:lvlJc w:val="left"/>
    </w:lvl>
    <w:lvl w:ilvl="5" w:tplc="B45CB33E">
      <w:numFmt w:val="decimal"/>
      <w:lvlText w:val=""/>
      <w:lvlJc w:val="left"/>
    </w:lvl>
    <w:lvl w:ilvl="6" w:tplc="DFD20D44">
      <w:numFmt w:val="decimal"/>
      <w:lvlText w:val=""/>
      <w:lvlJc w:val="left"/>
    </w:lvl>
    <w:lvl w:ilvl="7" w:tplc="48D8D828">
      <w:numFmt w:val="decimal"/>
      <w:lvlText w:val=""/>
      <w:lvlJc w:val="left"/>
    </w:lvl>
    <w:lvl w:ilvl="8" w:tplc="39B2EA3C">
      <w:numFmt w:val="decimal"/>
      <w:lvlText w:val=""/>
      <w:lvlJc w:val="left"/>
    </w:lvl>
  </w:abstractNum>
  <w:abstractNum w:abstractNumId="10">
    <w:nsid w:val="7545E146"/>
    <w:multiLevelType w:val="hybridMultilevel"/>
    <w:tmpl w:val="D832A024"/>
    <w:lvl w:ilvl="0" w:tplc="3586E3E0">
      <w:start w:val="1"/>
      <w:numFmt w:val="bullet"/>
      <w:lvlText w:val="-"/>
      <w:lvlJc w:val="left"/>
    </w:lvl>
    <w:lvl w:ilvl="1" w:tplc="A1C6CCCC">
      <w:numFmt w:val="decimal"/>
      <w:lvlText w:val=""/>
      <w:lvlJc w:val="left"/>
    </w:lvl>
    <w:lvl w:ilvl="2" w:tplc="4398B2E6">
      <w:numFmt w:val="decimal"/>
      <w:lvlText w:val=""/>
      <w:lvlJc w:val="left"/>
    </w:lvl>
    <w:lvl w:ilvl="3" w:tplc="C59EC070">
      <w:numFmt w:val="decimal"/>
      <w:lvlText w:val=""/>
      <w:lvlJc w:val="left"/>
    </w:lvl>
    <w:lvl w:ilvl="4" w:tplc="037C26A8">
      <w:numFmt w:val="decimal"/>
      <w:lvlText w:val=""/>
      <w:lvlJc w:val="left"/>
    </w:lvl>
    <w:lvl w:ilvl="5" w:tplc="59045B3A">
      <w:numFmt w:val="decimal"/>
      <w:lvlText w:val=""/>
      <w:lvlJc w:val="left"/>
    </w:lvl>
    <w:lvl w:ilvl="6" w:tplc="4DC27B4A">
      <w:numFmt w:val="decimal"/>
      <w:lvlText w:val=""/>
      <w:lvlJc w:val="left"/>
    </w:lvl>
    <w:lvl w:ilvl="7" w:tplc="436A9266">
      <w:numFmt w:val="decimal"/>
      <w:lvlText w:val=""/>
      <w:lvlJc w:val="left"/>
    </w:lvl>
    <w:lvl w:ilvl="8" w:tplc="0074A75A">
      <w:numFmt w:val="decimal"/>
      <w:lvlText w:val=""/>
      <w:lvlJc w:val="left"/>
    </w:lvl>
  </w:abstractNum>
  <w:abstractNum w:abstractNumId="11">
    <w:nsid w:val="79E2A9E3"/>
    <w:multiLevelType w:val="hybridMultilevel"/>
    <w:tmpl w:val="238CF2B0"/>
    <w:lvl w:ilvl="0" w:tplc="00E21B52">
      <w:start w:val="1"/>
      <w:numFmt w:val="bullet"/>
      <w:lvlText w:val="-"/>
      <w:lvlJc w:val="left"/>
    </w:lvl>
    <w:lvl w:ilvl="1" w:tplc="9400412C">
      <w:numFmt w:val="decimal"/>
      <w:lvlText w:val=""/>
      <w:lvlJc w:val="left"/>
    </w:lvl>
    <w:lvl w:ilvl="2" w:tplc="A6E0719E">
      <w:numFmt w:val="decimal"/>
      <w:lvlText w:val=""/>
      <w:lvlJc w:val="left"/>
    </w:lvl>
    <w:lvl w:ilvl="3" w:tplc="204A0B98">
      <w:numFmt w:val="decimal"/>
      <w:lvlText w:val=""/>
      <w:lvlJc w:val="left"/>
    </w:lvl>
    <w:lvl w:ilvl="4" w:tplc="404870EC">
      <w:numFmt w:val="decimal"/>
      <w:lvlText w:val=""/>
      <w:lvlJc w:val="left"/>
    </w:lvl>
    <w:lvl w:ilvl="5" w:tplc="7A4AE506">
      <w:numFmt w:val="decimal"/>
      <w:lvlText w:val=""/>
      <w:lvlJc w:val="left"/>
    </w:lvl>
    <w:lvl w:ilvl="6" w:tplc="AB3E0EF2">
      <w:numFmt w:val="decimal"/>
      <w:lvlText w:val=""/>
      <w:lvlJc w:val="left"/>
    </w:lvl>
    <w:lvl w:ilvl="7" w:tplc="C4D4B2DE">
      <w:numFmt w:val="decimal"/>
      <w:lvlText w:val=""/>
      <w:lvlJc w:val="left"/>
    </w:lvl>
    <w:lvl w:ilvl="8" w:tplc="9B5242C4">
      <w:numFmt w:val="decimal"/>
      <w:lvlText w:val=""/>
      <w:lvlJc w:val="left"/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10"/>
  </w:num>
  <w:num w:numId="5">
    <w:abstractNumId w:val="7"/>
  </w:num>
  <w:num w:numId="6">
    <w:abstractNumId w:val="8"/>
  </w:num>
  <w:num w:numId="7">
    <w:abstractNumId w:val="2"/>
  </w:num>
  <w:num w:numId="8">
    <w:abstractNumId w:val="6"/>
  </w:num>
  <w:num w:numId="9">
    <w:abstractNumId w:val="0"/>
  </w:num>
  <w:num w:numId="10">
    <w:abstractNumId w:val="3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0C6267"/>
    <w:rsid w:val="000C6267"/>
    <w:rsid w:val="00225B32"/>
    <w:rsid w:val="004A0DBE"/>
    <w:rsid w:val="004B06DE"/>
    <w:rsid w:val="00AA1335"/>
    <w:rsid w:val="00B67B5C"/>
    <w:rsid w:val="00BA3B37"/>
    <w:rsid w:val="00BF5030"/>
    <w:rsid w:val="00D21415"/>
    <w:rsid w:val="00E10945"/>
    <w:rsid w:val="00E55E99"/>
    <w:rsid w:val="00F12E13"/>
    <w:rsid w:val="00F231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62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109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94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5387</Words>
  <Characters>30711</Characters>
  <Application>Microsoft Office Word</Application>
  <DocSecurity>0</DocSecurity>
  <Lines>255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Jana</cp:lastModifiedBy>
  <cp:revision>9</cp:revision>
  <dcterms:created xsi:type="dcterms:W3CDTF">2017-05-03T08:39:00Z</dcterms:created>
  <dcterms:modified xsi:type="dcterms:W3CDTF">2018-05-02T04:55:00Z</dcterms:modified>
</cp:coreProperties>
</file>