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201</w:t>
      </w:r>
      <w:r w:rsidR="008B073E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36404578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78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378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rovnomerné odpisovanie podľa odpisových skupín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žiadne zmeny 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>
        <w:rPr>
          <w:rFonts w:ascii="Arial" w:hAnsi="Arial" w:cs="Arial"/>
          <w:sz w:val="22"/>
          <w:szCs w:val="22"/>
        </w:rPr>
        <w:t>jeden spoločník – 100% podiel na základnom imaní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27867">
    <w:pPr>
      <w:spacing w:line="200" w:lineRule="exact"/>
      <w:rPr>
        <w:sz w:val="20"/>
        <w:szCs w:val="20"/>
      </w:rPr>
    </w:pPr>
    <w:r w:rsidRPr="0092786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2786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27867">
                  <w:fldChar w:fldCharType="separate"/>
                </w:r>
                <w:r w:rsidR="008B073E">
                  <w:rPr>
                    <w:rFonts w:cs="Times New Roman"/>
                    <w:noProof/>
                  </w:rPr>
                  <w:t>3</w:t>
                </w:r>
                <w:r w:rsidR="0092786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C1D7E"/>
    <w:rsid w:val="00E1750C"/>
    <w:rsid w:val="00E532AD"/>
    <w:rsid w:val="00E70F0E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2018-06-05T12:07:00Z</dcterms:created>
  <dcterms:modified xsi:type="dcterms:W3CDTF">2018-06-05T12:07:00Z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