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181A" w:rsidRDefault="00E02E72" w:rsidP="00A1181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Poznámky k 31.12.2017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ako súčasť konsolidovanej účtovnej závierky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účtovnej jednotky verejnej správy 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bCs/>
          <w:i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Obce </w:t>
      </w:r>
      <w:r>
        <w:rPr>
          <w:rFonts w:ascii="Arial" w:hAnsi="Arial" w:cs="Arial"/>
          <w:b/>
          <w:bCs/>
          <w:i/>
          <w:sz w:val="24"/>
          <w:szCs w:val="24"/>
        </w:rPr>
        <w:t>Hontianske Nemce</w:t>
      </w: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Všeobecné údaje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  konsolidujúcej účtovnej jednotke</w:t>
      </w:r>
    </w:p>
    <w:p w:rsidR="00A1181A" w:rsidRDefault="00A1181A" w:rsidP="00A1181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A1181A" w:rsidTr="00E52A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Obec Hontianske Nemce</w:t>
            </w:r>
          </w:p>
        </w:tc>
      </w:tr>
      <w:tr w:rsidR="00A1181A" w:rsidTr="00E52A7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 Hontianske Nemce 500</w:t>
            </w:r>
          </w:p>
        </w:tc>
      </w:tr>
      <w:tr w:rsidR="00A1181A" w:rsidTr="00E52A7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 zmysle zákona o obecnom zriadení</w:t>
            </w:r>
          </w:p>
        </w:tc>
      </w:tr>
    </w:tbl>
    <w:p w:rsidR="00A1181A" w:rsidRDefault="00A1181A" w:rsidP="00A1181A">
      <w:pPr>
        <w:spacing w:line="360" w:lineRule="auto"/>
      </w:pP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Identifikačné údaje o konsolidovaných  účtovných  jednotkách – rozpočtových organizáciách v zriaďovateľskej pôsobnosti konsolidujúcej</w:t>
      </w:r>
      <w:r>
        <w:rPr>
          <w:rFonts w:ascii="Arial" w:hAnsi="Arial" w:cs="Arial"/>
          <w:b/>
          <w:i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účtovnej jednotky</w:t>
      </w: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A1181A" w:rsidTr="00E52A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</w:tr>
      <w:tr w:rsidR="00A1181A" w:rsidTr="00E52A7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962 65 Hontianske Nemce č. 78</w:t>
            </w:r>
          </w:p>
        </w:tc>
      </w:tr>
      <w:tr w:rsidR="00A1181A" w:rsidTr="00E52A7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Zriaďovacou listinou, dňa 1.1.2004</w:t>
            </w:r>
          </w:p>
        </w:tc>
      </w:tr>
    </w:tbl>
    <w:p w:rsidR="00A1181A" w:rsidRDefault="00A1181A" w:rsidP="00A1181A">
      <w:pPr>
        <w:spacing w:line="360" w:lineRule="auto"/>
      </w:pPr>
    </w:p>
    <w:p w:rsidR="00A1181A" w:rsidRDefault="00A1181A" w:rsidP="00A1181A">
      <w:pPr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A1181A" w:rsidRDefault="00A1181A" w:rsidP="00A1181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45"/>
      </w:tblGrid>
      <w:tr w:rsidR="00A1181A" w:rsidTr="00E52A77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E02E72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54</w:t>
            </w:r>
          </w:p>
        </w:tc>
      </w:tr>
      <w:tr w:rsidR="00A1181A" w:rsidTr="00E52A77">
        <w:tc>
          <w:tcPr>
            <w:tcW w:w="4781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484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</w:tr>
    </w:tbl>
    <w:p w:rsidR="00A1181A" w:rsidRDefault="00A1181A" w:rsidP="00A1181A">
      <w:pPr>
        <w:spacing w:line="360" w:lineRule="auto"/>
        <w:jc w:val="center"/>
      </w:pPr>
    </w:p>
    <w:p w:rsidR="00A1181A" w:rsidRDefault="00A1181A" w:rsidP="00A1181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 metódach oceňovania použitých pri ocenení jednotlivých položiek konsolidovanej účtovnej závierky obce  Hontianske Nemce</w:t>
      </w:r>
    </w:p>
    <w:p w:rsidR="00A1181A" w:rsidRDefault="00A1181A" w:rsidP="00A1181A">
      <w:pPr>
        <w:spacing w:line="360" w:lineRule="auto"/>
        <w:rPr>
          <w:rFonts w:ascii="Arial" w:hAnsi="Arial" w:cs="Arial"/>
          <w:b/>
          <w:i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hmotný a nehmotný majetok nakupovaný sa oceňuje obstarávacou cenou, ktorá zahrňuje cenu obstarania a náklady súvisiace s obstaraním (clo, prepravu, montáž</w:t>
      </w:r>
      <w:r w:rsidR="00E02E7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). 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Súčasťou obstarávacej ceny dlhodobého nehmotného a hmotného majetku </w:t>
      </w:r>
      <w:r>
        <w:rPr>
          <w:rFonts w:ascii="Arial" w:hAnsi="Arial" w:cs="Arial"/>
          <w:iCs/>
          <w:sz w:val="24"/>
          <w:szCs w:val="24"/>
        </w:rPr>
        <w:t xml:space="preserve">nie sú </w:t>
      </w:r>
      <w:r>
        <w:rPr>
          <w:rFonts w:ascii="Arial" w:hAnsi="Arial" w:cs="Arial"/>
          <w:sz w:val="24"/>
          <w:szCs w:val="24"/>
        </w:rPr>
        <w:t>úroky z úverov.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Default="00A1181A" w:rsidP="00E02E72">
      <w:pPr>
        <w:numPr>
          <w:ilvl w:val="0"/>
          <w:numId w:val="7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7"/>
        </w:numPr>
        <w:rPr>
          <w:rFonts w:ascii="Arial" w:eastAsiaTheme="minorHAnsi" w:hAnsi="Arial" w:cs="Arial"/>
          <w:sz w:val="24"/>
          <w:szCs w:val="24"/>
          <w:lang w:eastAsia="sk-SK"/>
        </w:rPr>
      </w:pPr>
      <w:r w:rsidRPr="00E02E72">
        <w:rPr>
          <w:rFonts w:ascii="Arial" w:hAnsi="Arial" w:cs="Arial"/>
          <w:iCs/>
          <w:sz w:val="24"/>
          <w:szCs w:val="24"/>
        </w:rPr>
        <w:t>Dlhodobý majetok nadobudnutý darovaním</w:t>
      </w:r>
      <w:r w:rsidR="00E02E72" w:rsidRPr="00E02E72">
        <w:rPr>
          <w:rFonts w:ascii="Arial" w:hAnsi="Arial" w:cs="Arial"/>
          <w:iCs/>
          <w:sz w:val="24"/>
          <w:szCs w:val="24"/>
        </w:rPr>
        <w:t xml:space="preserve"> /bezodplatne/</w:t>
      </w:r>
      <w:r w:rsidRPr="00E02E72">
        <w:rPr>
          <w:rFonts w:ascii="Arial" w:hAnsi="Arial" w:cs="Arial"/>
          <w:iCs/>
          <w:sz w:val="24"/>
          <w:szCs w:val="24"/>
        </w:rPr>
        <w:t xml:space="preserve"> sa oceňuje </w:t>
      </w:r>
      <w:r w:rsidR="00E02E72" w:rsidRPr="00E02E72">
        <w:rPr>
          <w:rFonts w:ascii="Arial" w:hAnsi="Arial" w:cs="Arial"/>
          <w:iCs/>
          <w:sz w:val="24"/>
          <w:szCs w:val="24"/>
        </w:rPr>
        <w:t xml:space="preserve">reálnou hodnotou </w:t>
      </w:r>
      <w:r w:rsidR="00E02E72" w:rsidRPr="00E02E72">
        <w:rPr>
          <w:rFonts w:ascii="Arial" w:eastAsiaTheme="minorHAnsi" w:hAnsi="Arial" w:cs="Arial"/>
          <w:sz w:val="24"/>
          <w:szCs w:val="24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reálnou hodnotou. 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Default="00A1181A" w:rsidP="00E02E72">
      <w:pPr>
        <w:numPr>
          <w:ilvl w:val="0"/>
          <w:numId w:val="7"/>
        </w:numPr>
        <w:spacing w:line="360" w:lineRule="auto"/>
        <w:jc w:val="both"/>
        <w:rPr>
          <w:rFonts w:ascii="Arial" w:hAnsi="Arial" w:cs="Arial"/>
          <w:iCs/>
          <w:sz w:val="24"/>
          <w:szCs w:val="24"/>
        </w:rPr>
      </w:pPr>
      <w:r>
        <w:rPr>
          <w:rFonts w:ascii="Arial" w:hAnsi="Arial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Dlhodobý finančný majetok sa oceňuje obstarávacou cenou.</w:t>
      </w:r>
    </w:p>
    <w:p w:rsidR="00E02E72" w:rsidRPr="00E02E72" w:rsidRDefault="00E02E72" w:rsidP="00E02E72">
      <w:pPr>
        <w:spacing w:line="360" w:lineRule="auto"/>
        <w:ind w:left="720"/>
        <w:rPr>
          <w:rFonts w:ascii="Arial" w:hAnsi="Arial" w:cs="Arial"/>
          <w:bCs/>
          <w:sz w:val="24"/>
          <w:szCs w:val="24"/>
        </w:rPr>
      </w:pPr>
      <w:r w:rsidRPr="00E02E72">
        <w:rPr>
          <w:rFonts w:ascii="Arial" w:hAnsi="Arial" w:cs="Arial"/>
          <w:sz w:val="24"/>
          <w:szCs w:val="24"/>
          <w:lang w:eastAsia="sk-SK"/>
        </w:rPr>
        <w:t>Obstarávacia cena zahŕňa cenu, za ktorú sa majetok obstaral a náklady súvisiace s jeho obstaraním</w:t>
      </w:r>
    </w:p>
    <w:p w:rsidR="00A1181A" w:rsidRDefault="00A1181A" w:rsidP="00A1181A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1181A" w:rsidRDefault="00A1181A" w:rsidP="00A1181A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Majetok a záväzky zabezpečené derivátmi sa oceňujú reálnou hodnotou.</w:t>
      </w:r>
    </w:p>
    <w:p w:rsidR="00A1181A" w:rsidRDefault="00A1181A" w:rsidP="00A1181A">
      <w:pPr>
        <w:spacing w:line="360" w:lineRule="auto"/>
        <w:ind w:left="720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lastRenderedPageBreak/>
        <w:t xml:space="preserve">Nakupované zásoby </w:t>
      </w:r>
      <w:r>
        <w:rPr>
          <w:rFonts w:ascii="Arial" w:hAnsi="Arial" w:cs="Arial"/>
          <w:sz w:val="24"/>
          <w:szCs w:val="24"/>
        </w:rPr>
        <w:t>sa oceňujú obstarávacou cenou, ktorou je cena obstarania vrátane nákladov súvisiacich s obstaraním ako napr. prepravné</w:t>
      </w:r>
      <w:r w:rsidR="00E02E7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 xml:space="preserve"> </w:t>
      </w:r>
      <w:r w:rsidR="00E02E72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.  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</w:t>
      </w: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Zásoby vytvorené vlastnou činnosťou sa oceňujú vlastnými nákladmi </w:t>
      </w:r>
      <w:proofErr w:type="spellStart"/>
      <w:r>
        <w:rPr>
          <w:rFonts w:ascii="Arial" w:hAnsi="Arial" w:cs="Arial"/>
          <w:sz w:val="24"/>
          <w:szCs w:val="24"/>
        </w:rPr>
        <w:t>t.j</w:t>
      </w:r>
      <w:proofErr w:type="spellEnd"/>
      <w:r>
        <w:rPr>
          <w:rFonts w:ascii="Arial" w:hAnsi="Arial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oceňujú v menovitej hodnote.</w:t>
      </w:r>
      <w:r w:rsidR="00E02E72">
        <w:rPr>
          <w:rFonts w:ascii="Arial" w:hAnsi="Arial" w:cs="Arial"/>
          <w:sz w:val="24"/>
          <w:szCs w:val="24"/>
        </w:rPr>
        <w:t xml:space="preserve"> Zníženie ich hodnoty sa vyjadruje opravnou položkou.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Cenné papiere a podiely sa oceňujú obstarávacími cenami, vrátane nákladov súvisiacich s obstaraním.  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Pohľadávky sa pri ich vzniku oceňujú menovitou hodnotou.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Peňažné prostriedky a ceniny sa oceňujú ich menovitou hodnotou.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 </w:t>
      </w: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vzniku oceňujú menovitou hodnotou.</w:t>
      </w:r>
    </w:p>
    <w:p w:rsidR="00A1181A" w:rsidRDefault="00A1181A" w:rsidP="00A1181A">
      <w:pPr>
        <w:spacing w:line="360" w:lineRule="auto"/>
        <w:ind w:left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:rsidR="00A1181A" w:rsidRDefault="00A1181A" w:rsidP="00A1181A">
      <w:pPr>
        <w:numPr>
          <w:ilvl w:val="0"/>
          <w:numId w:val="2"/>
        </w:numPr>
        <w:tabs>
          <w:tab w:val="left" w:pos="72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Záväzky sa pri ich prevzatí oceňujú obstarávacou cenou.</w:t>
      </w:r>
    </w:p>
    <w:p w:rsidR="00A1181A" w:rsidRDefault="00A1181A" w:rsidP="00A1181A">
      <w:pPr>
        <w:spacing w:line="360" w:lineRule="auto"/>
        <w:rPr>
          <w:rFonts w:ascii="Tahoma" w:hAnsi="Tahoma" w:cs="Tahoma"/>
          <w:b/>
          <w:bCs/>
          <w:color w:val="4B4B4B"/>
          <w:sz w:val="24"/>
          <w:szCs w:val="24"/>
        </w:rPr>
      </w:pP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ahoma" w:hAnsi="Tahoma" w:cs="Tahoma"/>
          <w:b/>
          <w:bCs/>
          <w:color w:val="4B4B4B"/>
          <w:sz w:val="24"/>
          <w:szCs w:val="24"/>
        </w:rPr>
        <w:t> </w:t>
      </w:r>
      <w:r>
        <w:rPr>
          <w:rFonts w:ascii="Arial" w:hAnsi="Arial" w:cs="Arial"/>
          <w:b/>
          <w:sz w:val="24"/>
          <w:szCs w:val="24"/>
        </w:rPr>
        <w:t>Čl. II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A1181A" w:rsidRDefault="00A1181A" w:rsidP="00A1181A">
      <w:pPr>
        <w:jc w:val="both"/>
        <w:rPr>
          <w:rFonts w:ascii="Arial Narrow" w:hAnsi="Arial Narrow"/>
          <w:sz w:val="24"/>
          <w:szCs w:val="24"/>
        </w:rPr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Konsolidovaná účtovná závierka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bola zostavená v súlade so zákonom č. 431/2002 Z. z. o účtovníctve v znení neskorších predpisov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139" w:type="dxa"/>
        <w:tblLayout w:type="fixed"/>
        <w:tblLook w:val="0000" w:firstRow="0" w:lastRow="0" w:firstColumn="0" w:lastColumn="0" w:noHBand="0" w:noVBand="0"/>
      </w:tblPr>
      <w:tblGrid>
        <w:gridCol w:w="2460"/>
        <w:gridCol w:w="1604"/>
        <w:gridCol w:w="1830"/>
        <w:gridCol w:w="3649"/>
      </w:tblGrid>
      <w:tr w:rsidR="00A1181A" w:rsidTr="00E52A77"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 xml:space="preserve">Názov resp. obchodné meno </w:t>
            </w:r>
          </w:p>
          <w:p w:rsidR="00A1181A" w:rsidRDefault="00A1181A" w:rsidP="00E52A7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konsolidovanej účtovnej jednotky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A1181A" w:rsidRDefault="00A1181A" w:rsidP="00E52A7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úplnej konsolidácie</w:t>
            </w: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A1181A" w:rsidRDefault="00A1181A" w:rsidP="00E52A7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podielovej konsolidácie</w:t>
            </w:r>
          </w:p>
        </w:tc>
        <w:tc>
          <w:tcPr>
            <w:tcW w:w="3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Metóda </w:t>
            </w:r>
          </w:p>
          <w:p w:rsidR="00A1181A" w:rsidRDefault="00A1181A" w:rsidP="00E52A77">
            <w:pPr>
              <w:spacing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vlastného imania</w:t>
            </w:r>
          </w:p>
        </w:tc>
      </w:tr>
      <w:tr w:rsidR="00A1181A" w:rsidTr="00E52A77">
        <w:tc>
          <w:tcPr>
            <w:tcW w:w="2460" w:type="dxa"/>
            <w:tcBorders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Základná škola s materskou školou</w:t>
            </w:r>
          </w:p>
        </w:tc>
        <w:tc>
          <w:tcPr>
            <w:tcW w:w="1604" w:type="dxa"/>
            <w:tcBorders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áno</w:t>
            </w:r>
          </w:p>
        </w:tc>
        <w:tc>
          <w:tcPr>
            <w:tcW w:w="1830" w:type="dxa"/>
            <w:tcBorders>
              <w:left w:val="single" w:sz="4" w:space="0" w:color="000000"/>
              <w:bottom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6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181A" w:rsidRDefault="00A1181A" w:rsidP="00E52A77">
            <w:pPr>
              <w:snapToGrid w:val="0"/>
              <w:spacing w:line="36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1181A" w:rsidRDefault="00A1181A" w:rsidP="00A1181A">
      <w:pPr>
        <w:spacing w:line="360" w:lineRule="auto"/>
        <w:jc w:val="both"/>
      </w:pPr>
    </w:p>
    <w:tbl>
      <w:tblPr>
        <w:tblW w:w="9678" w:type="dxa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5101"/>
        <w:gridCol w:w="1068"/>
        <w:gridCol w:w="932"/>
        <w:gridCol w:w="1263"/>
        <w:gridCol w:w="1314"/>
      </w:tblGrid>
      <w:tr w:rsidR="00A1181A" w:rsidTr="00E52A77">
        <w:trPr>
          <w:trHeight w:val="631"/>
        </w:trPr>
        <w:tc>
          <w:tcPr>
            <w:tcW w:w="5101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top w:val="single" w:sz="8" w:space="1" w:color="000000"/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2. Konsolidačné úpravy</w:t>
            </w:r>
          </w:p>
        </w:tc>
        <w:tc>
          <w:tcPr>
            <w:tcW w:w="1068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 xml:space="preserve">Účet 1- </w:t>
            </w:r>
          </w:p>
        </w:tc>
        <w:tc>
          <w:tcPr>
            <w:tcW w:w="932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Účet 2</w:t>
            </w:r>
          </w:p>
        </w:tc>
        <w:tc>
          <w:tcPr>
            <w:tcW w:w="1263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Suma MD</w:t>
            </w:r>
          </w:p>
        </w:tc>
        <w:tc>
          <w:tcPr>
            <w:tcW w:w="1314" w:type="dxa"/>
            <w:tcBorders>
              <w:top w:val="single" w:sz="8" w:space="0" w:color="808080"/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top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center"/>
            </w:pPr>
            <w:r>
              <w:t>Suma D</w:t>
            </w:r>
          </w:p>
        </w:tc>
      </w:tr>
      <w:tr w:rsidR="00A1181A" w:rsidTr="00E52A77">
        <w:trPr>
          <w:trHeight w:val="568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kapitálových transferov obce /majetok v správe/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355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355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53 767,80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53 767,80</w:t>
            </w:r>
          </w:p>
        </w:tc>
      </w:tr>
      <w:tr w:rsidR="00A1181A" w:rsidTr="00E52A77">
        <w:trPr>
          <w:trHeight w:val="584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bežných transferov obce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584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691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183 425,73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183 425,71</w:t>
            </w:r>
          </w:p>
        </w:tc>
      </w:tr>
      <w:tr w:rsidR="00A1181A" w:rsidTr="00E52A77">
        <w:trPr>
          <w:trHeight w:val="568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odpisov majetku obce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584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692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42 848,90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42 848,90</w:t>
            </w:r>
          </w:p>
        </w:tc>
      </w:tr>
      <w:tr w:rsidR="00A1181A" w:rsidTr="00E52A77">
        <w:trPr>
          <w:trHeight w:val="584"/>
        </w:trPr>
        <w:tc>
          <w:tcPr>
            <w:tcW w:w="5101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odvodu príjmov ROPO</w:t>
            </w:r>
          </w:p>
        </w:tc>
        <w:tc>
          <w:tcPr>
            <w:tcW w:w="1068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699</w:t>
            </w:r>
          </w:p>
        </w:tc>
        <w:tc>
          <w:tcPr>
            <w:tcW w:w="932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588</w:t>
            </w:r>
          </w:p>
        </w:tc>
        <w:tc>
          <w:tcPr>
            <w:tcW w:w="1263" w:type="dxa"/>
            <w:tcBorders>
              <w:left w:val="single" w:sz="8" w:space="0" w:color="808080"/>
              <w:bottom w:val="single" w:sz="8" w:space="0" w:color="808080"/>
            </w:tcBorders>
            <w:vAlign w:val="center"/>
          </w:tcPr>
          <w:p w:rsidR="00A1181A" w:rsidRDefault="00A1181A" w:rsidP="00E02E72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 xml:space="preserve"> -</w:t>
            </w:r>
            <w:r w:rsidR="00E02E72">
              <w:t>19 656,98</w:t>
            </w:r>
          </w:p>
        </w:tc>
        <w:tc>
          <w:tcPr>
            <w:tcW w:w="1314" w:type="dxa"/>
            <w:tcBorders>
              <w:left w:val="single" w:sz="8" w:space="0" w:color="808080"/>
              <w:bottom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D70481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</w:t>
            </w:r>
            <w:r w:rsidR="00E02E72">
              <w:t>19 656,98</w:t>
            </w:r>
          </w:p>
        </w:tc>
      </w:tr>
      <w:tr w:rsidR="00A1181A" w:rsidTr="00E52A77">
        <w:trPr>
          <w:trHeight w:val="584"/>
        </w:trPr>
        <w:tc>
          <w:tcPr>
            <w:tcW w:w="5101" w:type="dxa"/>
            <w:tcBorders>
              <w:lef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poplatky</w:t>
            </w:r>
          </w:p>
        </w:tc>
        <w:tc>
          <w:tcPr>
            <w:tcW w:w="1068" w:type="dxa"/>
            <w:tcBorders>
              <w:lef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633</w:t>
            </w:r>
          </w:p>
        </w:tc>
        <w:tc>
          <w:tcPr>
            <w:tcW w:w="932" w:type="dxa"/>
            <w:tcBorders>
              <w:lef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548</w:t>
            </w:r>
          </w:p>
        </w:tc>
        <w:tc>
          <w:tcPr>
            <w:tcW w:w="1263" w:type="dxa"/>
            <w:tcBorders>
              <w:lef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-293,15</w:t>
            </w:r>
          </w:p>
        </w:tc>
        <w:tc>
          <w:tcPr>
            <w:tcW w:w="1314" w:type="dxa"/>
            <w:tcBorders>
              <w:left w:val="single" w:sz="8" w:space="0" w:color="808080"/>
              <w:right w:val="single" w:sz="8" w:space="0" w:color="808080"/>
            </w:tcBorders>
            <w:vAlign w:val="center"/>
          </w:tcPr>
          <w:p w:rsidR="00A1181A" w:rsidRDefault="00A1181A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-293,15</w:t>
            </w:r>
          </w:p>
        </w:tc>
      </w:tr>
      <w:tr w:rsidR="00E02E72" w:rsidTr="00E52A77">
        <w:trPr>
          <w:trHeight w:val="584"/>
        </w:trPr>
        <w:tc>
          <w:tcPr>
            <w:tcW w:w="5101" w:type="dxa"/>
            <w:tcBorders>
              <w:left w:val="single" w:sz="8" w:space="0" w:color="808080"/>
            </w:tcBorders>
            <w:vAlign w:val="center"/>
          </w:tcPr>
          <w:p w:rsidR="00E02E72" w:rsidRDefault="00E02E72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Konsolidácia tržieb vodné</w:t>
            </w:r>
          </w:p>
        </w:tc>
        <w:tc>
          <w:tcPr>
            <w:tcW w:w="1068" w:type="dxa"/>
            <w:tcBorders>
              <w:left w:val="single" w:sz="8" w:space="0" w:color="808080"/>
            </w:tcBorders>
            <w:vAlign w:val="center"/>
          </w:tcPr>
          <w:p w:rsidR="00E02E72" w:rsidRDefault="00E02E7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602</w:t>
            </w:r>
          </w:p>
        </w:tc>
        <w:tc>
          <w:tcPr>
            <w:tcW w:w="932" w:type="dxa"/>
            <w:tcBorders>
              <w:left w:val="single" w:sz="8" w:space="0" w:color="808080"/>
            </w:tcBorders>
            <w:vAlign w:val="center"/>
          </w:tcPr>
          <w:p w:rsidR="00E02E72" w:rsidRDefault="00E02E7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502</w:t>
            </w:r>
          </w:p>
        </w:tc>
        <w:tc>
          <w:tcPr>
            <w:tcW w:w="1263" w:type="dxa"/>
            <w:tcBorders>
              <w:left w:val="single" w:sz="8" w:space="0" w:color="808080"/>
            </w:tcBorders>
            <w:vAlign w:val="center"/>
          </w:tcPr>
          <w:p w:rsidR="00E02E72" w:rsidRDefault="00E02E7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-919,60</w:t>
            </w:r>
          </w:p>
        </w:tc>
        <w:tc>
          <w:tcPr>
            <w:tcW w:w="1314" w:type="dxa"/>
            <w:tcBorders>
              <w:left w:val="single" w:sz="8" w:space="0" w:color="808080"/>
              <w:right w:val="single" w:sz="8" w:space="0" w:color="808080"/>
            </w:tcBorders>
            <w:vAlign w:val="center"/>
          </w:tcPr>
          <w:p w:rsidR="00E02E72" w:rsidRDefault="00E02E7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-919,60</w:t>
            </w:r>
          </w:p>
        </w:tc>
      </w:tr>
      <w:tr w:rsidR="00C003E2" w:rsidTr="00E52A77">
        <w:trPr>
          <w:trHeight w:val="584"/>
        </w:trPr>
        <w:tc>
          <w:tcPr>
            <w:tcW w:w="5101" w:type="dxa"/>
            <w:tcBorders>
              <w:left w:val="single" w:sz="8" w:space="0" w:color="808080"/>
            </w:tcBorders>
            <w:vAlign w:val="center"/>
          </w:tcPr>
          <w:p w:rsidR="00C003E2" w:rsidRDefault="00C003E2" w:rsidP="00E52A77">
            <w:pPr>
              <w:pStyle w:val="Obsahtabuky"/>
              <w:pBdr>
                <w:left w:val="single" w:sz="8" w:space="1" w:color="000000"/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 xml:space="preserve">Oprava chyby účtovania RO ZŠ s MŠ-2x </w:t>
            </w:r>
            <w:proofErr w:type="spellStart"/>
            <w:r>
              <w:t>zúčtov.mzdy</w:t>
            </w:r>
            <w:proofErr w:type="spellEnd"/>
            <w:r>
              <w:t xml:space="preserve"> depozit</w:t>
            </w:r>
          </w:p>
        </w:tc>
        <w:tc>
          <w:tcPr>
            <w:tcW w:w="1068" w:type="dxa"/>
            <w:tcBorders>
              <w:left w:val="single" w:sz="8" w:space="0" w:color="808080"/>
            </w:tcBorders>
            <w:vAlign w:val="center"/>
          </w:tcPr>
          <w:p w:rsidR="00C003E2" w:rsidRDefault="00C003E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221</w:t>
            </w:r>
          </w:p>
        </w:tc>
        <w:tc>
          <w:tcPr>
            <w:tcW w:w="932" w:type="dxa"/>
            <w:tcBorders>
              <w:left w:val="single" w:sz="8" w:space="0" w:color="808080"/>
            </w:tcBorders>
            <w:vAlign w:val="center"/>
          </w:tcPr>
          <w:p w:rsidR="00C003E2" w:rsidRDefault="00C003E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</w:pPr>
            <w:r>
              <w:t>325</w:t>
            </w:r>
          </w:p>
        </w:tc>
        <w:tc>
          <w:tcPr>
            <w:tcW w:w="1263" w:type="dxa"/>
            <w:tcBorders>
              <w:left w:val="single" w:sz="8" w:space="0" w:color="808080"/>
            </w:tcBorders>
            <w:vAlign w:val="center"/>
          </w:tcPr>
          <w:p w:rsidR="00C003E2" w:rsidRDefault="00C003E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-53 387,16</w:t>
            </w:r>
          </w:p>
        </w:tc>
        <w:tc>
          <w:tcPr>
            <w:tcW w:w="1314" w:type="dxa"/>
            <w:tcBorders>
              <w:left w:val="single" w:sz="8" w:space="0" w:color="808080"/>
              <w:right w:val="single" w:sz="8" w:space="0" w:color="808080"/>
            </w:tcBorders>
            <w:vAlign w:val="center"/>
          </w:tcPr>
          <w:p w:rsidR="00C003E2" w:rsidRDefault="00C003E2" w:rsidP="00E52A77">
            <w:pPr>
              <w:pStyle w:val="Obsahtabuky"/>
              <w:pBdr>
                <w:bottom w:val="single" w:sz="8" w:space="1" w:color="000000"/>
                <w:right w:val="single" w:sz="8" w:space="1" w:color="000000"/>
              </w:pBdr>
              <w:snapToGrid w:val="0"/>
              <w:spacing w:after="283"/>
              <w:jc w:val="right"/>
            </w:pPr>
            <w:r>
              <w:t>-53 387,16</w:t>
            </w:r>
          </w:p>
        </w:tc>
      </w:tr>
    </w:tbl>
    <w:p w:rsidR="00A1181A" w:rsidRDefault="00A1181A" w:rsidP="00A1181A">
      <w:pPr>
        <w:spacing w:line="360" w:lineRule="auto"/>
        <w:jc w:val="both"/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Metóda úplnej konsolidácie bola použitá pri dcérskych účtovných jednotkách.</w:t>
      </w:r>
    </w:p>
    <w:p w:rsidR="00A1181A" w:rsidRDefault="00A1181A" w:rsidP="00A1181A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A1181A" w:rsidRDefault="00A1181A" w:rsidP="00A1181A">
      <w:pPr>
        <w:autoSpaceDE w:val="0"/>
        <w:spacing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Moment prvej konsolidácie kapitálu :</w:t>
      </w:r>
    </w:p>
    <w:p w:rsidR="00A1181A" w:rsidRDefault="00A1181A" w:rsidP="00A1181A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rozpočtových organizáciách je to deň ich zriadenia. </w:t>
      </w:r>
    </w:p>
    <w:p w:rsidR="00A1181A" w:rsidRDefault="00A1181A" w:rsidP="00A1181A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  príspevkových  organizáciách je to deň ich zriadenia. </w:t>
      </w:r>
    </w:p>
    <w:p w:rsidR="00A1181A" w:rsidRDefault="00A1181A" w:rsidP="00A1181A">
      <w:pPr>
        <w:numPr>
          <w:ilvl w:val="0"/>
          <w:numId w:val="1"/>
        </w:numPr>
        <w:tabs>
          <w:tab w:val="left" w:pos="644"/>
        </w:tabs>
        <w:autoSpaceDE w:val="0"/>
        <w:spacing w:line="360" w:lineRule="auto"/>
        <w:ind w:left="644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Pri obchodných spoločnostiach je to deň obstarania podielov.</w:t>
      </w: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b/>
          <w:i/>
          <w:sz w:val="24"/>
          <w:szCs w:val="24"/>
        </w:rPr>
      </w:pPr>
      <w:r>
        <w:rPr>
          <w:rFonts w:ascii="Arial" w:hAnsi="Arial" w:cs="Arial"/>
          <w:b/>
          <w:i/>
          <w:sz w:val="24"/>
          <w:szCs w:val="24"/>
        </w:rPr>
        <w:t>Informácie o </w:t>
      </w:r>
      <w:proofErr w:type="spellStart"/>
      <w:r>
        <w:rPr>
          <w:rFonts w:ascii="Arial" w:hAnsi="Arial" w:cs="Arial"/>
          <w:b/>
          <w:i/>
          <w:sz w:val="24"/>
          <w:szCs w:val="24"/>
        </w:rPr>
        <w:t>goodwille</w:t>
      </w:r>
      <w:proofErr w:type="spellEnd"/>
    </w:p>
    <w:p w:rsidR="00A1181A" w:rsidRDefault="00A1181A" w:rsidP="00A1181A">
      <w:pPr>
        <w:numPr>
          <w:ilvl w:val="0"/>
          <w:numId w:val="5"/>
        </w:numPr>
        <w:tabs>
          <w:tab w:val="left" w:pos="644"/>
        </w:tabs>
        <w:spacing w:line="360" w:lineRule="auto"/>
        <w:ind w:left="644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Goodwill</w:t>
      </w:r>
      <w:proofErr w:type="spellEnd"/>
      <w:r>
        <w:rPr>
          <w:rFonts w:ascii="Arial" w:hAnsi="Arial" w:cs="Arial"/>
          <w:sz w:val="24"/>
          <w:szCs w:val="24"/>
        </w:rPr>
        <w:t xml:space="preserve"> nevzniká pri konsolidovanej účtovnej  jednotke, ktorou je rozpočtová organizácia.</w:t>
      </w:r>
    </w:p>
    <w:p w:rsidR="00A1181A" w:rsidRDefault="00A1181A" w:rsidP="00A1181A">
      <w:pPr>
        <w:tabs>
          <w:tab w:val="left" w:pos="2084"/>
        </w:tabs>
        <w:spacing w:line="360" w:lineRule="auto"/>
        <w:ind w:left="644"/>
        <w:jc w:val="both"/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Čl. III</w:t>
      </w:r>
    </w:p>
    <w:p w:rsidR="00A1181A" w:rsidRDefault="00A1181A" w:rsidP="00A1181A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Informácie o údajoch aktív a pasív</w:t>
      </w: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Popis údajov vyplnených v prehľade pohybov dlhodobého nehmotného a dlhodobého hmotného majetku  (viď. priložené tabuľky) č.2</w:t>
      </w:r>
    </w:p>
    <w:p w:rsidR="00A1181A" w:rsidRDefault="00A1181A" w:rsidP="00A1181A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Bezprostredne predchádzajúce účtov</w:t>
      </w:r>
      <w:r w:rsidR="00784B42">
        <w:rPr>
          <w:rFonts w:ascii="Arial" w:hAnsi="Arial" w:cs="Arial"/>
          <w:sz w:val="24"/>
          <w:szCs w:val="24"/>
        </w:rPr>
        <w:t>né obdobie sa chápe k 31.12.2016</w:t>
      </w:r>
    </w:p>
    <w:p w:rsidR="00A1181A" w:rsidRDefault="00A1181A" w:rsidP="00A1181A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Bežné účtovné </w:t>
      </w:r>
      <w:r w:rsidR="00784B42">
        <w:rPr>
          <w:rFonts w:ascii="Arial" w:hAnsi="Arial" w:cs="Arial"/>
          <w:sz w:val="24"/>
          <w:szCs w:val="24"/>
        </w:rPr>
        <w:t>obdobie sa vykazuje k 31.12.2017</w:t>
      </w:r>
    </w:p>
    <w:p w:rsidR="00A1181A" w:rsidRDefault="00A1181A" w:rsidP="00A1181A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Prírastok je prvotné vykázanie obstarania dlhodobého nehmotného a dlhodobého hmotného majetku akoukoľvek formou, zvýšenie aktív (zaradenie stavieb po kolaudácii)</w:t>
      </w:r>
    </w:p>
    <w:p w:rsidR="00A1181A" w:rsidRDefault="00A1181A" w:rsidP="00A1181A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Úbytok je vykázanie zníženia aktív (vyradenie)</w:t>
      </w:r>
    </w:p>
    <w:p w:rsidR="00A1181A" w:rsidRDefault="00A1181A" w:rsidP="00A1181A">
      <w:pPr>
        <w:numPr>
          <w:ilvl w:val="0"/>
          <w:numId w:val="3"/>
        </w:numPr>
        <w:tabs>
          <w:tab w:val="left" w:pos="1440"/>
        </w:tabs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Presun je vykázanie zmeny hodnoty niektorej položky bez zmeny celkovej hodnoty aktív</w:t>
      </w: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spacing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Popis významných informácií o aktívach a pasívach </w:t>
      </w:r>
    </w:p>
    <w:p w:rsidR="00A1181A" w:rsidRDefault="00A1181A" w:rsidP="00A1181A">
      <w:pPr>
        <w:spacing w:line="360" w:lineRule="auto"/>
        <w:rPr>
          <w:rFonts w:ascii="Arial" w:hAnsi="Arial" w:cs="Arial"/>
          <w:i/>
          <w:color w:val="0070C0"/>
          <w:sz w:val="24"/>
          <w:szCs w:val="24"/>
        </w:rPr>
      </w:pPr>
    </w:p>
    <w:p w:rsidR="00A1181A" w:rsidRDefault="00A1181A" w:rsidP="00A1181A">
      <w:pPr>
        <w:numPr>
          <w:ilvl w:val="0"/>
          <w:numId w:val="4"/>
        </w:numPr>
        <w:tabs>
          <w:tab w:val="left" w:pos="1068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Konsolidovaný celok obce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zahŕňa 1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rozpočtovú organizáciu </w:t>
      </w:r>
    </w:p>
    <w:p w:rsidR="00A1181A" w:rsidRDefault="00A1181A" w:rsidP="00A1181A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Rezervy sa v konsolidovanom celku tvorili v rámci hlavnej činnosti konkrétne hodnoty sa nachádzajú v priloženom  prehľade o pohybe rezerv; najvýznamnejšia tvorba bola rezerva na audítorsk</w:t>
      </w:r>
      <w:r w:rsidR="00D70481">
        <w:rPr>
          <w:rFonts w:ascii="Arial" w:hAnsi="Arial" w:cs="Arial"/>
          <w:sz w:val="24"/>
          <w:szCs w:val="24"/>
        </w:rPr>
        <w:t>é služby. RO ZŠ s MŠ v roku 2017</w:t>
      </w:r>
      <w:r>
        <w:rPr>
          <w:rFonts w:ascii="Arial" w:hAnsi="Arial" w:cs="Arial"/>
          <w:sz w:val="24"/>
          <w:szCs w:val="24"/>
        </w:rPr>
        <w:t xml:space="preserve"> rezervy netvorila.</w:t>
      </w:r>
      <w:r>
        <w:rPr>
          <w:rFonts w:ascii="Arial" w:hAnsi="Arial" w:cs="Arial"/>
          <w:i/>
          <w:color w:val="0070C0"/>
          <w:sz w:val="24"/>
          <w:szCs w:val="24"/>
        </w:rPr>
        <w:t xml:space="preserve"> Tab.č.14</w:t>
      </w:r>
    </w:p>
    <w:p w:rsidR="00A1181A" w:rsidRDefault="00A1181A" w:rsidP="00A1181A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A1181A" w:rsidRDefault="00A1181A" w:rsidP="00A1181A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Prehľad o pohybe dlhodobého majetku sa nachádza v priloženom tabuľkovom formulári a vysvetľuje položky súvahy – aktív. Najvýznamnejší prírastok dlhodobého majetku bol vykázaný v konsolidovanej účtovnej jednotke na obci Najvýznamnejší úbytok dlhodobého majetku bol vykázaný v konsolidovanej účtovnej jednotke tiež na obci. Tab. č.2</w:t>
      </w:r>
    </w:p>
    <w:p w:rsidR="00A1181A" w:rsidRDefault="00A1181A" w:rsidP="00A1181A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A1181A">
      <w:pPr>
        <w:numPr>
          <w:ilvl w:val="1"/>
          <w:numId w:val="6"/>
        </w:numPr>
        <w:tabs>
          <w:tab w:val="left" w:pos="1080"/>
        </w:tabs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rámci dlhodobého finančného  majetku vykazuje konsolidovaný celok Obec Hontianske Nemce 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realizované cenné papiere a podiely v  hodnote</w:t>
      </w:r>
      <w:r>
        <w:rPr>
          <w:rFonts w:ascii="Arial" w:hAnsi="Arial" w:cs="Arial"/>
          <w:color w:val="0070C0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326506  €. tab. č.4</w:t>
      </w:r>
    </w:p>
    <w:p w:rsidR="00A1181A" w:rsidRDefault="00A1181A" w:rsidP="00A1181A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1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lastRenderedPageBreak/>
        <w:t>Konsolidovaný celok vytvoril opravné položky u konsolidova</w:t>
      </w:r>
      <w:r w:rsidR="00784B42" w:rsidRPr="00D70481">
        <w:rPr>
          <w:rFonts w:ascii="Arial" w:hAnsi="Arial" w:cs="Arial"/>
          <w:sz w:val="24"/>
          <w:szCs w:val="24"/>
        </w:rPr>
        <w:t xml:space="preserve">nej účtovnej jednotky-Obec Hontianske </w:t>
      </w:r>
      <w:r w:rsidRPr="00D70481">
        <w:rPr>
          <w:rFonts w:ascii="Arial" w:hAnsi="Arial" w:cs="Arial"/>
          <w:sz w:val="24"/>
          <w:szCs w:val="24"/>
        </w:rPr>
        <w:t>Nemce  tab.č.8</w:t>
      </w:r>
    </w:p>
    <w:p w:rsidR="00A1181A" w:rsidRDefault="00A1181A" w:rsidP="00D70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D70481">
      <w:pPr>
        <w:spacing w:line="360" w:lineRule="auto"/>
        <w:ind w:left="135"/>
        <w:jc w:val="both"/>
        <w:rPr>
          <w:rFonts w:ascii="Arial" w:hAnsi="Arial" w:cs="Arial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>Konsolidovaný celok nevykazuje dlhodobé  pohľadávky.</w:t>
      </w:r>
    </w:p>
    <w:p w:rsidR="00A1181A" w:rsidRDefault="00A1181A" w:rsidP="00D70481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krátkodobé  pohľadávky vo výške </w:t>
      </w:r>
      <w:r w:rsidR="00784B42" w:rsidRPr="00D70481">
        <w:rPr>
          <w:rFonts w:ascii="Arial" w:hAnsi="Arial" w:cs="Arial"/>
          <w:sz w:val="24"/>
          <w:szCs w:val="24"/>
        </w:rPr>
        <w:t>27 827,78</w:t>
      </w:r>
      <w:r w:rsidRPr="00D70481">
        <w:rPr>
          <w:rFonts w:ascii="Arial" w:hAnsi="Arial" w:cs="Arial"/>
          <w:sz w:val="24"/>
          <w:szCs w:val="24"/>
        </w:rPr>
        <w:t xml:space="preserve">  €, ktoré sa týkajú týchto druhov ekonomických transakcií: daň z nehnuteľností, nájomné, daň za psa, poplatok za komunálny odpad, Najväčší podiel na vykázaných krátkodobých pohľadávkach má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 xml:space="preserve">Obec </w:t>
      </w:r>
      <w:proofErr w:type="spellStart"/>
      <w:r w:rsidRPr="00D70481">
        <w:rPr>
          <w:rFonts w:ascii="Arial" w:hAnsi="Arial" w:cs="Arial"/>
          <w:sz w:val="24"/>
          <w:szCs w:val="24"/>
        </w:rPr>
        <w:t>Hont.Nemce</w:t>
      </w:r>
      <w:proofErr w:type="spellEnd"/>
      <w:r w:rsidRPr="00D70481">
        <w:rPr>
          <w:rFonts w:ascii="Arial" w:hAnsi="Arial" w:cs="Arial"/>
          <w:sz w:val="24"/>
          <w:szCs w:val="24"/>
        </w:rPr>
        <w:t xml:space="preserve"> – </w:t>
      </w:r>
      <w:r w:rsidR="00784B42" w:rsidRPr="00D70481">
        <w:rPr>
          <w:rFonts w:ascii="Arial" w:hAnsi="Arial" w:cs="Arial"/>
          <w:sz w:val="24"/>
          <w:szCs w:val="24"/>
        </w:rPr>
        <w:t>100</w:t>
      </w:r>
      <w:r w:rsidRPr="00D70481">
        <w:rPr>
          <w:rFonts w:ascii="Arial" w:hAnsi="Arial" w:cs="Arial"/>
          <w:sz w:val="24"/>
          <w:szCs w:val="24"/>
        </w:rPr>
        <w:t xml:space="preserve"> %. RO ZŠ s MŠ </w:t>
      </w:r>
      <w:r w:rsidR="00784B42" w:rsidRPr="00D70481">
        <w:rPr>
          <w:rFonts w:ascii="Arial" w:hAnsi="Arial" w:cs="Arial"/>
          <w:sz w:val="24"/>
          <w:szCs w:val="24"/>
        </w:rPr>
        <w:t>ne</w:t>
      </w:r>
      <w:r w:rsidRPr="00D70481">
        <w:rPr>
          <w:rFonts w:ascii="Arial" w:hAnsi="Arial" w:cs="Arial"/>
          <w:sz w:val="24"/>
          <w:szCs w:val="24"/>
        </w:rPr>
        <w:t>vykazuje krátkodobé pohľadávky</w:t>
      </w:r>
      <w:r w:rsidR="00784B42" w:rsidRPr="00D70481">
        <w:rPr>
          <w:rFonts w:ascii="Arial" w:hAnsi="Arial" w:cs="Arial"/>
          <w:sz w:val="24"/>
          <w:szCs w:val="24"/>
        </w:rPr>
        <w:t>.</w:t>
      </w:r>
      <w:r w:rsidRPr="00D70481">
        <w:rPr>
          <w:rFonts w:ascii="Arial" w:hAnsi="Arial" w:cs="Arial"/>
          <w:sz w:val="24"/>
          <w:szCs w:val="24"/>
        </w:rPr>
        <w:t xml:space="preserve"> </w:t>
      </w:r>
      <w:r w:rsidR="00784B42" w:rsidRPr="00D70481">
        <w:rPr>
          <w:rFonts w:ascii="Arial" w:hAnsi="Arial" w:cs="Arial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 xml:space="preserve"> Tab.č.9</w:t>
      </w:r>
    </w:p>
    <w:p w:rsidR="00A1181A" w:rsidRDefault="00A1181A" w:rsidP="00D70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dlhodobé  záväzky vo výške </w:t>
      </w:r>
      <w:r w:rsidR="00784B42" w:rsidRPr="00D70481">
        <w:rPr>
          <w:rFonts w:ascii="Arial" w:hAnsi="Arial" w:cs="Arial"/>
          <w:sz w:val="24"/>
          <w:szCs w:val="24"/>
        </w:rPr>
        <w:t>568 484,29</w:t>
      </w:r>
      <w:r w:rsidRPr="00D70481">
        <w:rPr>
          <w:rFonts w:ascii="Arial" w:hAnsi="Arial" w:cs="Arial"/>
          <w:sz w:val="24"/>
          <w:szCs w:val="24"/>
        </w:rPr>
        <w:t xml:space="preserve"> €, ktoré sa týkajú týchto druhov ekonomických transakcií: úvery zo ŠFRB, ktoré boli použité na výstavbu bytového domu č.494 a nadstavby budovy-byty č.167</w:t>
      </w:r>
      <w:r w:rsidR="00784B42" w:rsidRPr="00D70481">
        <w:rPr>
          <w:rFonts w:ascii="Arial" w:hAnsi="Arial" w:cs="Arial"/>
          <w:sz w:val="24"/>
          <w:szCs w:val="24"/>
        </w:rPr>
        <w:t xml:space="preserve">,záväzky z finančného prenájmu-nákup traktora </w:t>
      </w:r>
      <w:r w:rsidRPr="00D70481">
        <w:rPr>
          <w:rFonts w:ascii="Arial" w:hAnsi="Arial" w:cs="Arial"/>
          <w:sz w:val="24"/>
          <w:szCs w:val="24"/>
        </w:rPr>
        <w:t>a záväzky zo sociálneho fondu.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Pr="00D70481">
        <w:rPr>
          <w:rFonts w:ascii="Arial" w:hAnsi="Arial" w:cs="Arial"/>
          <w:sz w:val="24"/>
          <w:szCs w:val="24"/>
        </w:rPr>
        <w:t>Najväčší podiel na vykázaných dlhodobých záväzkoch má</w:t>
      </w:r>
      <w:r w:rsidRPr="00D70481">
        <w:rPr>
          <w:rFonts w:ascii="Arial" w:hAnsi="Arial" w:cs="Arial"/>
          <w:color w:val="0070C0"/>
          <w:sz w:val="24"/>
          <w:szCs w:val="24"/>
        </w:rPr>
        <w:t xml:space="preserve"> </w:t>
      </w:r>
      <w:r w:rsidR="00784B42" w:rsidRPr="00D70481">
        <w:rPr>
          <w:rFonts w:ascii="Arial" w:hAnsi="Arial" w:cs="Arial"/>
          <w:sz w:val="24"/>
          <w:szCs w:val="24"/>
        </w:rPr>
        <w:t xml:space="preserve">obec </w:t>
      </w:r>
      <w:proofErr w:type="spellStart"/>
      <w:r w:rsidR="00784B42" w:rsidRPr="00D70481">
        <w:rPr>
          <w:rFonts w:ascii="Arial" w:hAnsi="Arial" w:cs="Arial"/>
          <w:sz w:val="24"/>
          <w:szCs w:val="24"/>
        </w:rPr>
        <w:t>Hont.Nemce</w:t>
      </w:r>
      <w:proofErr w:type="spellEnd"/>
      <w:r w:rsidR="00784B42" w:rsidRPr="00D70481">
        <w:rPr>
          <w:rFonts w:ascii="Arial" w:hAnsi="Arial" w:cs="Arial"/>
          <w:sz w:val="24"/>
          <w:szCs w:val="24"/>
        </w:rPr>
        <w:t xml:space="preserve"> – 99,54</w:t>
      </w:r>
      <w:r w:rsidRPr="00D70481">
        <w:rPr>
          <w:rFonts w:ascii="Arial" w:hAnsi="Arial" w:cs="Arial"/>
          <w:sz w:val="24"/>
          <w:szCs w:val="24"/>
        </w:rPr>
        <w:t>%. RO ZŠ s MŠ vykazuje dlhodobé záväzk</w:t>
      </w:r>
      <w:r w:rsidR="00784B42" w:rsidRPr="00D70481">
        <w:rPr>
          <w:rFonts w:ascii="Arial" w:hAnsi="Arial" w:cs="Arial"/>
          <w:sz w:val="24"/>
          <w:szCs w:val="24"/>
        </w:rPr>
        <w:t>y len zo sociálneho fondu – 0,46</w:t>
      </w:r>
      <w:r w:rsidRPr="00D70481">
        <w:rPr>
          <w:rFonts w:ascii="Arial" w:hAnsi="Arial" w:cs="Arial"/>
          <w:sz w:val="24"/>
          <w:szCs w:val="24"/>
        </w:rPr>
        <w:t xml:space="preserve"> %. Tab.č.15</w:t>
      </w:r>
    </w:p>
    <w:p w:rsidR="00A1181A" w:rsidRDefault="00A1181A" w:rsidP="00D70481">
      <w:pPr>
        <w:spacing w:line="360" w:lineRule="auto"/>
        <w:ind w:left="1080"/>
        <w:jc w:val="both"/>
        <w:rPr>
          <w:rFonts w:ascii="Arial" w:hAnsi="Arial" w:cs="Arial"/>
          <w:i/>
          <w:color w:val="0070C0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Konsolidovaný celok vykazuje krátkodobé  záväzky vo výške </w:t>
      </w:r>
      <w:r w:rsidR="00C003E2" w:rsidRPr="00D70481">
        <w:rPr>
          <w:rFonts w:ascii="Arial" w:hAnsi="Arial" w:cs="Arial"/>
          <w:sz w:val="24"/>
          <w:szCs w:val="24"/>
        </w:rPr>
        <w:t xml:space="preserve"> 147 777,58</w:t>
      </w:r>
      <w:r w:rsidRPr="00D70481">
        <w:rPr>
          <w:rFonts w:ascii="Arial" w:hAnsi="Arial" w:cs="Arial"/>
          <w:sz w:val="24"/>
          <w:szCs w:val="24"/>
        </w:rPr>
        <w:t xml:space="preserve"> €, ktoré sa týkajú týchto druhov ekonomických transakcií: neuhradené faktúry dodávateľom, záväzky voči zamestnancom, záväzky voči poisťovniam /odvody/, odvody dane z príjmov,  zábezpeka na prenajaté byty .   Podiel na vykázaných krátkodobých záväzkoch</w:t>
      </w:r>
      <w:r w:rsidR="00A01BC4" w:rsidRPr="00D70481">
        <w:rPr>
          <w:rFonts w:ascii="Arial" w:hAnsi="Arial" w:cs="Arial"/>
          <w:sz w:val="24"/>
          <w:szCs w:val="24"/>
        </w:rPr>
        <w:t xml:space="preserve"> má Obec Hontianske Nemce   55,03</w:t>
      </w:r>
      <w:r w:rsidRPr="00D70481">
        <w:rPr>
          <w:rFonts w:ascii="Arial" w:hAnsi="Arial" w:cs="Arial"/>
          <w:sz w:val="24"/>
          <w:szCs w:val="24"/>
        </w:rPr>
        <w:t xml:space="preserve"> %  a  Základná škola s matersk</w:t>
      </w:r>
      <w:r w:rsidR="00C003E2" w:rsidRPr="00D70481">
        <w:rPr>
          <w:rFonts w:ascii="Arial" w:hAnsi="Arial" w:cs="Arial"/>
          <w:sz w:val="24"/>
          <w:szCs w:val="24"/>
        </w:rPr>
        <w:t>ou školou Hontianske Nemce  44,97</w:t>
      </w:r>
      <w:r w:rsidRPr="00D70481">
        <w:rPr>
          <w:rFonts w:ascii="Arial" w:hAnsi="Arial" w:cs="Arial"/>
          <w:sz w:val="24"/>
          <w:szCs w:val="24"/>
        </w:rPr>
        <w:t xml:space="preserve"> %</w:t>
      </w:r>
    </w:p>
    <w:p w:rsidR="00A1181A" w:rsidRDefault="00A1181A" w:rsidP="00D70481">
      <w:pPr>
        <w:spacing w:line="360" w:lineRule="auto"/>
        <w:ind w:left="1080"/>
        <w:jc w:val="both"/>
        <w:rPr>
          <w:rFonts w:ascii="Arial" w:hAnsi="Arial" w:cs="Arial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tabs>
          <w:tab w:val="left" w:pos="1080"/>
        </w:tabs>
        <w:spacing w:line="360" w:lineRule="auto"/>
        <w:jc w:val="both"/>
        <w:rPr>
          <w:rFonts w:ascii="Arial" w:hAnsi="Arial" w:cs="Arial"/>
          <w:i/>
          <w:sz w:val="24"/>
          <w:szCs w:val="24"/>
        </w:rPr>
      </w:pPr>
      <w:bookmarkStart w:id="0" w:name="_GoBack"/>
      <w:r w:rsidRPr="00D70481">
        <w:rPr>
          <w:rFonts w:ascii="Arial" w:hAnsi="Arial" w:cs="Arial"/>
          <w:sz w:val="24"/>
          <w:szCs w:val="24"/>
        </w:rPr>
        <w:t xml:space="preserve">Konsolidovaný celok </w:t>
      </w:r>
      <w:r w:rsidR="00A01BC4" w:rsidRPr="00D70481">
        <w:rPr>
          <w:rFonts w:ascii="Arial" w:hAnsi="Arial" w:cs="Arial"/>
          <w:sz w:val="24"/>
          <w:szCs w:val="24"/>
        </w:rPr>
        <w:t>ne</w:t>
      </w:r>
      <w:r w:rsidRPr="00D70481">
        <w:rPr>
          <w:rFonts w:ascii="Arial" w:hAnsi="Arial" w:cs="Arial"/>
          <w:sz w:val="24"/>
          <w:szCs w:val="24"/>
        </w:rPr>
        <w:t>vykazuje záväzky po lehote splatnosti</w:t>
      </w:r>
      <w:bookmarkEnd w:id="0"/>
      <w:r w:rsidRPr="00D70481">
        <w:rPr>
          <w:rFonts w:ascii="Arial" w:hAnsi="Arial" w:cs="Arial"/>
          <w:sz w:val="24"/>
          <w:szCs w:val="24"/>
        </w:rPr>
        <w:t>.</w:t>
      </w:r>
      <w:r w:rsidRPr="00D70481">
        <w:rPr>
          <w:rFonts w:ascii="Arial" w:hAnsi="Arial" w:cs="Arial"/>
          <w:i/>
          <w:color w:val="0070C0"/>
          <w:sz w:val="24"/>
          <w:szCs w:val="24"/>
        </w:rPr>
        <w:t xml:space="preserve"> </w:t>
      </w:r>
      <w:r w:rsidR="00A01BC4" w:rsidRPr="00D70481">
        <w:rPr>
          <w:rFonts w:ascii="Arial" w:hAnsi="Arial" w:cs="Arial"/>
          <w:i/>
          <w:sz w:val="24"/>
          <w:szCs w:val="24"/>
        </w:rPr>
        <w:t xml:space="preserve"> </w:t>
      </w:r>
    </w:p>
    <w:p w:rsidR="00A1181A" w:rsidRDefault="00A1181A" w:rsidP="00D70481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A1181A" w:rsidRPr="00D70481" w:rsidRDefault="00A1181A" w:rsidP="00D70481">
      <w:pPr>
        <w:pStyle w:val="Odsekzoznamu"/>
        <w:numPr>
          <w:ilvl w:val="0"/>
          <w:numId w:val="11"/>
        </w:num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D70481">
        <w:rPr>
          <w:rFonts w:ascii="Arial" w:hAnsi="Arial" w:cs="Arial"/>
          <w:sz w:val="24"/>
          <w:szCs w:val="24"/>
        </w:rPr>
        <w:t xml:space="preserve">V Hontianskych Nemciach </w:t>
      </w:r>
      <w:r w:rsidR="00A01BC4" w:rsidRPr="00D70481">
        <w:rPr>
          <w:rFonts w:ascii="Arial" w:hAnsi="Arial" w:cs="Arial"/>
          <w:sz w:val="24"/>
          <w:szCs w:val="24"/>
        </w:rPr>
        <w:t>25.5.2018</w:t>
      </w:r>
    </w:p>
    <w:p w:rsidR="00A1181A" w:rsidRDefault="00A1181A" w:rsidP="00D70481">
      <w:pPr>
        <w:spacing w:line="360" w:lineRule="auto"/>
        <w:ind w:left="4875"/>
        <w:jc w:val="both"/>
        <w:rPr>
          <w:rFonts w:ascii="Arial" w:hAnsi="Arial" w:cs="Arial"/>
          <w:sz w:val="24"/>
          <w:szCs w:val="24"/>
        </w:rPr>
      </w:pPr>
    </w:p>
    <w:p w:rsidR="00A1181A" w:rsidRDefault="00A1181A" w:rsidP="00D70481">
      <w:pPr>
        <w:rPr>
          <w:rFonts w:ascii="Arial" w:hAnsi="Arial" w:cs="Arial"/>
          <w:sz w:val="24"/>
          <w:szCs w:val="24"/>
        </w:rPr>
      </w:pPr>
    </w:p>
    <w:p w:rsidR="00A1181A" w:rsidRDefault="00A1181A" w:rsidP="00D70481">
      <w:pPr>
        <w:rPr>
          <w:rFonts w:ascii="Arial" w:hAnsi="Arial" w:cs="Arial"/>
          <w:sz w:val="24"/>
          <w:szCs w:val="24"/>
        </w:rPr>
      </w:pPr>
    </w:p>
    <w:p w:rsidR="00A1181A" w:rsidRDefault="00A1181A" w:rsidP="00D70481">
      <w:pPr>
        <w:rPr>
          <w:rFonts w:ascii="Arial" w:hAnsi="Arial" w:cs="Arial"/>
          <w:sz w:val="24"/>
          <w:szCs w:val="24"/>
        </w:rPr>
      </w:pPr>
    </w:p>
    <w:p w:rsidR="00A1181A" w:rsidRDefault="00A1181A" w:rsidP="00D70481"/>
    <w:p w:rsidR="00A1181A" w:rsidRDefault="00A1181A" w:rsidP="00A1181A"/>
    <w:p w:rsidR="00A1181A" w:rsidRDefault="00A1181A" w:rsidP="00A1181A"/>
    <w:p w:rsidR="00A1181A" w:rsidRDefault="00A1181A" w:rsidP="00A1181A"/>
    <w:p w:rsidR="00A1181A" w:rsidRDefault="00A1181A" w:rsidP="00A1181A"/>
    <w:p w:rsidR="009463E2" w:rsidRDefault="009463E2"/>
    <w:sectPr w:rsidR="009463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"/>
      <w:lvlJc w:val="left"/>
      <w:pPr>
        <w:tabs>
          <w:tab w:val="num" w:pos="1068"/>
        </w:tabs>
        <w:ind w:left="1068" w:hanging="360"/>
      </w:pPr>
      <w:rPr>
        <w:rFonts w:ascii="Wingdings" w:hAnsi="Wingdings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7F23504"/>
    <w:multiLevelType w:val="hybridMultilevel"/>
    <w:tmpl w:val="89CCC46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63447F"/>
    <w:multiLevelType w:val="hybridMultilevel"/>
    <w:tmpl w:val="148EC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B6499A"/>
    <w:multiLevelType w:val="hybridMultilevel"/>
    <w:tmpl w:val="C0981D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6B24BB"/>
    <w:multiLevelType w:val="hybridMultilevel"/>
    <w:tmpl w:val="C1A2F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E664E4"/>
    <w:multiLevelType w:val="hybridMultilevel"/>
    <w:tmpl w:val="95AED0A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10"/>
  </w:num>
  <w:num w:numId="8">
    <w:abstractNumId w:val="8"/>
  </w:num>
  <w:num w:numId="9">
    <w:abstractNumId w:val="7"/>
  </w:num>
  <w:num w:numId="10">
    <w:abstractNumId w:val="9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181A"/>
    <w:rsid w:val="00784B42"/>
    <w:rsid w:val="009463E2"/>
    <w:rsid w:val="00A01BC4"/>
    <w:rsid w:val="00A1181A"/>
    <w:rsid w:val="00C003E2"/>
    <w:rsid w:val="00D70481"/>
    <w:rsid w:val="00E02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BEEFB91-0808-4426-BFDD-779879DA0B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1181A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bsahtabuky">
    <w:name w:val="Obsah tabuľky"/>
    <w:basedOn w:val="Normlny"/>
    <w:rsid w:val="00A1181A"/>
    <w:pPr>
      <w:suppressLineNumbers/>
    </w:pPr>
  </w:style>
  <w:style w:type="paragraph" w:styleId="Odsekzoznamu">
    <w:name w:val="List Paragraph"/>
    <w:basedOn w:val="Normlny"/>
    <w:uiPriority w:val="34"/>
    <w:qFormat/>
    <w:rsid w:val="00E02E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7</Pages>
  <Words>1197</Words>
  <Characters>6826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KMEŤOVÁ Darina</dc:creator>
  <cp:keywords/>
  <dc:description/>
  <cp:lastModifiedBy>KMEŤOVÁ Darina</cp:lastModifiedBy>
  <cp:revision>5</cp:revision>
  <dcterms:created xsi:type="dcterms:W3CDTF">2018-05-14T08:40:00Z</dcterms:created>
  <dcterms:modified xsi:type="dcterms:W3CDTF">2018-06-08T12:24:00Z</dcterms:modified>
</cp:coreProperties>
</file>