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tabs>
          <w:tab w:val="left" w:pos="360" w:leader="none"/>
        </w:tabs>
        <w:spacing w:before="120" w:after="60" w:line="240"/>
        <w:ind w:right="0" w:left="426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čtovnej jednotke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Obchodné meno a sídlo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čnosti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496" w:type="dxa"/>
      </w:tblPr>
      <w:tblGrid>
        <w:gridCol w:w="4256"/>
      </w:tblGrid>
      <w:tr>
        <w:trPr>
          <w:trHeight w:val="300" w:hRule="auto"/>
          <w:jc w:val="left"/>
        </w:trPr>
        <w:tc>
          <w:tcPr>
            <w:tcW w:w="42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PIZZERIA ANNA, s.r.o.</w:t>
            </w:r>
          </w:p>
        </w:tc>
      </w:tr>
      <w:tr>
        <w:trPr>
          <w:trHeight w:val="300" w:hRule="auto"/>
          <w:jc w:val="left"/>
        </w:trPr>
        <w:tc>
          <w:tcPr>
            <w:tcW w:w="42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Hviezdoslavov 15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93041 Hviezdovslavo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PIZZERIA ANNA, s.r.o. (ďalej len Spoločnosť) bola založená 07. September 2012 a do obchodného registra bola zapísaná 3. Októbra 2012.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4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Hlavnými 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činnosťami Spoločnosti sú: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1. pohostinská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činnosť a výroba hotových jedál pre výdajne, donášková služba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2. poskytovanie obslužných služieb pri kultúrnych a iných 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čenských podujatiach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3. kúpa tovaru na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čely jeho predaja konečnému spotrebiteľovi (maloobchod) alebo iným prevádzkovateľom živnosti (veľkoobchod)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4. sprotredkovate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ľská činnosť v oblasti služieb a obchodu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6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čtovná závierka Spoločnosti k 31. decembru 2017 je zostavená ako riadna účtovná závierka podľa § 17 ods. 6 zákona NR SR č. 431/2002 Z. z. o účtovníctve za účtovné obdobie od 1. januára 2017 do 31. decembra 2017.</w:t>
      </w:r>
    </w:p>
    <w:p>
      <w:pPr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20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Informácie o skupine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keepNext w:val="true"/>
        <w:numPr>
          <w:ilvl w:val="0"/>
          <w:numId w:val="22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Zamestnanci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Údaje o neobmedzenom ru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čení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čnosť nie je neobmedzene ručiacim spoločníkom v iných spoločnostiach podľa § 56 ods. 5 Obchodného zákonníka.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29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Dátum schválenia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čtovnej závierky za predchádzajúce účtovné obdobie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čtovná závierka Spoločnosti k 31. decembru 2016, za predchádzajúce účtovné obdobie, bola schválená valným zhromaždením  Spoločnosti 30. júna. 2017.</w:t>
      </w:r>
    </w:p>
    <w:p>
      <w:pPr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2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Zverejnenie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čtovnej závierky za predchádzajúce účtovné obdobie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čtovná závierka Spoločnosti k 31. decembru 2016 bola uložená do registra účtovných závierok 30.júna.2017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6"/>
        </w:numPr>
        <w:suppressAutoHyphens w:val="true"/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Informácie o orgánoch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čnosti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Členom štatutárneho orgánu neboli v roku 2015 poskytnuté žiadne pôžičky, záruky alebo iné formy zabezpečenia, ani finančné prostriedky alebo iné plnenia na súkromné účely členov, ktoré sa vyúčtovávajú 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38"/>
        </w:numPr>
        <w:tabs>
          <w:tab w:val="left" w:pos="357" w:leader="none"/>
        </w:tabs>
        <w:spacing w:before="120" w:after="60" w:line="240"/>
        <w:ind w:right="0" w:left="426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 spolo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čníkoch účtovnej jednotky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Štruktúra 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čníkov k 31.12.2017 je takáto :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41"/>
        </w:numPr>
        <w:tabs>
          <w:tab w:val="left" w:pos="357" w:leader="none"/>
        </w:tabs>
        <w:suppressAutoHyphens w:val="true"/>
        <w:spacing w:before="120" w:after="60" w:line="240"/>
        <w:ind w:right="0" w:left="450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41"/>
        </w:numPr>
        <w:tabs>
          <w:tab w:val="left" w:pos="357" w:leader="none"/>
        </w:tabs>
        <w:suppressAutoHyphens w:val="true"/>
        <w:spacing w:before="120" w:after="60" w:line="240"/>
        <w:ind w:right="0" w:left="432" w:hanging="432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ab/>
        <w:t xml:space="preserve">Informácie o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čtovných zásadách a účtovných metódach 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       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Východiská pre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čtovnej závierky </w:t>
      </w: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čtovná závierka bola zostavená za predpokladu nepretržitého trvania Spoločnosti (going concern).</w:t>
      </w: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čtovné metódy a všeobecné účtovné zásady boli účtovnou jednotkou konzistentne aplikované. 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    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        Dlhodobý  nehmotný a hmotný majetok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ňuje obstarávacou cenou, ktorá zahŕňa cenu obstarania a náklady súvisiace s obstaraním (preprava, montáž, poistné a pod.)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používania a predpokladaného priebehu jeho opotrebenia.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Dlhodobý hmotný  majetok obstaraný formou finan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čného prenájmu je ocenený obstarávacou cenou zistenou u prenajímateľa.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Ro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čný odpis je určený s presnosťou  na celé kalendárne mesiace počnúc mesiacom, v ktorom boli  splnené p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odmienky na začatie odpisovania. Odpisovať sa začína prvým dňom mesiaca po uvedení dlhodobého majetku do používania.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Drobný dlhodobý nehmotný majetok, ktorého obstarávacia cena (resp. vlastné náklady) je 2 400 EUR a nižšia a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drobný dlhodobý nehmotný majetok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, ktorého obstarávacia cena (resp. vlastné náklady) je 1.700 € a nižšia, sa odpisuje jednorazovo pri uvedení do používania.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     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Predpokladaná doba používania, metóda odpisovania a odpisová sadzba sú uvedené v nasledujúcej tabu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ľke:</w:t>
      </w:r>
    </w:p>
    <w:tbl>
      <w:tblPr>
        <w:tblInd w:w="456" w:type="dxa"/>
      </w:tblPr>
      <w:tblGrid>
        <w:gridCol w:w="2976"/>
        <w:gridCol w:w="426"/>
        <w:gridCol w:w="1701"/>
        <w:gridCol w:w="1255"/>
        <w:gridCol w:w="1701"/>
        <w:gridCol w:w="1414"/>
        <w:gridCol w:w="1701"/>
      </w:tblGrid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Predpokladaná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Metóda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Ro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čná odpisová</w:t>
            </w:r>
          </w:p>
        </w:tc>
      </w:tr>
      <w:tr>
        <w:trPr>
          <w:trHeight w:val="250" w:hRule="auto"/>
          <w:jc w:val="left"/>
        </w:trPr>
        <w:tc>
          <w:tcPr>
            <w:tcW w:w="29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doba používania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Odpisovania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Sadzba %</w:t>
            </w:r>
          </w:p>
        </w:tc>
      </w:tr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Stroje, prístroje a zariadenia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               12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Lineárna</w:t>
            </w:r>
          </w:p>
        </w:tc>
        <w:tc>
          <w:tcPr>
            <w:tcW w:w="141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8,33</w:t>
            </w:r>
          </w:p>
        </w:tc>
      </w:tr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Ostatný dlhodobý hmotný majetok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               4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Lineárna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                25</w:t>
            </w:r>
          </w:p>
        </w:tc>
      </w:tr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Dopravné prostriedky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               4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Lineárna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25</w:t>
            </w:r>
          </w:p>
        </w:tc>
      </w:tr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Drobný dlhodobý nehmotný majetok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             rôzna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jednorazový odpis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100</w:t>
            </w:r>
          </w:p>
        </w:tc>
      </w:tr>
      <w:tr>
        <w:trPr>
          <w:trHeight w:val="250" w:hRule="auto"/>
          <w:jc w:val="left"/>
        </w:trPr>
        <w:tc>
          <w:tcPr>
            <w:tcW w:w="340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Drobný dlhodobý hmotný majetok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rôzna</w:t>
            </w: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jednorazový odpis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100</w:t>
            </w:r>
          </w:p>
        </w:tc>
      </w:tr>
    </w:tbl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Zásoby – tovar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7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Nakupované zásoby sa oce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ňujú obstarávacou cenou, ktorá zahŕňa cenu zásob. Náklady súvisiace    s obstaraním (prepravné, poistné a pod.) sa účtujú ako vedľajšie náklady obstarania. Nakupované zásoby sa oceňujú váženým aritmetickým priemerom z obstarávacích cien. Zníženie hodnoty zásob sa upravuje vytvorením opravnej položky.</w:t>
      </w:r>
    </w:p>
    <w:p>
      <w:pPr>
        <w:suppressAutoHyphens w:val="true"/>
        <w:spacing w:before="0" w:after="0" w:line="240"/>
        <w:ind w:right="0" w:left="27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ľadávky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ľadávky sa pri ich vzniku oceňujú ich menovitou hodnotou. Postúpené pohľadávky a pohľadávky nadobudnuté vkladom do základného imania sa oceňujú obstarávacou cenou vrátane nákladov súvisiacich s obstaraním.  Toto ocenenie je znížené o pochybné a nevymožiteľné pohľadávky.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ňažné prostriedky a ceniny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ňažné prostriedky a ceniny sa oceňujú ich menovitou hodnotou. Zníženie ich hodnoty sa vyjadruje opravnou položkou.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časovej súvislosti s účtovným obdobím.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Rezervy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čitým časovým vymedzením alebo výškou; tvoria sa na krytie známych rizík alebo strát z podnikania. Oceňujú sa v očakávanej výške záväzku.</w:t>
      </w:r>
    </w:p>
    <w:p>
      <w:pPr>
        <w:tabs>
          <w:tab w:val="left" w:pos="5112" w:leader="none"/>
        </w:tabs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Záväzky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Záväzky sa  pri ich vzniku oce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účtovnej závierke v tomto zistenom ocenení.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tabs>
          <w:tab w:val="left" w:pos="5112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5112" w:leader="none"/>
        </w:tabs>
        <w:suppressAutoHyphens w:val="true"/>
        <w:spacing w:before="0" w:after="0" w:line="240"/>
        <w:ind w:right="0" w:left="426" w:hanging="426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        Výdavky budúcich období a výnosy budúcich období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časovej súvislosti s účtovným obdobím.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Prenájom (lízing)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Výnosy</w:t>
      </w:r>
    </w:p>
    <w:p>
      <w:pPr>
        <w:tabs>
          <w:tab w:val="left" w:pos="4686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Tržby za vlastné výkony a tovar neobsahujú da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 z pridanej hodnoty. Sú tiež znížené o zľavy a zrážky (rabaty, bonusy, skontá, dobropisy a pod.) bez ohľadu na to, či zákazník mal vopred na zľavu nárok, alebo či ide o dodatočne uznanú zľavu.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  <w:t xml:space="preserve">Oprava chýb minulých ú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  <w:t xml:space="preserve">čtovných období</w:t>
      </w:r>
    </w:p>
    <w:p>
      <w:pPr>
        <w:suppressAutoHyphens w:val="true"/>
        <w:spacing w:before="0" w:after="0" w:line="240"/>
        <w:ind w:right="0" w:left="786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Významné chyby minulých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čtovných období účtovaných v bežnom účtovnom období účtuje Spoločnosť vplyvom na nerozdelený zisk minulých rokov alebo na neuhradenú stratu minulých rokov. Nevýznamné chyby minulých účtovných období účtovaných v bežnom účtovnom období účtuje Spoločnosť vplyvom na výsledok hospodárenia bežného účtovného obdobia.</w:t>
      </w:r>
    </w:p>
    <w:p>
      <w:pPr>
        <w:suppressAutoHyphens w:val="true"/>
        <w:spacing w:before="0" w:after="0" w:line="240"/>
        <w:ind w:right="0" w:left="45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V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čtovnom období 2015 Spoločnosť nevykonala žiadne opravy významných chýb minulých účtovných období.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06"/>
        </w:numPr>
        <w:tabs>
          <w:tab w:val="left" w:pos="357" w:leader="none"/>
        </w:tabs>
        <w:spacing w:before="120" w:after="60" w:line="240"/>
        <w:ind w:right="0" w:left="426" w:hanging="36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údajoch V súvahE a VýKaze Ziskov A STRÁT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Goodwill /  záporný goodwill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keepNext w:val="true"/>
        <w:numPr>
          <w:ilvl w:val="0"/>
          <w:numId w:val="111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Informácie o významných položkách derivátov, majetku a záväzkoch zabezpe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čených derivátmi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14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Štruktúra záväzkov pod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ľa zostatkovej doby splatnosti je uvedená v nasledujúcom prehľade: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6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Informácie o vlastných akciách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18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  <w:t xml:space="preserve">Informácie o výnosoch a nákladoch, ktoré majú výnimo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FFFFFF" w:val="clear"/>
        </w:rPr>
        <w:t xml:space="preserve">čný rozsah alebo výskyt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ň</w:t>
      </w:r>
    </w:p>
    <w:p>
      <w:pPr>
        <w:keepNext w:val="true"/>
        <w:numPr>
          <w:ilvl w:val="0"/>
          <w:numId w:val="120"/>
        </w:numPr>
        <w:tabs>
          <w:tab w:val="left" w:pos="357" w:leader="none"/>
        </w:tabs>
        <w:suppressAutoHyphens w:val="true"/>
        <w:spacing w:before="120" w:after="60" w:line="240"/>
        <w:ind w:right="0" w:left="450" w:hanging="36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0"/>
        </w:numPr>
        <w:tabs>
          <w:tab w:val="left" w:pos="357" w:leader="none"/>
        </w:tabs>
        <w:spacing w:before="120" w:after="60" w:line="240"/>
        <w:ind w:right="0" w:left="426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iných aktívach a iných pasívach</w:t>
      </w:r>
    </w:p>
    <w:p>
      <w:pPr>
        <w:keepNext w:val="true"/>
        <w:numPr>
          <w:ilvl w:val="0"/>
          <w:numId w:val="120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Podmienený majetok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- nemá nápl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ň</w:t>
      </w:r>
    </w:p>
    <w:p>
      <w:pPr>
        <w:keepNext w:val="true"/>
        <w:numPr>
          <w:ilvl w:val="0"/>
          <w:numId w:val="120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Podmienené záväzky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čnosť nemá podmienené záväzky, ktoré sa nesledujú v bežnom účtovníctve a neuvádzajú sa v súvahe.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Vzh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FFFFFF" w:val="clear"/>
        </w:rPr>
        <w:t xml:space="preserve">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4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Ostatné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čné povinnosti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- nemá náplň</w:t>
      </w:r>
    </w:p>
    <w:p>
      <w:pPr>
        <w:keepNext w:val="true"/>
        <w:numPr>
          <w:ilvl w:val="0"/>
          <w:numId w:val="124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Najatý majetok – nemá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ň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6"/>
        </w:numPr>
        <w:spacing w:before="120" w:after="12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Prenajatý majetok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 - 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nemá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  <w:t xml:space="preserve">ň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8"/>
        </w:numPr>
        <w:tabs>
          <w:tab w:val="left" w:pos="357" w:leader="none"/>
        </w:tabs>
        <w:spacing w:before="120" w:after="60" w:line="240"/>
        <w:ind w:right="0" w:left="426" w:hanging="360"/>
        <w:jc w:val="both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skuto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čnostiach, ktoré nastali po dni, ku ktorému sa zostavuje  účtovná závierka, do dňa zostavenia účtovnej závierky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Po 31.decembri 2015 nenastali žiadne udalosti, ktoré by mali významný vplyv na verné zobrazenie skuto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čností, ktoré sú predmetom účtovníctva.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num w:numId="1">
    <w:abstractNumId w:val="114"/>
  </w:num>
  <w:num w:numId="3">
    <w:abstractNumId w:val="7"/>
  </w:num>
  <w:num w:numId="14">
    <w:abstractNumId w:val="1"/>
  </w:num>
  <w:num w:numId="16">
    <w:abstractNumId w:val="108"/>
  </w:num>
  <w:num w:numId="20">
    <w:abstractNumId w:val="102"/>
  </w:num>
  <w:num w:numId="22">
    <w:abstractNumId w:val="96"/>
  </w:num>
  <w:num w:numId="25">
    <w:abstractNumId w:val="90"/>
  </w:num>
  <w:num w:numId="29">
    <w:abstractNumId w:val="84"/>
  </w:num>
  <w:num w:numId="32">
    <w:abstractNumId w:val="78"/>
  </w:num>
  <w:num w:numId="36">
    <w:abstractNumId w:val="72"/>
  </w:num>
  <w:num w:numId="38">
    <w:abstractNumId w:val="66"/>
  </w:num>
  <w:num w:numId="41">
    <w:abstractNumId w:val="60"/>
  </w:num>
  <w:num w:numId="106">
    <w:abstractNumId w:val="54"/>
  </w:num>
  <w:num w:numId="108">
    <w:abstractNumId w:val="48"/>
  </w:num>
  <w:num w:numId="111">
    <w:abstractNumId w:val="42"/>
  </w:num>
  <w:num w:numId="114">
    <w:abstractNumId w:val="36"/>
  </w:num>
  <w:num w:numId="116">
    <w:abstractNumId w:val="30"/>
  </w:num>
  <w:num w:numId="118">
    <w:abstractNumId w:val="24"/>
  </w:num>
  <w:num w:numId="120">
    <w:abstractNumId w:val="18"/>
  </w:num>
  <w:num w:numId="124">
    <w:abstractNumId w:val="12"/>
  </w:num>
  <w:num w:numId="126">
    <w:abstractNumId w:val="6"/>
  </w:num>
  <w:num w:numId="12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