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258" w:rsidRPr="0062315C" w:rsidRDefault="00DE5258" w:rsidP="00DE5258">
      <w:pPr>
        <w:pStyle w:val="Default"/>
      </w:pPr>
    </w:p>
    <w:p w:rsidR="002A6B69" w:rsidRPr="0062315C" w:rsidRDefault="00B81442" w:rsidP="002A6B69">
      <w:pPr>
        <w:pStyle w:val="Heading1"/>
        <w:keepNext w:val="0"/>
        <w:spacing w:before="120"/>
        <w:rPr>
          <w:rFonts w:ascii="Arial" w:hAnsi="Arial" w:cs="Arial"/>
        </w:rPr>
      </w:pPr>
      <w:r w:rsidRPr="0062315C">
        <w:rPr>
          <w:rFonts w:ascii="Arial" w:hAnsi="Arial" w:cs="Arial"/>
        </w:rPr>
        <w:t>Všeobecné informácie</w:t>
      </w:r>
    </w:p>
    <w:p w:rsidR="002A6B69" w:rsidRPr="0062315C" w:rsidRDefault="00D30F78" w:rsidP="002A6B69">
      <w:pPr>
        <w:pStyle w:val="ListParagraph"/>
        <w:keepNext w:val="0"/>
        <w:numPr>
          <w:ilvl w:val="1"/>
          <w:numId w:val="1"/>
        </w:numPr>
        <w:ind w:left="0" w:firstLine="0"/>
        <w:rPr>
          <w:rFonts w:ascii="Arial" w:hAnsi="Arial" w:cs="Arial"/>
        </w:rPr>
      </w:pPr>
      <w:r w:rsidRPr="0062315C">
        <w:rPr>
          <w:rFonts w:ascii="Arial" w:hAnsi="Arial" w:cs="Arial"/>
        </w:rPr>
        <w:t xml:space="preserve">Carat </w:t>
      </w:r>
      <w:r w:rsidR="00B946C7">
        <w:rPr>
          <w:rFonts w:ascii="Arial" w:hAnsi="Arial" w:cs="Arial"/>
        </w:rPr>
        <w:t>-</w:t>
      </w:r>
      <w:r w:rsidRPr="0062315C">
        <w:rPr>
          <w:rFonts w:ascii="Arial" w:hAnsi="Arial" w:cs="Arial"/>
        </w:rPr>
        <w:t xml:space="preserve"> Slovakia, s.r.o.</w:t>
      </w:r>
      <w:r w:rsidR="002A6B69" w:rsidRPr="0062315C">
        <w:rPr>
          <w:rFonts w:ascii="Arial" w:hAnsi="Arial" w:cs="Arial"/>
        </w:rPr>
        <w:t xml:space="preserve"> (ďalej len „spoločnosť”) je spoločnosť s ručením obmedzeným. Spoločnosť sídli  v</w:t>
      </w:r>
      <w:r w:rsidRPr="0062315C">
        <w:rPr>
          <w:rFonts w:ascii="Arial" w:hAnsi="Arial" w:cs="Arial"/>
        </w:rPr>
        <w:t xml:space="preserve"> Teslova</w:t>
      </w:r>
      <w:r w:rsidR="002A6B69" w:rsidRPr="0062315C">
        <w:rPr>
          <w:rFonts w:ascii="Arial" w:hAnsi="Arial" w:cs="Arial"/>
        </w:rPr>
        <w:t xml:space="preserve"> </w:t>
      </w:r>
      <w:r w:rsidRPr="0062315C">
        <w:rPr>
          <w:rFonts w:ascii="Arial" w:hAnsi="Arial" w:cs="Arial"/>
        </w:rPr>
        <w:t>20, 821 02 Bratislava</w:t>
      </w:r>
      <w:r w:rsidR="002A6B69" w:rsidRPr="0062315C">
        <w:rPr>
          <w:rFonts w:ascii="Arial" w:hAnsi="Arial" w:cs="Arial"/>
        </w:rPr>
        <w:t>, Slovenská republika. Hlavným predmetom vykonávanej činnosti je:</w:t>
      </w:r>
    </w:p>
    <w:p w:rsidR="002A6B69" w:rsidRPr="0062315C" w:rsidRDefault="002A6B69" w:rsidP="002A6B69">
      <w:pPr>
        <w:keepNext w:val="0"/>
        <w:rPr>
          <w:rFonts w:ascii="Arial" w:hAnsi="Arial" w:cs="Arial"/>
        </w:rPr>
      </w:pPr>
      <w:r w:rsidRPr="0062315C">
        <w:rPr>
          <w:rFonts w:ascii="Arial" w:hAnsi="Arial" w:cs="Arial"/>
        </w:rPr>
        <w:t>1.</w:t>
      </w:r>
      <w:r w:rsidR="00D30F78" w:rsidRPr="0062315C">
        <w:rPr>
          <w:rFonts w:ascii="Arial" w:hAnsi="Arial" w:cs="Arial"/>
        </w:rPr>
        <w:t xml:space="preserve"> reklamná činnosť</w:t>
      </w:r>
    </w:p>
    <w:p w:rsidR="002A6B69" w:rsidRPr="0062315C" w:rsidRDefault="002A6B69" w:rsidP="002A6B69">
      <w:pPr>
        <w:keepNext w:val="0"/>
        <w:rPr>
          <w:rFonts w:ascii="Arial" w:hAnsi="Arial" w:cs="Arial"/>
        </w:rPr>
      </w:pPr>
      <w:r w:rsidRPr="0062315C">
        <w:rPr>
          <w:rFonts w:ascii="Arial" w:hAnsi="Arial" w:cs="Arial"/>
        </w:rPr>
        <w:t>2.</w:t>
      </w:r>
      <w:r w:rsidR="00D30F78" w:rsidRPr="0062315C">
        <w:rPr>
          <w:rFonts w:ascii="Arial" w:hAnsi="Arial" w:cs="Arial"/>
        </w:rPr>
        <w:t xml:space="preserve"> sprostredkovanie reklamy v médiách</w:t>
      </w:r>
    </w:p>
    <w:p w:rsidR="002A6B69" w:rsidRPr="0062315C" w:rsidRDefault="002A6B69" w:rsidP="002A6B69">
      <w:pPr>
        <w:pStyle w:val="ListParagraph"/>
        <w:numPr>
          <w:ilvl w:val="1"/>
          <w:numId w:val="1"/>
        </w:numPr>
        <w:ind w:left="0" w:firstLine="0"/>
        <w:rPr>
          <w:rFonts w:ascii="Arial" w:hAnsi="Arial" w:cs="Arial"/>
        </w:rPr>
      </w:pPr>
      <w:r w:rsidRPr="0062315C">
        <w:rPr>
          <w:rFonts w:ascii="Arial" w:hAnsi="Arial" w:cs="Arial"/>
        </w:rPr>
        <w:t xml:space="preserve">Účtovná závierka spoločnosti za </w:t>
      </w:r>
      <w:r w:rsidRPr="00D21E51">
        <w:rPr>
          <w:rFonts w:ascii="Arial" w:hAnsi="Arial" w:cs="Arial"/>
        </w:rPr>
        <w:t>predchádzajúce účtovné obdobie k 31. decembru 201</w:t>
      </w:r>
      <w:r w:rsidR="0081072F">
        <w:rPr>
          <w:rFonts w:ascii="Arial" w:hAnsi="Arial" w:cs="Arial"/>
        </w:rPr>
        <w:t>6</w:t>
      </w:r>
      <w:r w:rsidRPr="00D21E51">
        <w:rPr>
          <w:rFonts w:ascii="Arial" w:hAnsi="Arial" w:cs="Arial"/>
          <w:i/>
        </w:rPr>
        <w:t xml:space="preserve"> </w:t>
      </w:r>
      <w:r w:rsidRPr="00D21E51">
        <w:rPr>
          <w:rFonts w:ascii="Arial" w:hAnsi="Arial" w:cs="Arial"/>
        </w:rPr>
        <w:t>bola schválená valným zhromaždením spoločnosti dňa</w:t>
      </w:r>
      <w:r w:rsidR="00D21E51" w:rsidRPr="00D21E51">
        <w:rPr>
          <w:rFonts w:ascii="Arial" w:hAnsi="Arial" w:cs="Arial"/>
        </w:rPr>
        <w:t xml:space="preserve"> </w:t>
      </w:r>
      <w:r w:rsidR="0081072F">
        <w:rPr>
          <w:rFonts w:ascii="Arial" w:hAnsi="Arial" w:cs="Arial"/>
        </w:rPr>
        <w:t>9</w:t>
      </w:r>
      <w:r w:rsidR="00D21E51" w:rsidRPr="00D21E51">
        <w:rPr>
          <w:rFonts w:ascii="Arial" w:hAnsi="Arial" w:cs="Arial"/>
        </w:rPr>
        <w:t>.</w:t>
      </w:r>
      <w:r w:rsidR="0081072F">
        <w:rPr>
          <w:rFonts w:ascii="Arial" w:hAnsi="Arial" w:cs="Arial"/>
        </w:rPr>
        <w:t xml:space="preserve"> januára </w:t>
      </w:r>
      <w:r w:rsidR="00D21E51" w:rsidRPr="00D21E51">
        <w:rPr>
          <w:rFonts w:ascii="Arial" w:hAnsi="Arial" w:cs="Arial"/>
        </w:rPr>
        <w:t>201</w:t>
      </w:r>
      <w:r w:rsidR="0081072F">
        <w:rPr>
          <w:rFonts w:ascii="Arial" w:hAnsi="Arial" w:cs="Arial"/>
        </w:rPr>
        <w:t>8</w:t>
      </w:r>
      <w:r w:rsidRPr="00D21E51">
        <w:rPr>
          <w:rFonts w:ascii="Arial" w:hAnsi="Arial" w:cs="Arial"/>
        </w:rPr>
        <w:t>.</w:t>
      </w:r>
    </w:p>
    <w:p w:rsidR="002A6B69" w:rsidRPr="0062315C" w:rsidRDefault="002A6B69" w:rsidP="002A6B69">
      <w:pPr>
        <w:pStyle w:val="ListParagraph"/>
        <w:ind w:left="360"/>
        <w:rPr>
          <w:rFonts w:ascii="Arial" w:hAnsi="Arial" w:cs="Arial"/>
        </w:rPr>
      </w:pPr>
    </w:p>
    <w:p w:rsidR="002A6B69" w:rsidRPr="0062315C" w:rsidRDefault="002A6B69" w:rsidP="002A6B69">
      <w:pPr>
        <w:pStyle w:val="ListParagraph"/>
        <w:numPr>
          <w:ilvl w:val="1"/>
          <w:numId w:val="1"/>
        </w:numPr>
        <w:ind w:left="0" w:firstLine="0"/>
        <w:rPr>
          <w:rFonts w:ascii="Arial" w:hAnsi="Arial" w:cs="Arial"/>
        </w:rPr>
      </w:pPr>
      <w:r w:rsidRPr="0062315C">
        <w:rPr>
          <w:rFonts w:ascii="Arial" w:hAnsi="Arial" w:cs="Arial"/>
        </w:rPr>
        <w:t>Účtovná závierka bola zostavená podľa Zákona č. 431/2002 Z.z. o účtovníctve v znení neskorších predpisov a je zostavená ako riadna účtovná závierka.</w:t>
      </w:r>
    </w:p>
    <w:p w:rsidR="002A6B69" w:rsidRPr="0062315C" w:rsidRDefault="002A6B69" w:rsidP="002A6B69">
      <w:pPr>
        <w:pStyle w:val="ListParagraph"/>
        <w:rPr>
          <w:rFonts w:ascii="Arial" w:hAnsi="Arial" w:cs="Arial"/>
        </w:rPr>
      </w:pPr>
    </w:p>
    <w:p w:rsidR="000D1049" w:rsidRPr="0062315C" w:rsidRDefault="000D1049" w:rsidP="000D1049">
      <w:pPr>
        <w:pStyle w:val="ListParagraph"/>
        <w:numPr>
          <w:ilvl w:val="1"/>
          <w:numId w:val="1"/>
        </w:numPr>
        <w:ind w:left="0" w:firstLine="0"/>
        <w:rPr>
          <w:rFonts w:ascii="Arial" w:hAnsi="Arial" w:cs="Arial"/>
        </w:rPr>
      </w:pPr>
      <w:r w:rsidRPr="0062315C">
        <w:rPr>
          <w:rFonts w:ascii="Arial" w:hAnsi="Arial" w:cs="Arial"/>
        </w:rPr>
        <w:t xml:space="preserve">Spoločnosť </w:t>
      </w:r>
      <w:r w:rsidR="0062315C" w:rsidRPr="0062315C">
        <w:rPr>
          <w:rFonts w:ascii="Arial" w:hAnsi="Arial" w:cs="Arial"/>
        </w:rPr>
        <w:t xml:space="preserve">Carat </w:t>
      </w:r>
      <w:r w:rsidR="00B946C7">
        <w:rPr>
          <w:rFonts w:ascii="Arial" w:hAnsi="Arial" w:cs="Arial"/>
        </w:rPr>
        <w:t>-</w:t>
      </w:r>
      <w:r w:rsidR="0062315C" w:rsidRPr="0062315C">
        <w:rPr>
          <w:rFonts w:ascii="Arial" w:hAnsi="Arial" w:cs="Arial"/>
        </w:rPr>
        <w:t xml:space="preserve"> Slovakia, s.r.o. </w:t>
      </w:r>
      <w:r w:rsidRPr="0062315C">
        <w:rPr>
          <w:rFonts w:ascii="Arial" w:hAnsi="Arial" w:cs="Arial"/>
        </w:rPr>
        <w:t>je dcérskou spoločnosťou Dentsu Aegis Network Central Europe GmbH  so sídlom vo Wiesbadene, Spolková republika Nemecko, ktorá má 100-percentný podiel na jej základnom imaní. Materská spoločnosť Dentsu Aegis Network Central Europe GmbH  je dcérskou spoločnosťou spoločnosti Dentsu Aegis Network Ltd., Lond</w:t>
      </w:r>
      <w:r w:rsidR="004B7BF0">
        <w:rPr>
          <w:rFonts w:ascii="Arial" w:hAnsi="Arial" w:cs="Arial"/>
        </w:rPr>
        <w:t>ý</w:t>
      </w:r>
      <w:r w:rsidRPr="0062315C">
        <w:rPr>
          <w:rFonts w:ascii="Arial" w:hAnsi="Arial" w:cs="Arial"/>
        </w:rPr>
        <w:t>n a táto spoločnosť má 100-percentný podiel na jej základnom imaní. Spoločnosť Dentsu Aegis Network Ltd., so sídlom 10 Triton Street, NW1 3BF Lond</w:t>
      </w:r>
      <w:r w:rsidR="004B7BF0">
        <w:rPr>
          <w:rFonts w:ascii="Arial" w:hAnsi="Arial" w:cs="Arial"/>
        </w:rPr>
        <w:t>ý</w:t>
      </w:r>
      <w:r w:rsidRPr="0062315C">
        <w:rPr>
          <w:rFonts w:ascii="Arial" w:hAnsi="Arial" w:cs="Arial"/>
        </w:rPr>
        <w:t>n, Spojené kráľovstvo Veľkej Británie a Severného Írska</w:t>
      </w:r>
      <w:r w:rsidR="004B7BF0">
        <w:rPr>
          <w:rFonts w:ascii="Arial" w:hAnsi="Arial" w:cs="Arial"/>
        </w:rPr>
        <w:t>,</w:t>
      </w:r>
      <w:r w:rsidRPr="0062315C">
        <w:rPr>
          <w:rFonts w:ascii="Arial" w:hAnsi="Arial" w:cs="Arial"/>
        </w:rPr>
        <w:t xml:space="preserve"> zostavuje konsolidovanú účtovnú závierku za všetky skupiny podnikov konsolidovaného celku.</w:t>
      </w:r>
    </w:p>
    <w:p w:rsidR="002A6B69" w:rsidRPr="0062315C" w:rsidRDefault="002A6B69" w:rsidP="002A6B69">
      <w:pPr>
        <w:pStyle w:val="ListParagraph"/>
        <w:ind w:left="360"/>
        <w:rPr>
          <w:rFonts w:ascii="Arial" w:hAnsi="Arial" w:cs="Arial"/>
        </w:rPr>
      </w:pPr>
    </w:p>
    <w:p w:rsidR="002A6B69" w:rsidRPr="0062315C" w:rsidRDefault="002A6B69" w:rsidP="00872867">
      <w:pPr>
        <w:pStyle w:val="ListParagraph"/>
        <w:numPr>
          <w:ilvl w:val="1"/>
          <w:numId w:val="1"/>
        </w:numPr>
        <w:ind w:left="0" w:firstLine="0"/>
        <w:rPr>
          <w:rFonts w:ascii="Arial" w:hAnsi="Arial" w:cs="Arial"/>
        </w:rPr>
      </w:pPr>
      <w:r w:rsidRPr="0062315C">
        <w:rPr>
          <w:rFonts w:ascii="Arial" w:hAnsi="Arial" w:cs="Arial"/>
        </w:rPr>
        <w:t>Informácie o počte zamestnancov:</w:t>
      </w:r>
    </w:p>
    <w:tbl>
      <w:tblPr>
        <w:tblW w:w="8980" w:type="dxa"/>
        <w:jc w:val="center"/>
        <w:tblCellMar>
          <w:left w:w="70" w:type="dxa"/>
          <w:right w:w="70" w:type="dxa"/>
        </w:tblCellMar>
        <w:tblLook w:val="04A0" w:firstRow="1" w:lastRow="0" w:firstColumn="1" w:lastColumn="0" w:noHBand="0" w:noVBand="1"/>
      </w:tblPr>
      <w:tblGrid>
        <w:gridCol w:w="3500"/>
        <w:gridCol w:w="2740"/>
        <w:gridCol w:w="2740"/>
      </w:tblGrid>
      <w:tr w:rsidR="002A6B69" w:rsidRPr="0062315C" w:rsidTr="00903ED1">
        <w:trPr>
          <w:trHeight w:val="435"/>
          <w:jc w:val="center"/>
        </w:trPr>
        <w:tc>
          <w:tcPr>
            <w:tcW w:w="3500" w:type="dxa"/>
            <w:tcBorders>
              <w:top w:val="single" w:sz="12" w:space="0" w:color="auto"/>
              <w:left w:val="single" w:sz="12" w:space="0" w:color="auto"/>
              <w:bottom w:val="nil"/>
              <w:right w:val="single" w:sz="12" w:space="0" w:color="auto"/>
            </w:tcBorders>
            <w:shd w:val="clear" w:color="auto" w:fill="auto"/>
            <w:vAlign w:val="center"/>
            <w:hideMark/>
          </w:tcPr>
          <w:p w:rsidR="002A6B69" w:rsidRPr="0062315C" w:rsidRDefault="002A6B69" w:rsidP="00903ED1">
            <w:pPr>
              <w:keepNext w:val="0"/>
              <w:spacing w:after="0"/>
              <w:jc w:val="center"/>
              <w:rPr>
                <w:rFonts w:ascii="Arial" w:hAnsi="Arial" w:cs="Arial"/>
                <w:b/>
                <w:bCs/>
                <w:color w:val="000000"/>
                <w:sz w:val="16"/>
                <w:szCs w:val="16"/>
                <w:lang w:eastAsia="sk-SK"/>
              </w:rPr>
            </w:pPr>
            <w:r w:rsidRPr="0062315C">
              <w:rPr>
                <w:rFonts w:ascii="Arial" w:hAnsi="Arial" w:cs="Arial"/>
                <w:b/>
                <w:bCs/>
                <w:color w:val="000000"/>
                <w:sz w:val="16"/>
                <w:szCs w:val="16"/>
                <w:lang w:eastAsia="sk-SK"/>
              </w:rPr>
              <w:t>Názov položky</w:t>
            </w:r>
          </w:p>
        </w:tc>
        <w:tc>
          <w:tcPr>
            <w:tcW w:w="2740" w:type="dxa"/>
            <w:tcBorders>
              <w:top w:val="single" w:sz="12" w:space="0" w:color="auto"/>
              <w:left w:val="nil"/>
              <w:bottom w:val="nil"/>
              <w:right w:val="single" w:sz="12" w:space="0" w:color="auto"/>
            </w:tcBorders>
            <w:shd w:val="clear" w:color="auto" w:fill="auto"/>
            <w:vAlign w:val="center"/>
            <w:hideMark/>
          </w:tcPr>
          <w:p w:rsidR="002A6B69" w:rsidRPr="0062315C" w:rsidRDefault="002A6B69" w:rsidP="00903ED1">
            <w:pPr>
              <w:keepNext w:val="0"/>
              <w:spacing w:after="0"/>
              <w:jc w:val="center"/>
              <w:rPr>
                <w:rFonts w:ascii="Arial" w:hAnsi="Arial" w:cs="Arial"/>
                <w:b/>
                <w:bCs/>
                <w:color w:val="000000"/>
                <w:sz w:val="16"/>
                <w:szCs w:val="16"/>
                <w:lang w:eastAsia="sk-SK"/>
              </w:rPr>
            </w:pPr>
            <w:r w:rsidRPr="0062315C">
              <w:rPr>
                <w:rFonts w:ascii="Arial" w:hAnsi="Arial" w:cs="Arial"/>
                <w:b/>
                <w:bCs/>
                <w:color w:val="000000"/>
                <w:sz w:val="16"/>
                <w:szCs w:val="16"/>
                <w:lang w:eastAsia="sk-SK"/>
              </w:rPr>
              <w:t>Bežné účtovné obdobie</w:t>
            </w:r>
          </w:p>
        </w:tc>
        <w:tc>
          <w:tcPr>
            <w:tcW w:w="2740" w:type="dxa"/>
            <w:tcBorders>
              <w:top w:val="single" w:sz="12" w:space="0" w:color="auto"/>
              <w:left w:val="nil"/>
              <w:bottom w:val="nil"/>
              <w:right w:val="single" w:sz="12" w:space="0" w:color="auto"/>
            </w:tcBorders>
            <w:shd w:val="clear" w:color="auto" w:fill="auto"/>
            <w:vAlign w:val="center"/>
            <w:hideMark/>
          </w:tcPr>
          <w:p w:rsidR="002A6B69" w:rsidRPr="0062315C" w:rsidRDefault="002A6B69" w:rsidP="00903ED1">
            <w:pPr>
              <w:keepNext w:val="0"/>
              <w:spacing w:after="0"/>
              <w:jc w:val="center"/>
              <w:rPr>
                <w:rFonts w:ascii="Arial" w:hAnsi="Arial" w:cs="Arial"/>
                <w:b/>
                <w:bCs/>
                <w:color w:val="000000"/>
                <w:sz w:val="16"/>
                <w:szCs w:val="16"/>
                <w:lang w:eastAsia="sk-SK"/>
              </w:rPr>
            </w:pPr>
            <w:r w:rsidRPr="0062315C">
              <w:rPr>
                <w:rFonts w:ascii="Arial" w:hAnsi="Arial" w:cs="Arial"/>
                <w:b/>
                <w:bCs/>
                <w:color w:val="000000"/>
                <w:sz w:val="16"/>
                <w:szCs w:val="16"/>
                <w:lang w:eastAsia="sk-SK"/>
              </w:rPr>
              <w:t>Bezprostredne predchádzajúce účtovné obdobie</w:t>
            </w:r>
          </w:p>
        </w:tc>
      </w:tr>
      <w:tr w:rsidR="002A6B69" w:rsidRPr="0062315C" w:rsidTr="00903ED1">
        <w:trPr>
          <w:trHeight w:val="450"/>
          <w:jc w:val="center"/>
        </w:trPr>
        <w:tc>
          <w:tcPr>
            <w:tcW w:w="350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2A6B69" w:rsidRPr="0062315C" w:rsidRDefault="002A6B69" w:rsidP="00903ED1">
            <w:pPr>
              <w:keepNext w:val="0"/>
              <w:spacing w:after="0"/>
              <w:jc w:val="left"/>
              <w:rPr>
                <w:rFonts w:ascii="Arial" w:hAnsi="Arial" w:cs="Arial"/>
                <w:color w:val="000000"/>
                <w:sz w:val="16"/>
                <w:szCs w:val="16"/>
                <w:lang w:eastAsia="sk-SK"/>
              </w:rPr>
            </w:pPr>
            <w:r w:rsidRPr="0062315C">
              <w:rPr>
                <w:rFonts w:ascii="Arial" w:hAnsi="Arial" w:cs="Arial"/>
                <w:color w:val="000000"/>
                <w:sz w:val="16"/>
                <w:szCs w:val="16"/>
                <w:lang w:eastAsia="sk-SK"/>
              </w:rPr>
              <w:t>Priemerný prepočítaný počet zamestnancov</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rsidR="002A6B69" w:rsidRPr="0062315C" w:rsidRDefault="00C1571A" w:rsidP="00AF280B">
            <w:pPr>
              <w:keepNext w:val="0"/>
              <w:spacing w:after="0"/>
              <w:jc w:val="right"/>
              <w:rPr>
                <w:rFonts w:ascii="Arial" w:hAnsi="Arial" w:cs="Arial"/>
                <w:color w:val="000000"/>
                <w:sz w:val="16"/>
                <w:szCs w:val="16"/>
                <w:lang w:eastAsia="sk-SK"/>
              </w:rPr>
            </w:pPr>
            <w:r>
              <w:rPr>
                <w:rFonts w:ascii="Arial" w:hAnsi="Arial" w:cs="Arial"/>
                <w:color w:val="000000"/>
                <w:sz w:val="16"/>
                <w:szCs w:val="16"/>
                <w:lang w:eastAsia="sk-SK"/>
              </w:rPr>
              <w:t>8,33</w:t>
            </w:r>
            <w:r w:rsidR="002A6B69" w:rsidRPr="0062315C">
              <w:rPr>
                <w:rFonts w:ascii="Arial" w:hAnsi="Arial" w:cs="Arial"/>
                <w:color w:val="000000"/>
                <w:sz w:val="16"/>
                <w:szCs w:val="16"/>
                <w:lang w:eastAsia="sk-SK"/>
              </w:rPr>
              <w:t> </w:t>
            </w:r>
          </w:p>
        </w:tc>
        <w:tc>
          <w:tcPr>
            <w:tcW w:w="2740" w:type="dxa"/>
            <w:tcBorders>
              <w:top w:val="single" w:sz="12" w:space="0" w:color="auto"/>
              <w:left w:val="nil"/>
              <w:bottom w:val="single" w:sz="8" w:space="0" w:color="auto"/>
              <w:right w:val="single" w:sz="12" w:space="0" w:color="auto"/>
            </w:tcBorders>
            <w:shd w:val="clear" w:color="auto" w:fill="auto"/>
            <w:vAlign w:val="center"/>
            <w:hideMark/>
          </w:tcPr>
          <w:p w:rsidR="002A6B69" w:rsidRPr="0062315C" w:rsidRDefault="0081292F" w:rsidP="00903ED1">
            <w:pPr>
              <w:keepNext w:val="0"/>
              <w:spacing w:after="0"/>
              <w:jc w:val="right"/>
              <w:rPr>
                <w:rFonts w:ascii="Arial" w:hAnsi="Arial" w:cs="Arial"/>
                <w:color w:val="000000"/>
                <w:sz w:val="16"/>
                <w:szCs w:val="16"/>
                <w:lang w:eastAsia="sk-SK"/>
              </w:rPr>
            </w:pPr>
            <w:r w:rsidRPr="0062315C">
              <w:rPr>
                <w:rFonts w:ascii="Arial" w:hAnsi="Arial" w:cs="Arial"/>
                <w:color w:val="000000"/>
                <w:sz w:val="16"/>
                <w:szCs w:val="16"/>
                <w:lang w:eastAsia="sk-SK"/>
              </w:rPr>
              <w:t>5</w:t>
            </w:r>
            <w:r w:rsidR="0081072F">
              <w:rPr>
                <w:rFonts w:ascii="Arial" w:hAnsi="Arial" w:cs="Arial"/>
                <w:color w:val="000000"/>
                <w:sz w:val="16"/>
                <w:szCs w:val="16"/>
                <w:lang w:eastAsia="sk-SK"/>
              </w:rPr>
              <w:t>,42</w:t>
            </w:r>
            <w:r w:rsidR="002A6B69" w:rsidRPr="0062315C">
              <w:rPr>
                <w:rFonts w:ascii="Arial" w:hAnsi="Arial" w:cs="Arial"/>
                <w:color w:val="000000"/>
                <w:sz w:val="16"/>
                <w:szCs w:val="16"/>
                <w:lang w:eastAsia="sk-SK"/>
              </w:rPr>
              <w:t> </w:t>
            </w:r>
          </w:p>
        </w:tc>
      </w:tr>
    </w:tbl>
    <w:p w:rsidR="002A6B69" w:rsidRPr="0062315C" w:rsidRDefault="002A6B69" w:rsidP="002A6B69">
      <w:pPr>
        <w:pStyle w:val="Heading1"/>
        <w:keepNext w:val="0"/>
        <w:rPr>
          <w:rFonts w:ascii="Arial" w:hAnsi="Arial" w:cs="Arial"/>
        </w:rPr>
      </w:pPr>
      <w:r w:rsidRPr="0062315C">
        <w:rPr>
          <w:rFonts w:ascii="Arial" w:hAnsi="Arial" w:cs="Arial"/>
        </w:rPr>
        <w:t>informácie o orgánoch spoločnosti</w:t>
      </w:r>
    </w:p>
    <w:p w:rsidR="00654B21" w:rsidRPr="0062315C" w:rsidRDefault="002D3DB6" w:rsidP="002A6B69">
      <w:pPr>
        <w:rPr>
          <w:rFonts w:ascii="Arial" w:hAnsi="Arial" w:cs="Arial"/>
          <w:color w:val="000000"/>
          <w:lang w:eastAsia="sk-SK"/>
        </w:rPr>
      </w:pPr>
      <w:r w:rsidRPr="0062315C">
        <w:rPr>
          <w:rFonts w:ascii="Arial" w:hAnsi="Arial" w:cs="Arial"/>
          <w:color w:val="000000"/>
          <w:lang w:eastAsia="sk-SK"/>
        </w:rPr>
        <w:t>Členovia štatutárnych orgánov k 31. decembru 201</w:t>
      </w:r>
      <w:r w:rsidR="0081072F">
        <w:rPr>
          <w:rFonts w:ascii="Arial" w:hAnsi="Arial" w:cs="Arial"/>
          <w:color w:val="000000"/>
          <w:lang w:eastAsia="sk-SK"/>
        </w:rPr>
        <w:t>7</w:t>
      </w:r>
      <w:r w:rsidRPr="0062315C">
        <w:rPr>
          <w:rFonts w:ascii="Arial" w:hAnsi="Arial" w:cs="Arial"/>
          <w:color w:val="000000"/>
          <w:lang w:eastAsia="sk-SK"/>
        </w:rPr>
        <w:t>:</w:t>
      </w:r>
    </w:p>
    <w:p w:rsidR="002D3DB6" w:rsidRPr="0062315C" w:rsidRDefault="002D3DB6" w:rsidP="002A6B69">
      <w:pPr>
        <w:rPr>
          <w:rFonts w:ascii="Arial" w:hAnsi="Arial" w:cs="Arial"/>
          <w:color w:val="000000"/>
          <w:lang w:eastAsia="sk-SK"/>
        </w:rPr>
      </w:pPr>
      <w:r w:rsidRPr="0062315C">
        <w:rPr>
          <w:rFonts w:ascii="Arial" w:hAnsi="Arial" w:cs="Arial"/>
          <w:color w:val="000000"/>
          <w:lang w:eastAsia="sk-SK"/>
        </w:rPr>
        <w:t>Konateľ:</w:t>
      </w:r>
      <w:r w:rsidRPr="0062315C">
        <w:rPr>
          <w:rFonts w:ascii="Arial" w:hAnsi="Arial" w:cs="Arial"/>
          <w:color w:val="000000"/>
          <w:lang w:eastAsia="sk-SK"/>
        </w:rPr>
        <w:tab/>
        <w:t>Ing. Petr Chajda</w:t>
      </w:r>
    </w:p>
    <w:p w:rsidR="002D3DB6" w:rsidRPr="0062315C" w:rsidRDefault="002D3DB6" w:rsidP="002A6B69">
      <w:pPr>
        <w:rPr>
          <w:rFonts w:ascii="Arial" w:hAnsi="Arial" w:cs="Arial"/>
        </w:rPr>
      </w:pPr>
      <w:r w:rsidRPr="0062315C">
        <w:rPr>
          <w:rFonts w:ascii="Arial" w:hAnsi="Arial" w:cs="Arial"/>
          <w:color w:val="000000"/>
          <w:lang w:eastAsia="sk-SK"/>
        </w:rPr>
        <w:t>Prokurista:</w:t>
      </w:r>
      <w:r w:rsidRPr="0062315C">
        <w:rPr>
          <w:rFonts w:ascii="Arial" w:hAnsi="Arial" w:cs="Arial"/>
          <w:color w:val="000000"/>
          <w:lang w:eastAsia="sk-SK"/>
        </w:rPr>
        <w:tab/>
        <w:t>Ing. Roman Filla</w:t>
      </w:r>
    </w:p>
    <w:p w:rsidR="002D3DB6" w:rsidRPr="0062315C" w:rsidRDefault="002D3DB6" w:rsidP="002A6B69">
      <w:pPr>
        <w:rPr>
          <w:rFonts w:ascii="Arial" w:hAnsi="Arial" w:cs="Arial"/>
        </w:rPr>
      </w:pPr>
      <w:r w:rsidRPr="0062315C">
        <w:rPr>
          <w:rFonts w:ascii="Arial" w:hAnsi="Arial" w:cs="Arial"/>
        </w:rPr>
        <w:t>Prokurista je oprávnený konať a podpisovať v mene spoločnosti len spoločne s konateľom spoločnosti.</w:t>
      </w:r>
    </w:p>
    <w:p w:rsidR="002D3DB6" w:rsidRPr="0062315C" w:rsidRDefault="002D3DB6" w:rsidP="002A6B69">
      <w:pPr>
        <w:rPr>
          <w:rFonts w:ascii="Arial" w:hAnsi="Arial" w:cs="Arial"/>
        </w:rPr>
      </w:pPr>
      <w:r w:rsidRPr="0062315C">
        <w:rPr>
          <w:rFonts w:ascii="Arial" w:hAnsi="Arial" w:cs="Arial"/>
        </w:rPr>
        <w:t>Spoločnosť nemá organizačnú zložku v zahraničí.</w:t>
      </w:r>
    </w:p>
    <w:p w:rsidR="00654B21" w:rsidRPr="0062315C" w:rsidRDefault="00654B21" w:rsidP="00654B21">
      <w:pPr>
        <w:pStyle w:val="Heading1"/>
        <w:keepNext w:val="0"/>
        <w:rPr>
          <w:rFonts w:ascii="Arial" w:hAnsi="Arial" w:cs="Arial"/>
        </w:rPr>
      </w:pPr>
      <w:r w:rsidRPr="0062315C">
        <w:rPr>
          <w:rFonts w:ascii="Arial" w:hAnsi="Arial" w:cs="Arial"/>
        </w:rPr>
        <w:t>informácie o prijatých postupoch</w:t>
      </w:r>
    </w:p>
    <w:p w:rsidR="00654B21" w:rsidRPr="0062315C" w:rsidRDefault="00654B21" w:rsidP="00654B21">
      <w:pPr>
        <w:pStyle w:val="ListParagraph"/>
        <w:keepNext w:val="0"/>
        <w:numPr>
          <w:ilvl w:val="1"/>
          <w:numId w:val="1"/>
        </w:numPr>
        <w:ind w:left="0" w:firstLine="0"/>
        <w:rPr>
          <w:rFonts w:ascii="Arial" w:hAnsi="Arial" w:cs="Arial"/>
        </w:rPr>
      </w:pPr>
      <w:r w:rsidRPr="0062315C">
        <w:rPr>
          <w:rFonts w:ascii="Arial" w:hAnsi="Arial" w:cs="Arial"/>
        </w:rPr>
        <w:t xml:space="preserve">Účtovná závierka bola zostavená podľa Zákona č. 431/2002 Z.z. o účtovníctve v znení neskorších predpisov za predpokladu nepretržitého trvania jej činnosti. </w:t>
      </w:r>
    </w:p>
    <w:p w:rsidR="006829A7" w:rsidRPr="0062315C" w:rsidRDefault="00591E23" w:rsidP="00865AD6">
      <w:pPr>
        <w:keepNext w:val="0"/>
        <w:rPr>
          <w:rFonts w:ascii="Arial" w:hAnsi="Arial" w:cs="Arial"/>
        </w:rPr>
      </w:pPr>
      <w:r w:rsidRPr="0062315C">
        <w:rPr>
          <w:rFonts w:ascii="Arial" w:hAnsi="Arial" w:cs="Arial"/>
        </w:rPr>
        <w:t>Informácia o aplikácií účtovných zásad a účtovných metód, ktoré sú dôležité na posúdenie majetku, záväzkov, finančnej situácie a výsledku hospodárenia.</w:t>
      </w:r>
      <w:r w:rsidRPr="0062315C">
        <w:rPr>
          <w:rFonts w:ascii="Arial" w:hAnsi="Arial" w:cs="Arial"/>
          <w:i/>
        </w:rPr>
        <w:t xml:space="preserve"> </w:t>
      </w:r>
      <w:r w:rsidRPr="0062315C">
        <w:rPr>
          <w:rFonts w:ascii="Arial" w:hAnsi="Arial" w:cs="Arial"/>
        </w:rPr>
        <w:t>Počas účtovného obdobia nenastala zmena účtovných zásad a účtovných metód.</w:t>
      </w:r>
    </w:p>
    <w:p w:rsidR="002D3DB6" w:rsidRPr="0062315C" w:rsidRDefault="002D3DB6">
      <w:pPr>
        <w:keepNext w:val="0"/>
        <w:spacing w:after="0"/>
        <w:jc w:val="left"/>
        <w:rPr>
          <w:rFonts w:ascii="Arial" w:hAnsi="Arial" w:cs="Arial"/>
        </w:rPr>
      </w:pPr>
      <w:r w:rsidRPr="0062315C">
        <w:rPr>
          <w:rFonts w:ascii="Arial" w:hAnsi="Arial" w:cs="Arial"/>
        </w:rPr>
        <w:br w:type="page"/>
      </w:r>
    </w:p>
    <w:p w:rsidR="00865AD6" w:rsidRPr="0062315C" w:rsidRDefault="00865AD6" w:rsidP="00865AD6">
      <w:pPr>
        <w:pStyle w:val="Heading2"/>
        <w:keepNext w:val="0"/>
        <w:numPr>
          <w:ilvl w:val="0"/>
          <w:numId w:val="3"/>
        </w:numPr>
        <w:rPr>
          <w:rFonts w:ascii="Arial" w:hAnsi="Arial" w:cs="Arial"/>
        </w:rPr>
      </w:pPr>
      <w:bookmarkStart w:id="0" w:name="_Toc474124192"/>
      <w:bookmarkStart w:id="1" w:name="_Toc474124304"/>
      <w:r w:rsidRPr="0062315C">
        <w:rPr>
          <w:rFonts w:ascii="Arial" w:hAnsi="Arial" w:cs="Arial"/>
        </w:rPr>
        <w:lastRenderedPageBreak/>
        <w:t xml:space="preserve">Dlhodobý nehmotný a </w:t>
      </w:r>
      <w:r w:rsidR="00F66C86" w:rsidRPr="0062315C">
        <w:rPr>
          <w:rFonts w:ascii="Arial" w:hAnsi="Arial" w:cs="Arial"/>
        </w:rPr>
        <w:t>d</w:t>
      </w:r>
      <w:r w:rsidRPr="0062315C">
        <w:rPr>
          <w:rFonts w:ascii="Arial" w:hAnsi="Arial" w:cs="Arial"/>
        </w:rPr>
        <w:t xml:space="preserve">lhodobý hmotný majetok </w:t>
      </w:r>
      <w:bookmarkEnd w:id="0"/>
      <w:bookmarkEnd w:id="1"/>
    </w:p>
    <w:p w:rsidR="00F66C86" w:rsidRPr="0062315C" w:rsidRDefault="00127D1B" w:rsidP="00F66C86">
      <w:pPr>
        <w:keepNext w:val="0"/>
        <w:rPr>
          <w:rFonts w:ascii="Arial" w:hAnsi="Arial" w:cs="Arial"/>
          <w:i/>
          <w:highlight w:val="yellow"/>
        </w:rPr>
      </w:pPr>
      <w:r w:rsidRPr="0062315C">
        <w:rPr>
          <w:rFonts w:ascii="Arial" w:hAnsi="Arial" w:cs="Arial"/>
        </w:rPr>
        <w:t>Nakupovaný dlhodobý majetok sa oceňuje v obstarávacích cenách, ktoré zahŕňajú cenu obstarania, náklady na dopravu, clo a ďalšie náklady súvisiace s obstaraním.</w:t>
      </w:r>
      <w:r w:rsidR="00F66C86" w:rsidRPr="0062315C">
        <w:rPr>
          <w:rFonts w:ascii="Arial" w:hAnsi="Arial" w:cs="Arial"/>
        </w:rPr>
        <w:t xml:space="preserve"> </w:t>
      </w:r>
    </w:p>
    <w:p w:rsidR="00127D1B" w:rsidRPr="0062315C" w:rsidRDefault="00127D1B" w:rsidP="00127D1B">
      <w:pPr>
        <w:keepNext w:val="0"/>
        <w:rPr>
          <w:rFonts w:ascii="Arial" w:hAnsi="Arial" w:cs="Arial"/>
        </w:rPr>
      </w:pPr>
      <w:r w:rsidRPr="0062315C">
        <w:rPr>
          <w:rFonts w:ascii="Arial" w:hAnsi="Arial" w:cs="Arial"/>
        </w:rPr>
        <w:t>Náklady na technické zhodnotenie dlhodobého hmotného majetku zvyšujú jeho obstarávaciu cenu. Opravy a údržba sa účtujú do nákladov.</w:t>
      </w:r>
    </w:p>
    <w:p w:rsidR="00127D1B" w:rsidRPr="0062315C" w:rsidRDefault="00127D1B" w:rsidP="00127D1B">
      <w:pPr>
        <w:keepNext w:val="0"/>
        <w:rPr>
          <w:rFonts w:ascii="Arial" w:hAnsi="Arial" w:cs="Arial"/>
          <w:b/>
          <w:i/>
        </w:rPr>
      </w:pPr>
      <w:r w:rsidRPr="0062315C">
        <w:rPr>
          <w:rFonts w:ascii="Arial" w:hAnsi="Arial" w:cs="Arial"/>
          <w:b/>
          <w:i/>
        </w:rPr>
        <w:t>Odpisovanie</w:t>
      </w:r>
    </w:p>
    <w:p w:rsidR="00127D1B" w:rsidRPr="0062315C" w:rsidRDefault="00127D1B" w:rsidP="00127D1B">
      <w:pPr>
        <w:keepNext w:val="0"/>
        <w:rPr>
          <w:rFonts w:ascii="Arial" w:hAnsi="Arial" w:cs="Arial"/>
        </w:rPr>
      </w:pPr>
      <w:r w:rsidRPr="0062315C">
        <w:rPr>
          <w:rFonts w:ascii="Arial" w:hAnsi="Arial" w:cs="Arial"/>
        </w:rPr>
        <w:t>Dlhodobý majetok sa odpisuje do nákladov počas predpokladanej doby životnosti príslušného majetku. Predpokladaná  doba používania, metóda odpisovania a odpisová  sadzba sú  stanovené pre jednotlivé skupiny dlhodobého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127D1B" w:rsidRPr="0062315C" w:rsidTr="00A13C57">
        <w:trPr>
          <w:cantSplit/>
        </w:trPr>
        <w:tc>
          <w:tcPr>
            <w:tcW w:w="3261" w:type="dxa"/>
            <w:tcBorders>
              <w:top w:val="nil"/>
              <w:bottom w:val="single" w:sz="12" w:space="0" w:color="999999"/>
            </w:tcBorders>
            <w:vAlign w:val="center"/>
          </w:tcPr>
          <w:p w:rsidR="00127D1B" w:rsidRPr="0062315C" w:rsidRDefault="00127D1B" w:rsidP="00A13C57">
            <w:pPr>
              <w:pStyle w:val="TableHeader"/>
              <w:keepNext w:val="0"/>
              <w:spacing w:before="60" w:after="60"/>
              <w:rPr>
                <w:rFonts w:ascii="Arial" w:hAnsi="Arial" w:cs="Arial"/>
                <w:b/>
                <w:highlight w:val="yellow"/>
              </w:rPr>
            </w:pPr>
            <w:r w:rsidRPr="0062315C">
              <w:rPr>
                <w:rFonts w:ascii="Arial" w:hAnsi="Arial" w:cs="Arial"/>
                <w:b/>
                <w:highlight w:val="yellow"/>
              </w:rPr>
              <w:br w:type="page"/>
            </w:r>
          </w:p>
        </w:tc>
        <w:tc>
          <w:tcPr>
            <w:tcW w:w="1559" w:type="dxa"/>
            <w:tcBorders>
              <w:top w:val="nil"/>
              <w:bottom w:val="single" w:sz="12" w:space="0" w:color="999999"/>
            </w:tcBorders>
            <w:vAlign w:val="center"/>
          </w:tcPr>
          <w:p w:rsidR="00127D1B" w:rsidRPr="0062315C" w:rsidRDefault="00127D1B" w:rsidP="00A13C57">
            <w:pPr>
              <w:pStyle w:val="TableHeader"/>
              <w:keepNext w:val="0"/>
              <w:spacing w:before="60" w:after="60"/>
              <w:rPr>
                <w:rFonts w:ascii="Arial" w:hAnsi="Arial" w:cs="Arial"/>
                <w:b/>
              </w:rPr>
            </w:pPr>
            <w:r w:rsidRPr="0062315C">
              <w:rPr>
                <w:rFonts w:ascii="Arial" w:hAnsi="Arial" w:cs="Arial"/>
                <w:b/>
              </w:rPr>
              <w:t>Predpokladaná doba používania</w:t>
            </w:r>
          </w:p>
        </w:tc>
        <w:tc>
          <w:tcPr>
            <w:tcW w:w="1559" w:type="dxa"/>
            <w:tcBorders>
              <w:top w:val="nil"/>
              <w:bottom w:val="single" w:sz="12" w:space="0" w:color="999999"/>
            </w:tcBorders>
            <w:vAlign w:val="center"/>
          </w:tcPr>
          <w:p w:rsidR="00127D1B" w:rsidRPr="0062315C" w:rsidRDefault="00127D1B" w:rsidP="00A13C57">
            <w:pPr>
              <w:pStyle w:val="TableHeader"/>
              <w:keepNext w:val="0"/>
              <w:spacing w:before="60" w:after="60"/>
              <w:rPr>
                <w:rFonts w:ascii="Arial" w:hAnsi="Arial" w:cs="Arial"/>
                <w:b/>
              </w:rPr>
            </w:pPr>
            <w:r w:rsidRPr="0062315C">
              <w:rPr>
                <w:rFonts w:ascii="Arial" w:hAnsi="Arial" w:cs="Arial"/>
                <w:b/>
              </w:rPr>
              <w:t>Ročná odpisová sadzba</w:t>
            </w:r>
          </w:p>
        </w:tc>
        <w:tc>
          <w:tcPr>
            <w:tcW w:w="1559" w:type="dxa"/>
            <w:tcBorders>
              <w:top w:val="nil"/>
              <w:bottom w:val="single" w:sz="12" w:space="0" w:color="999999"/>
            </w:tcBorders>
            <w:vAlign w:val="center"/>
          </w:tcPr>
          <w:p w:rsidR="00127D1B" w:rsidRPr="0062315C" w:rsidRDefault="00127D1B" w:rsidP="00A13C57">
            <w:pPr>
              <w:pStyle w:val="TableHeader"/>
              <w:keepNext w:val="0"/>
              <w:spacing w:before="60" w:after="60"/>
              <w:rPr>
                <w:rFonts w:ascii="Arial" w:hAnsi="Arial" w:cs="Arial"/>
                <w:b/>
              </w:rPr>
            </w:pPr>
            <w:r w:rsidRPr="0062315C">
              <w:rPr>
                <w:rFonts w:ascii="Arial" w:hAnsi="Arial" w:cs="Arial"/>
                <w:b/>
              </w:rPr>
              <w:t>Metóda odpisovania</w:t>
            </w:r>
          </w:p>
        </w:tc>
      </w:tr>
      <w:tr w:rsidR="00127D1B" w:rsidRPr="0062315C" w:rsidTr="00A13C57">
        <w:trPr>
          <w:cantSplit/>
        </w:trPr>
        <w:tc>
          <w:tcPr>
            <w:tcW w:w="3261" w:type="dxa"/>
            <w:tcBorders>
              <w:top w:val="nil"/>
              <w:left w:val="nil"/>
              <w:bottom w:val="nil"/>
              <w:right w:val="nil"/>
            </w:tcBorders>
            <w:vAlign w:val="bottom"/>
          </w:tcPr>
          <w:p w:rsidR="00127D1B" w:rsidRPr="0062315C" w:rsidRDefault="00127D1B" w:rsidP="00A13C57">
            <w:pPr>
              <w:pStyle w:val="TableFirstLine"/>
              <w:keepNext w:val="0"/>
              <w:spacing w:before="60" w:after="60"/>
              <w:rPr>
                <w:rFonts w:ascii="Arial" w:hAnsi="Arial" w:cs="Arial"/>
              </w:rPr>
            </w:pPr>
            <w:r w:rsidRPr="0062315C">
              <w:rPr>
                <w:rFonts w:ascii="Arial" w:hAnsi="Arial" w:cs="Arial"/>
              </w:rPr>
              <w:t>Dopravné prostriedky</w:t>
            </w:r>
          </w:p>
        </w:tc>
        <w:tc>
          <w:tcPr>
            <w:tcW w:w="1559" w:type="dxa"/>
            <w:tcBorders>
              <w:top w:val="nil"/>
              <w:left w:val="nil"/>
              <w:bottom w:val="nil"/>
              <w:right w:val="nil"/>
            </w:tcBorders>
            <w:vAlign w:val="bottom"/>
          </w:tcPr>
          <w:p w:rsidR="00127D1B" w:rsidRPr="0062315C" w:rsidRDefault="00D55AF4" w:rsidP="00D55AF4">
            <w:pPr>
              <w:pStyle w:val="TableFirstLine"/>
              <w:keepNext w:val="0"/>
              <w:spacing w:before="60" w:after="60"/>
              <w:jc w:val="center"/>
              <w:rPr>
                <w:rFonts w:ascii="Arial" w:hAnsi="Arial" w:cs="Arial"/>
              </w:rPr>
            </w:pPr>
            <w:r w:rsidRPr="0062315C">
              <w:rPr>
                <w:rFonts w:ascii="Arial" w:hAnsi="Arial" w:cs="Arial"/>
              </w:rPr>
              <w:t>4</w:t>
            </w:r>
          </w:p>
        </w:tc>
        <w:tc>
          <w:tcPr>
            <w:tcW w:w="1559" w:type="dxa"/>
            <w:tcBorders>
              <w:top w:val="nil"/>
              <w:left w:val="nil"/>
              <w:bottom w:val="nil"/>
              <w:right w:val="nil"/>
            </w:tcBorders>
            <w:vAlign w:val="bottom"/>
          </w:tcPr>
          <w:p w:rsidR="00127D1B" w:rsidRPr="0062315C" w:rsidRDefault="00D55AF4" w:rsidP="00A13C57">
            <w:pPr>
              <w:pStyle w:val="TableFirstLine"/>
              <w:keepNext w:val="0"/>
              <w:spacing w:before="60" w:after="60"/>
              <w:jc w:val="center"/>
              <w:rPr>
                <w:rFonts w:ascii="Arial" w:hAnsi="Arial" w:cs="Arial"/>
              </w:rPr>
            </w:pPr>
            <w:r w:rsidRPr="0062315C">
              <w:rPr>
                <w:rFonts w:ascii="Arial" w:hAnsi="Arial" w:cs="Arial"/>
              </w:rPr>
              <w:t>25</w:t>
            </w:r>
          </w:p>
        </w:tc>
        <w:tc>
          <w:tcPr>
            <w:tcW w:w="1559" w:type="dxa"/>
            <w:tcBorders>
              <w:top w:val="nil"/>
              <w:left w:val="nil"/>
              <w:bottom w:val="nil"/>
              <w:right w:val="nil"/>
            </w:tcBorders>
            <w:vAlign w:val="bottom"/>
          </w:tcPr>
          <w:p w:rsidR="00127D1B" w:rsidRPr="0062315C" w:rsidRDefault="00D55AF4" w:rsidP="00A13C57">
            <w:pPr>
              <w:pStyle w:val="TableFirstLine"/>
              <w:keepNext w:val="0"/>
              <w:spacing w:before="60" w:after="60"/>
              <w:jc w:val="center"/>
              <w:rPr>
                <w:rFonts w:ascii="Arial" w:hAnsi="Arial" w:cs="Arial"/>
              </w:rPr>
            </w:pPr>
            <w:r w:rsidRPr="0062315C">
              <w:rPr>
                <w:rFonts w:ascii="Arial" w:hAnsi="Arial" w:cs="Arial"/>
              </w:rPr>
              <w:t>rovnomerná</w:t>
            </w:r>
          </w:p>
        </w:tc>
      </w:tr>
    </w:tbl>
    <w:p w:rsidR="00127D1B" w:rsidRPr="0062315C" w:rsidRDefault="00127D1B" w:rsidP="00865AD6">
      <w:pPr>
        <w:keepNext w:val="0"/>
        <w:rPr>
          <w:rFonts w:ascii="Arial" w:hAnsi="Arial" w:cs="Arial"/>
        </w:rPr>
      </w:pPr>
      <w:bookmarkStart w:id="2" w:name="_Toc474124193"/>
      <w:bookmarkStart w:id="3" w:name="_Toc474124305"/>
    </w:p>
    <w:p w:rsidR="00865AD6" w:rsidRPr="0062315C" w:rsidRDefault="00865AD6" w:rsidP="00865AD6">
      <w:pPr>
        <w:keepNext w:val="0"/>
        <w:rPr>
          <w:rFonts w:ascii="Arial" w:hAnsi="Arial" w:cs="Arial"/>
        </w:rPr>
      </w:pPr>
      <w:r w:rsidRPr="0062315C">
        <w:rPr>
          <w:rFonts w:ascii="Arial" w:hAnsi="Arial" w:cs="Arial"/>
        </w:rPr>
        <w:t>V prípade prechodného zníženia úžitkovej hodnoty dlhodobého majetku sa tvorí opravná položka vo výške rozdielu jeho zistenej úžitkovej hodnoty a zostatkovej hodnoty.</w:t>
      </w:r>
    </w:p>
    <w:bookmarkEnd w:id="2"/>
    <w:bookmarkEnd w:id="3"/>
    <w:p w:rsidR="00865AD6" w:rsidRPr="0062315C" w:rsidRDefault="00865AD6" w:rsidP="00865AD6">
      <w:pPr>
        <w:pStyle w:val="Heading2"/>
        <w:keepNext w:val="0"/>
        <w:rPr>
          <w:rFonts w:ascii="Arial" w:hAnsi="Arial" w:cs="Arial"/>
        </w:rPr>
      </w:pPr>
      <w:r w:rsidRPr="0062315C">
        <w:rPr>
          <w:rFonts w:ascii="Arial" w:hAnsi="Arial" w:cs="Arial"/>
        </w:rPr>
        <w:t>Finančný majetok</w:t>
      </w:r>
    </w:p>
    <w:p w:rsidR="00C1571A" w:rsidRPr="00904A68" w:rsidRDefault="00C1571A" w:rsidP="00C1571A">
      <w:pPr>
        <w:rPr>
          <w:rFonts w:ascii="Arial" w:hAnsi="Arial" w:cs="Arial"/>
        </w:rPr>
      </w:pPr>
      <w:bookmarkStart w:id="4" w:name="_Toc474124196"/>
      <w:bookmarkStart w:id="5" w:name="_Toc474124308"/>
      <w:r w:rsidRPr="00196408">
        <w:rPr>
          <w:rFonts w:ascii="Arial" w:hAnsi="Arial" w:cs="Arial"/>
        </w:rPr>
        <w:t>Krátkodobý finančný majetok tvoria peniaze v pokladni, ktoré sa vykazujú v menovitých hodnotách.</w:t>
      </w:r>
    </w:p>
    <w:p w:rsidR="00865AD6" w:rsidRPr="0062315C" w:rsidRDefault="00865AD6" w:rsidP="00865AD6">
      <w:pPr>
        <w:pStyle w:val="Heading2"/>
        <w:keepNext w:val="0"/>
        <w:rPr>
          <w:rFonts w:ascii="Arial" w:hAnsi="Arial" w:cs="Arial"/>
        </w:rPr>
      </w:pPr>
      <w:r w:rsidRPr="0062315C">
        <w:rPr>
          <w:rFonts w:ascii="Arial" w:hAnsi="Arial" w:cs="Arial"/>
        </w:rPr>
        <w:t>Pohľadávky</w:t>
      </w:r>
      <w:bookmarkEnd w:id="4"/>
      <w:bookmarkEnd w:id="5"/>
    </w:p>
    <w:p w:rsidR="000D1049" w:rsidRPr="0062315C" w:rsidRDefault="000D1049" w:rsidP="000D1049">
      <w:pPr>
        <w:keepNext w:val="0"/>
        <w:spacing w:after="0"/>
        <w:rPr>
          <w:rFonts w:ascii="Arial" w:hAnsi="Arial" w:cs="Arial"/>
        </w:rPr>
      </w:pPr>
      <w:r w:rsidRPr="0062315C">
        <w:rPr>
          <w:rFonts w:ascii="Arial" w:hAnsi="Arial" w:cs="Arial"/>
        </w:rPr>
        <w:t>Pohľadávky sa oceňujú menovitou hodnotou. Postúpené pohľadávky a pohľadávky nadobudnuté vkladom do základného imania sa oceňujú obstarávacou cenou. Ocenenie pochybných pohľadávok sa upravuje na ich realizovateľnú  hodnotu  opravnými  položkami. Spoločnosť vytvára opravnú položku k pohľadávkam po lehote splatnosti nasledovne:</w:t>
      </w:r>
    </w:p>
    <w:p w:rsidR="000D1049" w:rsidRPr="0062315C" w:rsidRDefault="000D1049" w:rsidP="000D1049">
      <w:pPr>
        <w:keepNext w:val="0"/>
        <w:spacing w:after="0"/>
        <w:rPr>
          <w:rFonts w:ascii="Arial" w:hAnsi="Arial" w:cs="Arial"/>
        </w:rPr>
      </w:pPr>
      <w:r w:rsidRPr="0062315C">
        <w:rPr>
          <w:rFonts w:ascii="Arial" w:hAnsi="Arial" w:cs="Arial"/>
        </w:rPr>
        <w:t>- ak od splatnosti pohľadávky uplynula doba dlhšia ako 360 dní, zahrnie sa do výdavkov 20 % menovitej hodnoty pohľadávky alebo jej nesplatenej časti bez príslušenstva</w:t>
      </w:r>
      <w:r w:rsidR="002A7E8C">
        <w:rPr>
          <w:rFonts w:ascii="Arial" w:hAnsi="Arial" w:cs="Arial"/>
        </w:rPr>
        <w:t>,</w:t>
      </w:r>
    </w:p>
    <w:p w:rsidR="000D1049" w:rsidRPr="0062315C" w:rsidRDefault="000D1049" w:rsidP="000D1049">
      <w:pPr>
        <w:keepNext w:val="0"/>
        <w:spacing w:after="0"/>
        <w:rPr>
          <w:rFonts w:ascii="Arial" w:hAnsi="Arial" w:cs="Arial"/>
        </w:rPr>
      </w:pPr>
      <w:r w:rsidRPr="0062315C">
        <w:rPr>
          <w:rFonts w:ascii="Arial" w:hAnsi="Arial" w:cs="Arial"/>
        </w:rPr>
        <w:t>- ak od splatnosti pohľadávky uplynula doba dlhšia ako 720 dní, zahrnie sa do výdavkov 50 % menovitej hodnoty pohľadávky alebo jej nesplatenej časti bez príslušenstva</w:t>
      </w:r>
      <w:r w:rsidR="002A7E8C">
        <w:rPr>
          <w:rFonts w:ascii="Arial" w:hAnsi="Arial" w:cs="Arial"/>
        </w:rPr>
        <w:t>,</w:t>
      </w:r>
      <w:bookmarkStart w:id="6" w:name="_GoBack"/>
      <w:bookmarkEnd w:id="6"/>
    </w:p>
    <w:p w:rsidR="000D1049" w:rsidRPr="0062315C" w:rsidRDefault="000D1049" w:rsidP="000D1049">
      <w:pPr>
        <w:keepNext w:val="0"/>
        <w:spacing w:after="0"/>
        <w:rPr>
          <w:rFonts w:ascii="Arial" w:hAnsi="Arial" w:cs="Arial"/>
        </w:rPr>
      </w:pPr>
      <w:r w:rsidRPr="0062315C">
        <w:rPr>
          <w:rFonts w:ascii="Arial" w:hAnsi="Arial" w:cs="Arial"/>
        </w:rPr>
        <w:t>- ak od splatnosti pohľadávky uplynula doba dlhšia ako 1 080 dní, zahrnie sa do výdavkov 100 % menovitej hodnoty pohľadávky alebo jej nesplatenej časti bez príslušenstva.</w:t>
      </w:r>
    </w:p>
    <w:p w:rsidR="000D1049" w:rsidRPr="0062315C" w:rsidRDefault="000D1049" w:rsidP="000D1049">
      <w:pPr>
        <w:keepNext w:val="0"/>
        <w:spacing w:after="0"/>
        <w:rPr>
          <w:rFonts w:ascii="Arial" w:hAnsi="Arial" w:cs="Arial"/>
        </w:rPr>
      </w:pPr>
    </w:p>
    <w:p w:rsidR="00865AD6" w:rsidRPr="0062315C" w:rsidRDefault="00865AD6" w:rsidP="000D1049">
      <w:pPr>
        <w:pStyle w:val="Heading2"/>
        <w:rPr>
          <w:rFonts w:ascii="Arial" w:hAnsi="Arial" w:cs="Arial"/>
        </w:rPr>
      </w:pPr>
      <w:r w:rsidRPr="0062315C">
        <w:rPr>
          <w:rFonts w:ascii="Arial" w:hAnsi="Arial" w:cs="Arial"/>
        </w:rPr>
        <w:t>Náklady budúcich období a príjmy budúcich období</w:t>
      </w:r>
    </w:p>
    <w:p w:rsidR="00865AD6" w:rsidRDefault="00865AD6" w:rsidP="00865AD6">
      <w:pPr>
        <w:pStyle w:val="BodyText"/>
        <w:keepNext w:val="0"/>
        <w:rPr>
          <w:rFonts w:ascii="Arial" w:hAnsi="Arial" w:cs="Arial"/>
        </w:rPr>
      </w:pPr>
      <w:r w:rsidRPr="0062315C">
        <w:rPr>
          <w:rFonts w:ascii="Arial" w:hAnsi="Arial" w:cs="Arial"/>
        </w:rPr>
        <w:t>Náklady budúcich období a príjmy budúcich období sa oceňujú ich menovitou hodnotou, pričom sa vykazujú vo výške, ktorá je potrebná na dodržanie zásady vecnej a časovej súvislosti s účtovným obdobím.</w:t>
      </w:r>
    </w:p>
    <w:p w:rsidR="005A698D" w:rsidRPr="0062315C" w:rsidRDefault="005A698D" w:rsidP="00865AD6">
      <w:pPr>
        <w:pStyle w:val="BodyText"/>
        <w:keepNext w:val="0"/>
        <w:rPr>
          <w:rFonts w:ascii="Arial" w:hAnsi="Arial" w:cs="Arial"/>
        </w:rPr>
      </w:pPr>
    </w:p>
    <w:p w:rsidR="00865AD6" w:rsidRPr="0062315C" w:rsidRDefault="00865AD6" w:rsidP="00865AD6">
      <w:pPr>
        <w:pStyle w:val="Heading2"/>
        <w:keepNext w:val="0"/>
        <w:rPr>
          <w:rFonts w:ascii="Arial" w:hAnsi="Arial" w:cs="Arial"/>
        </w:rPr>
      </w:pPr>
      <w:r w:rsidRPr="0062315C">
        <w:rPr>
          <w:rFonts w:ascii="Arial" w:hAnsi="Arial" w:cs="Arial"/>
        </w:rPr>
        <w:t xml:space="preserve">Záväzky </w:t>
      </w:r>
    </w:p>
    <w:p w:rsidR="00865AD6" w:rsidRPr="0062315C" w:rsidRDefault="00865AD6" w:rsidP="00865AD6">
      <w:pPr>
        <w:pStyle w:val="Heading2"/>
        <w:keepNext w:val="0"/>
        <w:numPr>
          <w:ilvl w:val="0"/>
          <w:numId w:val="0"/>
        </w:numPr>
        <w:rPr>
          <w:rFonts w:ascii="Arial" w:hAnsi="Arial" w:cs="Arial"/>
          <w:b w:val="0"/>
        </w:rPr>
      </w:pPr>
      <w:r w:rsidRPr="0062315C">
        <w:rPr>
          <w:rFonts w:ascii="Arial" w:hAnsi="Arial" w:cs="Arial"/>
          <w:b w:val="0"/>
        </w:rPr>
        <w:t>Dlhodobé i krátkodobé záväzky sa vykazujú v menovitých hodnotách.</w:t>
      </w:r>
    </w:p>
    <w:p w:rsidR="00865AD6" w:rsidRPr="0062315C" w:rsidRDefault="00865AD6" w:rsidP="00865AD6">
      <w:pPr>
        <w:pStyle w:val="Heading2"/>
        <w:keepNext w:val="0"/>
        <w:rPr>
          <w:rFonts w:ascii="Arial" w:hAnsi="Arial" w:cs="Arial"/>
        </w:rPr>
      </w:pPr>
      <w:r w:rsidRPr="0062315C">
        <w:rPr>
          <w:rFonts w:ascii="Arial" w:hAnsi="Arial" w:cs="Arial"/>
        </w:rPr>
        <w:t xml:space="preserve">Rezervy </w:t>
      </w:r>
    </w:p>
    <w:p w:rsidR="00865AD6" w:rsidRPr="0062315C" w:rsidRDefault="00865AD6" w:rsidP="00865AD6">
      <w:pPr>
        <w:keepNext w:val="0"/>
        <w:rPr>
          <w:rFonts w:ascii="Arial" w:hAnsi="Arial" w:cs="Arial"/>
        </w:rPr>
      </w:pPr>
      <w:r w:rsidRPr="0062315C">
        <w:rPr>
          <w:rFonts w:ascii="Arial" w:hAnsi="Arial" w:cs="Arial"/>
        </w:rPr>
        <w:t>Rezervy sú záväzky s neurčitým časovým vymedzením alebo výškou, tvoria sa na krytie  známych rizík alebo strát z podnikania. Oceňujú sa v očakávanej výške záväzku.</w:t>
      </w:r>
    </w:p>
    <w:p w:rsidR="00CA39BC" w:rsidRDefault="00CA39BC">
      <w:pPr>
        <w:keepNext w:val="0"/>
        <w:spacing w:after="0"/>
        <w:jc w:val="left"/>
        <w:rPr>
          <w:rFonts w:ascii="Arial" w:hAnsi="Arial" w:cs="Arial"/>
          <w:b/>
        </w:rPr>
      </w:pPr>
      <w:r>
        <w:rPr>
          <w:rFonts w:ascii="Arial" w:hAnsi="Arial" w:cs="Arial"/>
        </w:rPr>
        <w:br w:type="page"/>
      </w:r>
    </w:p>
    <w:p w:rsidR="00865AD6" w:rsidRPr="0062315C" w:rsidRDefault="00865AD6" w:rsidP="00865AD6">
      <w:pPr>
        <w:pStyle w:val="Heading2"/>
        <w:keepNext w:val="0"/>
        <w:rPr>
          <w:rFonts w:ascii="Arial" w:hAnsi="Arial" w:cs="Arial"/>
        </w:rPr>
      </w:pPr>
      <w:r w:rsidRPr="0062315C">
        <w:rPr>
          <w:rFonts w:ascii="Arial" w:hAnsi="Arial" w:cs="Arial"/>
        </w:rPr>
        <w:lastRenderedPageBreak/>
        <w:t>Výdavky budúcich období a výnosy budúcich období</w:t>
      </w:r>
    </w:p>
    <w:p w:rsidR="00865AD6" w:rsidRPr="0062315C" w:rsidRDefault="00865AD6" w:rsidP="00865AD6">
      <w:pPr>
        <w:pStyle w:val="BodyText"/>
        <w:keepNext w:val="0"/>
        <w:rPr>
          <w:rFonts w:ascii="Arial" w:hAnsi="Arial" w:cs="Arial"/>
        </w:rPr>
      </w:pPr>
      <w:r w:rsidRPr="0062315C">
        <w:rPr>
          <w:rFonts w:ascii="Arial" w:hAnsi="Arial" w:cs="Arial"/>
        </w:rPr>
        <w:t>Výdavky budúcich období a výnosy budúcich období sa oceňujú ich menovitou hodnotou, pričom sa vykazujú vo výške, ktorá je potrebná na dodržanie zásady vecnej a časovej súvislosti s účtovným obdobím.</w:t>
      </w:r>
    </w:p>
    <w:p w:rsidR="00865AD6" w:rsidRPr="0062315C" w:rsidRDefault="00865AD6" w:rsidP="00865AD6">
      <w:pPr>
        <w:pStyle w:val="Heading2"/>
        <w:keepNext w:val="0"/>
        <w:rPr>
          <w:rFonts w:ascii="Arial" w:hAnsi="Arial" w:cs="Arial"/>
        </w:rPr>
      </w:pPr>
      <w:r w:rsidRPr="0062315C">
        <w:rPr>
          <w:rFonts w:ascii="Arial" w:hAnsi="Arial" w:cs="Arial"/>
        </w:rPr>
        <w:t>Vlastné imanie</w:t>
      </w:r>
    </w:p>
    <w:p w:rsidR="00865AD6" w:rsidRPr="0062315C" w:rsidRDefault="00865AD6" w:rsidP="00865AD6">
      <w:pPr>
        <w:keepNext w:val="0"/>
        <w:rPr>
          <w:rFonts w:ascii="Arial" w:hAnsi="Arial" w:cs="Arial"/>
        </w:rPr>
      </w:pPr>
      <w:r w:rsidRPr="0062315C">
        <w:rPr>
          <w:rFonts w:ascii="Arial" w:hAnsi="Arial" w:cs="Arial"/>
        </w:rPr>
        <w:t xml:space="preserve">Vlastné imanie sa skladá zo základného imania, </w:t>
      </w:r>
      <w:r w:rsidR="00D55AF4" w:rsidRPr="0062315C">
        <w:rPr>
          <w:rFonts w:ascii="Arial" w:hAnsi="Arial" w:cs="Arial"/>
        </w:rPr>
        <w:t xml:space="preserve">ostatných </w:t>
      </w:r>
      <w:r w:rsidRPr="0062315C">
        <w:rPr>
          <w:rFonts w:ascii="Arial" w:hAnsi="Arial" w:cs="Arial"/>
        </w:rPr>
        <w:t>kapitálových fondov</w:t>
      </w:r>
      <w:r w:rsidR="00D07294" w:rsidRPr="0062315C">
        <w:rPr>
          <w:rFonts w:ascii="Arial" w:hAnsi="Arial" w:cs="Arial"/>
        </w:rPr>
        <w:t xml:space="preserve">, </w:t>
      </w:r>
      <w:r w:rsidR="00D55AF4" w:rsidRPr="0062315C">
        <w:rPr>
          <w:rFonts w:ascii="Arial" w:hAnsi="Arial" w:cs="Arial"/>
        </w:rPr>
        <w:t>zákonného rezervného fondu</w:t>
      </w:r>
      <w:r w:rsidR="00D07294" w:rsidRPr="0062315C">
        <w:rPr>
          <w:rFonts w:ascii="Arial" w:hAnsi="Arial" w:cs="Arial"/>
        </w:rPr>
        <w:t>, nerozdeleného zisku minulých rokov a</w:t>
      </w:r>
      <w:r w:rsidR="005658DD" w:rsidRPr="0062315C">
        <w:rPr>
          <w:rFonts w:ascii="Arial" w:hAnsi="Arial" w:cs="Arial"/>
        </w:rPr>
        <w:t xml:space="preserve"> výsledku hospodárenia </w:t>
      </w:r>
      <w:r w:rsidR="00D07294" w:rsidRPr="0062315C">
        <w:rPr>
          <w:rFonts w:ascii="Arial" w:hAnsi="Arial" w:cs="Arial"/>
        </w:rPr>
        <w:t>v </w:t>
      </w:r>
      <w:r w:rsidR="005658DD" w:rsidRPr="0062315C">
        <w:rPr>
          <w:rFonts w:ascii="Arial" w:hAnsi="Arial" w:cs="Arial"/>
        </w:rPr>
        <w:t>sch</w:t>
      </w:r>
      <w:r w:rsidR="00D07294" w:rsidRPr="0062315C">
        <w:rPr>
          <w:rFonts w:ascii="Arial" w:hAnsi="Arial" w:cs="Arial"/>
        </w:rPr>
        <w:t>va</w:t>
      </w:r>
      <w:r w:rsidR="005658DD" w:rsidRPr="0062315C">
        <w:rPr>
          <w:rFonts w:ascii="Arial" w:hAnsi="Arial" w:cs="Arial"/>
        </w:rPr>
        <w:t>ľ</w:t>
      </w:r>
      <w:r w:rsidR="00D07294" w:rsidRPr="0062315C">
        <w:rPr>
          <w:rFonts w:ascii="Arial" w:hAnsi="Arial" w:cs="Arial"/>
        </w:rPr>
        <w:t xml:space="preserve">ovacom </w:t>
      </w:r>
      <w:r w:rsidR="005658DD" w:rsidRPr="0062315C">
        <w:rPr>
          <w:rFonts w:ascii="Arial" w:hAnsi="Arial" w:cs="Arial"/>
        </w:rPr>
        <w:t>konaní</w:t>
      </w:r>
      <w:r w:rsidR="00D55AF4" w:rsidRPr="0062315C">
        <w:rPr>
          <w:rFonts w:ascii="Arial" w:hAnsi="Arial" w:cs="Arial"/>
        </w:rPr>
        <w:t>.</w:t>
      </w:r>
    </w:p>
    <w:p w:rsidR="00865AD6" w:rsidRPr="0062315C" w:rsidRDefault="00865AD6" w:rsidP="00865AD6">
      <w:pPr>
        <w:keepNext w:val="0"/>
        <w:rPr>
          <w:rFonts w:ascii="Arial" w:hAnsi="Arial" w:cs="Arial"/>
        </w:rPr>
      </w:pPr>
      <w:r w:rsidRPr="0062315C">
        <w:rPr>
          <w:rFonts w:ascii="Arial" w:hAnsi="Arial" w:cs="Arial"/>
        </w:rPr>
        <w:t xml:space="preserve">Základné imanie spoločnosti sa vykazuje vo výške zapísanej v obchodnom registri </w:t>
      </w:r>
      <w:r w:rsidR="00D55AF4" w:rsidRPr="0062315C">
        <w:rPr>
          <w:rFonts w:ascii="Arial" w:hAnsi="Arial" w:cs="Arial"/>
          <w:iCs/>
        </w:rPr>
        <w:t>okresného</w:t>
      </w:r>
      <w:r w:rsidR="00D55AF4" w:rsidRPr="0062315C">
        <w:rPr>
          <w:rFonts w:ascii="Arial" w:hAnsi="Arial" w:cs="Arial"/>
          <w:i/>
          <w:iCs/>
        </w:rPr>
        <w:t xml:space="preserve"> </w:t>
      </w:r>
      <w:r w:rsidRPr="0062315C">
        <w:rPr>
          <w:rFonts w:ascii="Arial" w:hAnsi="Arial" w:cs="Arial"/>
        </w:rPr>
        <w:t>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p>
    <w:p w:rsidR="00D55AF4" w:rsidRPr="0062315C" w:rsidRDefault="00865AD6" w:rsidP="00865AD6">
      <w:pPr>
        <w:keepNext w:val="0"/>
        <w:jc w:val="left"/>
        <w:rPr>
          <w:rFonts w:ascii="Arial" w:hAnsi="Arial" w:cs="Arial"/>
        </w:rPr>
      </w:pPr>
      <w:r w:rsidRPr="0062315C">
        <w:rPr>
          <w:rFonts w:ascii="Arial" w:hAnsi="Arial" w:cs="Arial"/>
        </w:rPr>
        <w:t>Spoločnosť vytvára rezervný fond</w:t>
      </w:r>
      <w:r w:rsidR="00B3452F" w:rsidRPr="0062315C">
        <w:rPr>
          <w:rFonts w:ascii="Arial" w:hAnsi="Arial" w:cs="Arial"/>
        </w:rPr>
        <w:t xml:space="preserve">  </w:t>
      </w:r>
      <w:r w:rsidR="00D55AF4" w:rsidRPr="0062315C">
        <w:rPr>
          <w:rFonts w:ascii="Arial" w:hAnsi="Arial" w:cs="Arial"/>
        </w:rPr>
        <w:t>do výšky 10 % základného imania.</w:t>
      </w:r>
    </w:p>
    <w:p w:rsidR="00865AD6" w:rsidRPr="0062315C" w:rsidRDefault="00865AD6" w:rsidP="00865AD6">
      <w:pPr>
        <w:pStyle w:val="Heading2"/>
        <w:keepNext w:val="0"/>
        <w:rPr>
          <w:rFonts w:ascii="Arial" w:hAnsi="Arial" w:cs="Arial"/>
        </w:rPr>
      </w:pPr>
      <w:r w:rsidRPr="0062315C">
        <w:rPr>
          <w:rFonts w:ascii="Arial" w:hAnsi="Arial" w:cs="Arial"/>
        </w:rPr>
        <w:t>Transakcie v cudzích menách</w:t>
      </w:r>
    </w:p>
    <w:p w:rsidR="00865AD6" w:rsidRPr="0062315C" w:rsidRDefault="00865AD6" w:rsidP="00865AD6">
      <w:pPr>
        <w:pStyle w:val="BodyText"/>
        <w:keepNext w:val="0"/>
        <w:suppressAutoHyphens/>
        <w:jc w:val="both"/>
        <w:rPr>
          <w:rFonts w:ascii="Arial" w:hAnsi="Arial" w:cs="Arial"/>
        </w:rPr>
      </w:pPr>
      <w:r w:rsidRPr="0062315C">
        <w:rPr>
          <w:rFonts w:ascii="Arial" w:hAnsi="Arial" w:cs="Arial"/>
        </w:rPr>
        <w:t>Transakcie v cudzej mene sa prepočítavajú na eurá referenčným výmenným kurzom určeným a vyhláseným Európskou centrálnou v deň predchádzajúci dňu uskutočnenia účtovného prípadu.</w:t>
      </w:r>
    </w:p>
    <w:p w:rsidR="00865AD6" w:rsidRPr="0062315C" w:rsidRDefault="00865AD6" w:rsidP="00865AD6">
      <w:pPr>
        <w:pStyle w:val="BodyText"/>
        <w:keepNext w:val="0"/>
        <w:suppressAutoHyphens/>
        <w:jc w:val="both"/>
        <w:rPr>
          <w:rFonts w:ascii="Arial" w:hAnsi="Arial" w:cs="Arial"/>
        </w:rPr>
      </w:pPr>
      <w:r w:rsidRPr="0062315C">
        <w:rPr>
          <w:rFonts w:ascii="Arial" w:hAnsi="Arial" w:cs="Arial"/>
        </w:rPr>
        <w:t>Peňažné aktíva a pasíva vyjadrené v cudzej mene sa prepočítavajú kurzom platným ku dňu zostavenia účtovnej závierky. Vzniknuté kurzové rozdiely sa vykazujú vo výkaze ziskov a strát.</w:t>
      </w:r>
    </w:p>
    <w:p w:rsidR="00865AD6" w:rsidRPr="0062315C" w:rsidRDefault="00865AD6" w:rsidP="00865AD6">
      <w:pPr>
        <w:pStyle w:val="BodyText"/>
        <w:keepNext w:val="0"/>
        <w:suppressAutoHyphens/>
        <w:jc w:val="both"/>
        <w:rPr>
          <w:rFonts w:ascii="Arial" w:hAnsi="Arial" w:cs="Arial"/>
        </w:rPr>
      </w:pPr>
      <w:r w:rsidRPr="0062315C">
        <w:rPr>
          <w:rFonts w:ascii="Arial" w:hAnsi="Arial" w:cs="Arial"/>
        </w:rPr>
        <w:t xml:space="preserve">Kúpa a predaj cudzej meny sa prepočítava na euro kurzom, za ktorý boli tieto hodnoty nakúpené alebo predané.  </w:t>
      </w:r>
    </w:p>
    <w:p w:rsidR="00865AD6" w:rsidRPr="0062315C" w:rsidRDefault="00865AD6" w:rsidP="00865AD6">
      <w:pPr>
        <w:pStyle w:val="Heading2"/>
        <w:keepNext w:val="0"/>
        <w:rPr>
          <w:rFonts w:ascii="Arial" w:hAnsi="Arial" w:cs="Arial"/>
        </w:rPr>
      </w:pPr>
      <w:r w:rsidRPr="0062315C">
        <w:rPr>
          <w:rFonts w:ascii="Arial" w:hAnsi="Arial" w:cs="Arial"/>
        </w:rPr>
        <w:t>Výnosy</w:t>
      </w:r>
    </w:p>
    <w:p w:rsidR="00865AD6" w:rsidRPr="00D11833" w:rsidRDefault="00865AD6" w:rsidP="00865AD6">
      <w:pPr>
        <w:pStyle w:val="BodyText"/>
        <w:keepNext w:val="0"/>
        <w:rPr>
          <w:rFonts w:ascii="Arial" w:hAnsi="Arial" w:cs="Arial"/>
        </w:rPr>
      </w:pPr>
      <w:r w:rsidRPr="0062315C">
        <w:rPr>
          <w:rFonts w:ascii="Arial" w:hAnsi="Arial" w:cs="Arial"/>
        </w:rPr>
        <w:t xml:space="preserve">Tržby za vlastné výkony a tovar neobsahujú daň z pridanej hodnoty. Sú tiež znížené o zľavy a zrážky (rabaty, bonusy, skontá, </w:t>
      </w:r>
      <w:r w:rsidRPr="00D11833">
        <w:rPr>
          <w:rFonts w:ascii="Arial" w:hAnsi="Arial" w:cs="Arial"/>
        </w:rPr>
        <w:t xml:space="preserve">dobropisy a pod.). Tržby sú účtované ku dňu splnenia dodávky alebo služby. </w:t>
      </w:r>
    </w:p>
    <w:p w:rsidR="00865AD6" w:rsidRPr="00D11833" w:rsidRDefault="00865AD6" w:rsidP="00865AD6">
      <w:pPr>
        <w:pStyle w:val="Heading2"/>
        <w:keepNext w:val="0"/>
        <w:rPr>
          <w:rFonts w:ascii="Arial" w:hAnsi="Arial" w:cs="Arial"/>
        </w:rPr>
      </w:pPr>
      <w:bookmarkStart w:id="7" w:name="_Toc474124199"/>
      <w:bookmarkStart w:id="8" w:name="_Toc474124311"/>
      <w:r w:rsidRPr="00D11833">
        <w:rPr>
          <w:rFonts w:ascii="Arial" w:hAnsi="Arial" w:cs="Arial"/>
        </w:rPr>
        <w:t xml:space="preserve">Finančný </w:t>
      </w:r>
      <w:bookmarkEnd w:id="7"/>
      <w:bookmarkEnd w:id="8"/>
      <w:r w:rsidRPr="00D11833">
        <w:rPr>
          <w:rFonts w:ascii="Arial" w:hAnsi="Arial" w:cs="Arial"/>
        </w:rPr>
        <w:t>lízing</w:t>
      </w:r>
    </w:p>
    <w:p w:rsidR="00865AD6" w:rsidRPr="00D11833" w:rsidRDefault="00865AD6" w:rsidP="00B93C41">
      <w:pPr>
        <w:keepNext w:val="0"/>
        <w:rPr>
          <w:rFonts w:ascii="Arial" w:hAnsi="Arial" w:cs="Arial"/>
        </w:rPr>
      </w:pPr>
      <w:r w:rsidRPr="00D11833">
        <w:rPr>
          <w:rFonts w:ascii="Arial" w:hAnsi="Arial" w:cs="Arial"/>
        </w:rPr>
        <w:t xml:space="preserve">Spoločnosť účtuje o finančnom lízingu tak, že majetok obstaraný formou finančného lízingu je aktivovaný v deň prijatia predmetu lízingu v ocenení rovnajúcom sa istine. Lízingové splátky sú rozdelené medzi finančný náklad a zníženie nesplateného záväzku t.j. istinu. Finančný náklad sa účtuje do nákladov pri zachovaní vecnej a časovej súvislosti.   </w:t>
      </w:r>
    </w:p>
    <w:p w:rsidR="00865AD6" w:rsidRPr="00D11833" w:rsidRDefault="00865AD6" w:rsidP="00865AD6">
      <w:pPr>
        <w:pStyle w:val="Heading2"/>
        <w:keepNext w:val="0"/>
        <w:rPr>
          <w:rFonts w:ascii="Arial" w:hAnsi="Arial" w:cs="Arial"/>
        </w:rPr>
      </w:pPr>
      <w:bookmarkStart w:id="9" w:name="_Toc474124202"/>
      <w:bookmarkStart w:id="10" w:name="_Toc474124314"/>
      <w:r w:rsidRPr="00D11833">
        <w:rPr>
          <w:rFonts w:ascii="Arial" w:hAnsi="Arial" w:cs="Arial"/>
        </w:rPr>
        <w:t>Daň z príjm</w:t>
      </w:r>
      <w:bookmarkEnd w:id="9"/>
      <w:bookmarkEnd w:id="10"/>
      <w:r w:rsidRPr="00D11833">
        <w:rPr>
          <w:rFonts w:ascii="Arial" w:hAnsi="Arial" w:cs="Arial"/>
        </w:rPr>
        <w:t>u</w:t>
      </w:r>
    </w:p>
    <w:p w:rsidR="00865AD6" w:rsidRPr="0062315C" w:rsidRDefault="00865AD6" w:rsidP="00865AD6">
      <w:pPr>
        <w:keepNext w:val="0"/>
        <w:rPr>
          <w:rFonts w:ascii="Arial" w:hAnsi="Arial" w:cs="Arial"/>
        </w:rPr>
      </w:pPr>
      <w:r w:rsidRPr="0062315C">
        <w:rPr>
          <w:rFonts w:ascii="Arial" w:hAnsi="Arial" w:cs="Arial"/>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rsidR="00865AD6" w:rsidRPr="0062315C" w:rsidRDefault="00865AD6" w:rsidP="00865AD6">
      <w:pPr>
        <w:pStyle w:val="heading2b"/>
        <w:keepNext w:val="0"/>
        <w:rPr>
          <w:rFonts w:ascii="Arial" w:hAnsi="Arial" w:cs="Arial"/>
        </w:rPr>
      </w:pPr>
      <w:r w:rsidRPr="0062315C">
        <w:rPr>
          <w:rFonts w:ascii="Arial" w:hAnsi="Arial" w:cs="Arial"/>
        </w:rPr>
        <w:t>dočasné rozdiely medzi účtovnou hodnotou majetku a účtovnou hodnotou záväzkov vykázanou v súvahe a ich daňovou základňou,</w:t>
      </w:r>
    </w:p>
    <w:p w:rsidR="00865AD6" w:rsidRPr="0062315C" w:rsidRDefault="00865AD6" w:rsidP="00865AD6">
      <w:pPr>
        <w:pStyle w:val="heading2b"/>
        <w:keepNext w:val="0"/>
        <w:rPr>
          <w:rFonts w:ascii="Arial" w:hAnsi="Arial" w:cs="Arial"/>
        </w:rPr>
      </w:pPr>
      <w:r w:rsidRPr="0062315C">
        <w:rPr>
          <w:rFonts w:ascii="Arial" w:hAnsi="Arial" w:cs="Arial"/>
        </w:rPr>
        <w:t>možnosti umorovať daňovú stratu v budúcnosti, pod ktorou sa rozumie možnosť odpočítať daňovú stratu od základu dane v budúcnosti,</w:t>
      </w:r>
    </w:p>
    <w:p w:rsidR="00865AD6" w:rsidRPr="0062315C" w:rsidRDefault="00865AD6" w:rsidP="00865AD6">
      <w:pPr>
        <w:pStyle w:val="heading2b"/>
        <w:keepNext w:val="0"/>
        <w:rPr>
          <w:rFonts w:ascii="Arial" w:hAnsi="Arial" w:cs="Arial"/>
        </w:rPr>
      </w:pPr>
      <w:r w:rsidRPr="0062315C">
        <w:rPr>
          <w:rFonts w:ascii="Arial" w:hAnsi="Arial" w:cs="Arial"/>
        </w:rPr>
        <w:t>možnosť previesť nevyužité daňové odpočty a iné daňové nároky do budúcich období.</w:t>
      </w:r>
    </w:p>
    <w:p w:rsidR="00865AD6" w:rsidRPr="0062315C" w:rsidRDefault="00865AD6" w:rsidP="00865AD6">
      <w:pPr>
        <w:pStyle w:val="odstavecbezcisla"/>
        <w:suppressAutoHyphens/>
        <w:ind w:left="0"/>
        <w:rPr>
          <w:rFonts w:ascii="Arial" w:hAnsi="Arial" w:cs="Arial"/>
        </w:rPr>
      </w:pPr>
    </w:p>
    <w:p w:rsidR="00865AD6" w:rsidRPr="0062315C" w:rsidRDefault="00865AD6" w:rsidP="00865AD6">
      <w:pPr>
        <w:pStyle w:val="odstavecbezcisla"/>
        <w:suppressAutoHyphens/>
        <w:ind w:left="0"/>
        <w:rPr>
          <w:rFonts w:ascii="Arial" w:hAnsi="Arial" w:cs="Arial"/>
        </w:rPr>
      </w:pPr>
      <w:r w:rsidRPr="0062315C">
        <w:rPr>
          <w:rFonts w:ascii="Arial" w:hAnsi="Arial" w:cs="Arial"/>
        </w:rPr>
        <w:t>O odloženom daňovom záväzku účtuje spoločnosť vždy, o pohľadávke účtuje, ak je realizovateľná.</w:t>
      </w:r>
    </w:p>
    <w:p w:rsidR="00865AD6" w:rsidRPr="0062315C" w:rsidRDefault="00865AD6" w:rsidP="00865AD6">
      <w:pPr>
        <w:pStyle w:val="odstavecbezcisla"/>
        <w:suppressAutoHyphens/>
        <w:ind w:left="0"/>
        <w:rPr>
          <w:rFonts w:ascii="Arial" w:hAnsi="Arial" w:cs="Arial"/>
          <w:b/>
        </w:rPr>
      </w:pPr>
    </w:p>
    <w:p w:rsidR="00865AD6" w:rsidRPr="0062315C" w:rsidRDefault="00127D1B" w:rsidP="00127D1B">
      <w:pPr>
        <w:pStyle w:val="Heading2"/>
        <w:keepNext w:val="0"/>
        <w:rPr>
          <w:rFonts w:ascii="Arial" w:hAnsi="Arial" w:cs="Arial"/>
        </w:rPr>
      </w:pPr>
      <w:r w:rsidRPr="0062315C">
        <w:rPr>
          <w:rFonts w:ascii="Arial" w:hAnsi="Arial" w:cs="Arial"/>
        </w:rPr>
        <w:lastRenderedPageBreak/>
        <w:t>Opravy chýb minulých účtovných období</w:t>
      </w:r>
    </w:p>
    <w:p w:rsidR="000863EE" w:rsidRDefault="006829A7" w:rsidP="0064093B">
      <w:pPr>
        <w:pStyle w:val="ListParagraph"/>
        <w:keepNext w:val="0"/>
        <w:ind w:left="0"/>
        <w:rPr>
          <w:rFonts w:ascii="Arial" w:hAnsi="Arial" w:cs="Arial"/>
        </w:rPr>
      </w:pPr>
      <w:r w:rsidRPr="0062315C">
        <w:rPr>
          <w:rFonts w:ascii="Arial" w:hAnsi="Arial" w:cs="Arial"/>
        </w:rPr>
        <w:t>Spoločnosť v bežnom účtovnom období neúčtovala o oprave významných chýb minulých období</w:t>
      </w:r>
      <w:r w:rsidR="00B3452F" w:rsidRPr="0062315C">
        <w:rPr>
          <w:rFonts w:ascii="Arial" w:hAnsi="Arial" w:cs="Arial"/>
        </w:rPr>
        <w:t>.</w:t>
      </w:r>
    </w:p>
    <w:p w:rsidR="0052328E" w:rsidRPr="0062315C" w:rsidRDefault="0052328E" w:rsidP="0064093B">
      <w:pPr>
        <w:pStyle w:val="ListParagraph"/>
        <w:keepNext w:val="0"/>
        <w:ind w:left="0"/>
        <w:rPr>
          <w:rFonts w:ascii="Arial" w:hAnsi="Arial" w:cs="Arial"/>
          <w:i/>
          <w:iCs/>
        </w:rPr>
      </w:pPr>
    </w:p>
    <w:p w:rsidR="00DE5258" w:rsidRPr="0062315C" w:rsidRDefault="00DE5258" w:rsidP="00DE5258">
      <w:pPr>
        <w:pStyle w:val="Heading1"/>
        <w:rPr>
          <w:rFonts w:ascii="Arial" w:hAnsi="Arial" w:cs="Arial"/>
        </w:rPr>
      </w:pPr>
      <w:r w:rsidRPr="0062315C">
        <w:rPr>
          <w:rFonts w:ascii="Arial" w:hAnsi="Arial" w:cs="Arial"/>
        </w:rPr>
        <w:t>informácie, ktoré vysvetľujú a dopĺňajú súvahu a výkaz ziskov a strát</w:t>
      </w:r>
    </w:p>
    <w:p w:rsidR="00DE5258" w:rsidRPr="0062315C" w:rsidRDefault="00DE5258" w:rsidP="00DE5258">
      <w:pPr>
        <w:pStyle w:val="ListParagraph"/>
        <w:keepNext w:val="0"/>
        <w:numPr>
          <w:ilvl w:val="1"/>
          <w:numId w:val="1"/>
        </w:numPr>
        <w:autoSpaceDE w:val="0"/>
        <w:autoSpaceDN w:val="0"/>
        <w:adjustRightInd w:val="0"/>
        <w:spacing w:after="0"/>
        <w:ind w:left="0" w:firstLine="0"/>
        <w:rPr>
          <w:rFonts w:ascii="Arial" w:hAnsi="Arial" w:cs="Arial"/>
        </w:rPr>
      </w:pPr>
      <w:r w:rsidRPr="0062315C">
        <w:rPr>
          <w:rFonts w:ascii="Arial" w:hAnsi="Arial" w:cs="Arial"/>
        </w:rPr>
        <w:t xml:space="preserve">Informácie o záväzkoch: </w:t>
      </w:r>
    </w:p>
    <w:p w:rsidR="00DE5258" w:rsidRPr="0062315C" w:rsidRDefault="00DE5258" w:rsidP="00DE5258">
      <w:pPr>
        <w:pStyle w:val="ListParagraph"/>
        <w:rPr>
          <w:rFonts w:ascii="Arial" w:hAnsi="Arial" w:cs="Arial"/>
        </w:rPr>
      </w:pPr>
    </w:p>
    <w:tbl>
      <w:tblPr>
        <w:tblW w:w="9080" w:type="dxa"/>
        <w:tblInd w:w="55" w:type="dxa"/>
        <w:tblCellMar>
          <w:left w:w="70" w:type="dxa"/>
          <w:right w:w="70" w:type="dxa"/>
        </w:tblCellMar>
        <w:tblLook w:val="04A0" w:firstRow="1" w:lastRow="0" w:firstColumn="1" w:lastColumn="0" w:noHBand="0" w:noVBand="1"/>
      </w:tblPr>
      <w:tblGrid>
        <w:gridCol w:w="3360"/>
        <w:gridCol w:w="2860"/>
        <w:gridCol w:w="2860"/>
      </w:tblGrid>
      <w:tr w:rsidR="00DE5258" w:rsidRPr="0062315C" w:rsidTr="00903ED1">
        <w:trPr>
          <w:trHeight w:val="525"/>
        </w:trPr>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DE5258" w:rsidRPr="0062315C" w:rsidRDefault="00DE5258" w:rsidP="00903ED1">
            <w:pPr>
              <w:keepNext w:val="0"/>
              <w:spacing w:after="0"/>
              <w:jc w:val="center"/>
              <w:rPr>
                <w:rFonts w:ascii="Arial" w:hAnsi="Arial" w:cs="Arial"/>
                <w:b/>
                <w:bCs/>
                <w:color w:val="000000"/>
                <w:lang w:eastAsia="sk-SK"/>
              </w:rPr>
            </w:pPr>
            <w:r w:rsidRPr="0062315C">
              <w:rPr>
                <w:rFonts w:ascii="Arial" w:hAnsi="Arial" w:cs="Arial"/>
                <w:b/>
                <w:bCs/>
                <w:color w:val="000000"/>
                <w:lang w:eastAsia="sk-SK"/>
              </w:rPr>
              <w:t>Názov položky</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rsidR="00DE5258" w:rsidRPr="0062315C" w:rsidRDefault="00DE5258" w:rsidP="00903ED1">
            <w:pPr>
              <w:keepNext w:val="0"/>
              <w:spacing w:after="0"/>
              <w:jc w:val="center"/>
              <w:rPr>
                <w:rFonts w:ascii="Arial" w:hAnsi="Arial" w:cs="Arial"/>
                <w:b/>
                <w:bCs/>
                <w:color w:val="000000"/>
                <w:lang w:eastAsia="sk-SK"/>
              </w:rPr>
            </w:pPr>
            <w:r w:rsidRPr="0062315C">
              <w:rPr>
                <w:rFonts w:ascii="Arial" w:hAnsi="Arial" w:cs="Arial"/>
                <w:b/>
                <w:bCs/>
                <w:color w:val="000000"/>
                <w:lang w:eastAsia="sk-SK"/>
              </w:rPr>
              <w:t>Bežné účtovné obdobie</w:t>
            </w:r>
          </w:p>
        </w:tc>
        <w:tc>
          <w:tcPr>
            <w:tcW w:w="2860" w:type="dxa"/>
            <w:tcBorders>
              <w:top w:val="single" w:sz="12" w:space="0" w:color="auto"/>
              <w:left w:val="nil"/>
              <w:bottom w:val="single" w:sz="12" w:space="0" w:color="auto"/>
              <w:right w:val="single" w:sz="12" w:space="0" w:color="auto"/>
            </w:tcBorders>
            <w:shd w:val="clear" w:color="auto" w:fill="auto"/>
            <w:vAlign w:val="center"/>
            <w:hideMark/>
          </w:tcPr>
          <w:p w:rsidR="00DE5258" w:rsidRPr="0062315C" w:rsidRDefault="00DE5258" w:rsidP="00903ED1">
            <w:pPr>
              <w:keepNext w:val="0"/>
              <w:spacing w:after="0"/>
              <w:jc w:val="center"/>
              <w:rPr>
                <w:rFonts w:ascii="Arial" w:hAnsi="Arial" w:cs="Arial"/>
                <w:b/>
                <w:bCs/>
                <w:color w:val="000000"/>
                <w:lang w:eastAsia="sk-SK"/>
              </w:rPr>
            </w:pPr>
            <w:r w:rsidRPr="0062315C">
              <w:rPr>
                <w:rFonts w:ascii="Arial" w:hAnsi="Arial" w:cs="Arial"/>
                <w:b/>
                <w:bCs/>
                <w:color w:val="000000"/>
                <w:lang w:eastAsia="sk-SK"/>
              </w:rPr>
              <w:t>Bezprostredne predchádzajúce účtovné obdobie</w:t>
            </w:r>
          </w:p>
        </w:tc>
      </w:tr>
      <w:tr w:rsidR="00DE5258" w:rsidRPr="0062315C" w:rsidTr="00903ED1">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DE5258" w:rsidRPr="0062315C" w:rsidRDefault="00DE5258" w:rsidP="00DE5258">
            <w:pPr>
              <w:keepNext w:val="0"/>
              <w:spacing w:after="0"/>
              <w:jc w:val="left"/>
              <w:rPr>
                <w:rFonts w:ascii="Arial" w:hAnsi="Arial" w:cs="Arial"/>
                <w:color w:val="000000"/>
                <w:lang w:eastAsia="sk-SK"/>
              </w:rPr>
            </w:pPr>
            <w:r w:rsidRPr="0062315C">
              <w:rPr>
                <w:rFonts w:ascii="Arial" w:hAnsi="Arial" w:cs="Arial"/>
              </w:rPr>
              <w:t>a) Celková sume záväzkov so zostatkovou dobou splatnosti dlhšou ako päť rokov</w:t>
            </w:r>
          </w:p>
        </w:tc>
        <w:tc>
          <w:tcPr>
            <w:tcW w:w="2860" w:type="dxa"/>
            <w:tcBorders>
              <w:top w:val="nil"/>
              <w:left w:val="nil"/>
              <w:bottom w:val="single" w:sz="8" w:space="0" w:color="auto"/>
              <w:right w:val="single" w:sz="8" w:space="0" w:color="auto"/>
            </w:tcBorders>
            <w:shd w:val="clear" w:color="auto" w:fill="auto"/>
            <w:noWrap/>
            <w:vAlign w:val="center"/>
            <w:hideMark/>
          </w:tcPr>
          <w:p w:rsidR="00DE5258" w:rsidRPr="0062315C" w:rsidRDefault="006A4FCD" w:rsidP="00903ED1">
            <w:pPr>
              <w:keepNext w:val="0"/>
              <w:spacing w:after="0"/>
              <w:jc w:val="right"/>
              <w:rPr>
                <w:rFonts w:ascii="Arial" w:hAnsi="Arial" w:cs="Arial"/>
                <w:bCs/>
                <w:color w:val="000000"/>
                <w:lang w:eastAsia="sk-SK"/>
              </w:rPr>
            </w:pPr>
            <w:r w:rsidRPr="0062315C">
              <w:rPr>
                <w:rFonts w:ascii="Arial" w:hAnsi="Arial" w:cs="Arial"/>
                <w:bCs/>
                <w:color w:val="000000"/>
                <w:lang w:eastAsia="sk-SK"/>
              </w:rPr>
              <w:t>0</w:t>
            </w:r>
            <w:r w:rsidR="00DE5258" w:rsidRPr="0062315C">
              <w:rPr>
                <w:rFonts w:ascii="Arial" w:hAnsi="Arial" w:cs="Arial"/>
                <w:bCs/>
                <w:color w:val="000000"/>
                <w:lang w:eastAsia="sk-SK"/>
              </w:rPr>
              <w:t> </w:t>
            </w:r>
          </w:p>
        </w:tc>
        <w:tc>
          <w:tcPr>
            <w:tcW w:w="2860" w:type="dxa"/>
            <w:tcBorders>
              <w:top w:val="nil"/>
              <w:left w:val="nil"/>
              <w:bottom w:val="single" w:sz="8" w:space="0" w:color="auto"/>
              <w:right w:val="single" w:sz="12" w:space="0" w:color="auto"/>
            </w:tcBorders>
            <w:shd w:val="clear" w:color="auto" w:fill="auto"/>
            <w:noWrap/>
            <w:vAlign w:val="center"/>
            <w:hideMark/>
          </w:tcPr>
          <w:p w:rsidR="00DE5258" w:rsidRPr="0062315C" w:rsidRDefault="006A4FCD" w:rsidP="00903ED1">
            <w:pPr>
              <w:keepNext w:val="0"/>
              <w:spacing w:after="0"/>
              <w:jc w:val="right"/>
              <w:rPr>
                <w:rFonts w:ascii="Arial" w:hAnsi="Arial" w:cs="Arial"/>
                <w:bCs/>
                <w:color w:val="000000"/>
                <w:lang w:eastAsia="sk-SK"/>
              </w:rPr>
            </w:pPr>
            <w:r w:rsidRPr="0062315C">
              <w:rPr>
                <w:rFonts w:ascii="Arial" w:hAnsi="Arial" w:cs="Arial"/>
                <w:bCs/>
                <w:color w:val="000000"/>
                <w:lang w:eastAsia="sk-SK"/>
              </w:rPr>
              <w:t>0</w:t>
            </w:r>
            <w:r w:rsidR="00DE5258" w:rsidRPr="0062315C">
              <w:rPr>
                <w:rFonts w:ascii="Arial" w:hAnsi="Arial" w:cs="Arial"/>
                <w:bCs/>
                <w:color w:val="000000"/>
                <w:lang w:eastAsia="sk-SK"/>
              </w:rPr>
              <w:t> </w:t>
            </w:r>
          </w:p>
        </w:tc>
      </w:tr>
      <w:tr w:rsidR="00DE5258" w:rsidRPr="0062315C" w:rsidTr="00903ED1">
        <w:trPr>
          <w:trHeight w:val="405"/>
        </w:trPr>
        <w:tc>
          <w:tcPr>
            <w:tcW w:w="3360" w:type="dxa"/>
            <w:tcBorders>
              <w:top w:val="nil"/>
              <w:left w:val="single" w:sz="12" w:space="0" w:color="auto"/>
              <w:bottom w:val="single" w:sz="8" w:space="0" w:color="auto"/>
              <w:right w:val="single" w:sz="12" w:space="0" w:color="auto"/>
            </w:tcBorders>
            <w:shd w:val="clear" w:color="auto" w:fill="auto"/>
            <w:vAlign w:val="center"/>
            <w:hideMark/>
          </w:tcPr>
          <w:p w:rsidR="00DE5258" w:rsidRPr="0062315C" w:rsidRDefault="00DE5258" w:rsidP="00DE5258">
            <w:pPr>
              <w:keepNext w:val="0"/>
              <w:spacing w:after="0"/>
              <w:jc w:val="left"/>
              <w:rPr>
                <w:rFonts w:ascii="Arial" w:hAnsi="Arial" w:cs="Arial"/>
                <w:color w:val="000000"/>
                <w:lang w:eastAsia="sk-SK"/>
              </w:rPr>
            </w:pPr>
            <w:r w:rsidRPr="0062315C">
              <w:rPr>
                <w:rFonts w:ascii="Arial" w:hAnsi="Arial" w:cs="Arial"/>
              </w:rPr>
              <w:t>b) Celková suma zabezpečených záväzkov</w:t>
            </w:r>
          </w:p>
        </w:tc>
        <w:tc>
          <w:tcPr>
            <w:tcW w:w="2860" w:type="dxa"/>
            <w:tcBorders>
              <w:top w:val="nil"/>
              <w:left w:val="nil"/>
              <w:bottom w:val="single" w:sz="8" w:space="0" w:color="auto"/>
              <w:right w:val="single" w:sz="8" w:space="0" w:color="auto"/>
            </w:tcBorders>
            <w:shd w:val="clear" w:color="auto" w:fill="auto"/>
            <w:noWrap/>
            <w:vAlign w:val="center"/>
            <w:hideMark/>
          </w:tcPr>
          <w:p w:rsidR="00DE5258" w:rsidRPr="0062315C" w:rsidRDefault="006A4FCD" w:rsidP="00903ED1">
            <w:pPr>
              <w:keepNext w:val="0"/>
              <w:spacing w:after="0"/>
              <w:jc w:val="right"/>
              <w:rPr>
                <w:rFonts w:ascii="Arial" w:hAnsi="Arial" w:cs="Arial"/>
                <w:bCs/>
                <w:color w:val="000000"/>
                <w:lang w:eastAsia="sk-SK"/>
              </w:rPr>
            </w:pPr>
            <w:r w:rsidRPr="0062315C">
              <w:rPr>
                <w:rFonts w:ascii="Arial" w:hAnsi="Arial" w:cs="Arial"/>
                <w:bCs/>
                <w:color w:val="000000"/>
                <w:lang w:eastAsia="sk-SK"/>
              </w:rPr>
              <w:t>0</w:t>
            </w:r>
            <w:r w:rsidR="00DE5258" w:rsidRPr="0062315C">
              <w:rPr>
                <w:rFonts w:ascii="Arial" w:hAnsi="Arial" w:cs="Arial"/>
                <w:bCs/>
                <w:color w:val="000000"/>
                <w:lang w:eastAsia="sk-SK"/>
              </w:rPr>
              <w:t> </w:t>
            </w:r>
          </w:p>
        </w:tc>
        <w:tc>
          <w:tcPr>
            <w:tcW w:w="2860" w:type="dxa"/>
            <w:tcBorders>
              <w:top w:val="nil"/>
              <w:left w:val="nil"/>
              <w:bottom w:val="single" w:sz="8" w:space="0" w:color="auto"/>
              <w:right w:val="single" w:sz="12" w:space="0" w:color="auto"/>
            </w:tcBorders>
            <w:shd w:val="clear" w:color="auto" w:fill="auto"/>
            <w:noWrap/>
            <w:vAlign w:val="center"/>
            <w:hideMark/>
          </w:tcPr>
          <w:p w:rsidR="00DE5258" w:rsidRPr="0062315C" w:rsidRDefault="006A4FCD" w:rsidP="00903ED1">
            <w:pPr>
              <w:keepNext w:val="0"/>
              <w:spacing w:after="0"/>
              <w:jc w:val="right"/>
              <w:rPr>
                <w:rFonts w:ascii="Arial" w:hAnsi="Arial" w:cs="Arial"/>
                <w:bCs/>
                <w:color w:val="000000"/>
                <w:lang w:eastAsia="sk-SK"/>
              </w:rPr>
            </w:pPr>
            <w:r w:rsidRPr="0062315C">
              <w:rPr>
                <w:rFonts w:ascii="Arial" w:hAnsi="Arial" w:cs="Arial"/>
                <w:bCs/>
                <w:color w:val="000000"/>
                <w:lang w:eastAsia="sk-SK"/>
              </w:rPr>
              <w:t>0</w:t>
            </w:r>
            <w:r w:rsidR="00DE5258" w:rsidRPr="0062315C">
              <w:rPr>
                <w:rFonts w:ascii="Arial" w:hAnsi="Arial" w:cs="Arial"/>
                <w:bCs/>
                <w:color w:val="000000"/>
                <w:lang w:eastAsia="sk-SK"/>
              </w:rPr>
              <w:t> </w:t>
            </w:r>
          </w:p>
        </w:tc>
      </w:tr>
    </w:tbl>
    <w:p w:rsidR="00DE5258" w:rsidRDefault="00DE5258" w:rsidP="00DE5258">
      <w:pPr>
        <w:pStyle w:val="ListParagraph"/>
        <w:ind w:left="0"/>
        <w:rPr>
          <w:rFonts w:ascii="Arial" w:hAnsi="Arial" w:cs="Arial"/>
          <w:i/>
        </w:rPr>
      </w:pPr>
    </w:p>
    <w:p w:rsidR="00746099" w:rsidRPr="005847FE" w:rsidRDefault="00746099" w:rsidP="00746099">
      <w:pPr>
        <w:pStyle w:val="Heading1"/>
        <w:keepNext w:val="0"/>
        <w:spacing w:before="120"/>
        <w:rPr>
          <w:rFonts w:ascii="Arial" w:hAnsi="Arial" w:cs="Arial"/>
        </w:rPr>
      </w:pPr>
      <w:r w:rsidRPr="005847FE">
        <w:rPr>
          <w:rFonts w:ascii="Arial" w:hAnsi="Arial" w:cs="Arial"/>
        </w:rPr>
        <w:t>informácie o iných aktívach a iných pasívach</w:t>
      </w:r>
    </w:p>
    <w:p w:rsidR="00746099" w:rsidRPr="005847FE" w:rsidRDefault="00746099" w:rsidP="00746099">
      <w:pPr>
        <w:pStyle w:val="Normalitalic"/>
        <w:keepNext w:val="0"/>
        <w:rPr>
          <w:rFonts w:ascii="Arial" w:hAnsi="Arial" w:cs="Arial"/>
          <w:i w:val="0"/>
        </w:rPr>
      </w:pPr>
      <w:r w:rsidRPr="005847FE">
        <w:rPr>
          <w:rFonts w:ascii="Arial" w:hAnsi="Arial" w:cs="Arial"/>
          <w:i w:val="0"/>
        </w:rPr>
        <w:t xml:space="preserve">Účtovná jednotka nemá náplň pre túto kategóriu informácií. </w:t>
      </w:r>
    </w:p>
    <w:p w:rsidR="00746099" w:rsidRPr="0062315C" w:rsidRDefault="00746099" w:rsidP="00DE5258">
      <w:pPr>
        <w:pStyle w:val="ListParagraph"/>
        <w:ind w:left="0"/>
        <w:rPr>
          <w:rFonts w:ascii="Arial" w:hAnsi="Arial" w:cs="Arial"/>
          <w:i/>
        </w:rPr>
      </w:pPr>
    </w:p>
    <w:p w:rsidR="00B5515F" w:rsidRPr="0062315C" w:rsidRDefault="00B5515F" w:rsidP="00B5515F">
      <w:pPr>
        <w:pStyle w:val="Heading1"/>
        <w:keepNext w:val="0"/>
        <w:spacing w:before="120"/>
        <w:rPr>
          <w:rFonts w:ascii="Arial" w:hAnsi="Arial" w:cs="Arial"/>
        </w:rPr>
      </w:pPr>
      <w:r w:rsidRPr="0062315C">
        <w:rPr>
          <w:rFonts w:ascii="Arial" w:hAnsi="Arial" w:cs="Arial"/>
        </w:rPr>
        <w:t xml:space="preserve">udalosti, ktoré nastali po dni, ku ktorému sa zostavuje účtovná závierka </w:t>
      </w:r>
    </w:p>
    <w:p w:rsidR="0052328E" w:rsidRDefault="00B5515F" w:rsidP="00F07BDD">
      <w:pPr>
        <w:pStyle w:val="ListParagraph"/>
        <w:keepNext w:val="0"/>
        <w:numPr>
          <w:ilvl w:val="1"/>
          <w:numId w:val="1"/>
        </w:numPr>
        <w:ind w:left="0" w:firstLine="0"/>
        <w:rPr>
          <w:rFonts w:ascii="Arial" w:hAnsi="Arial" w:cs="Arial"/>
          <w:iCs/>
        </w:rPr>
      </w:pPr>
      <w:r w:rsidRPr="0062315C">
        <w:rPr>
          <w:rFonts w:ascii="Arial" w:hAnsi="Arial" w:cs="Arial"/>
        </w:rPr>
        <w:t>Po 31. decembri 201</w:t>
      </w:r>
      <w:r w:rsidR="0081072F">
        <w:rPr>
          <w:rFonts w:ascii="Arial" w:hAnsi="Arial" w:cs="Arial"/>
        </w:rPr>
        <w:t>7</w:t>
      </w:r>
      <w:r w:rsidRPr="0062315C">
        <w:rPr>
          <w:rFonts w:ascii="Arial" w:hAnsi="Arial" w:cs="Arial"/>
        </w:rPr>
        <w:t xml:space="preserve"> nenastali také udalosti, ktoré majú významný vplyv na verné zobrazenie skutočností uvádzaných v tejto účtovnej závierke.</w:t>
      </w:r>
    </w:p>
    <w:p w:rsidR="0052328E" w:rsidRDefault="0052328E" w:rsidP="00B93C41">
      <w:pPr>
        <w:pStyle w:val="ListParagraph"/>
        <w:keepNext w:val="0"/>
        <w:ind w:left="0"/>
        <w:rPr>
          <w:rFonts w:ascii="Arial" w:hAnsi="Arial" w:cs="Arial"/>
          <w:iCs/>
        </w:rPr>
      </w:pPr>
    </w:p>
    <w:p w:rsidR="00696890" w:rsidRPr="0062315C" w:rsidRDefault="00696890" w:rsidP="00B93C41">
      <w:pPr>
        <w:pStyle w:val="ListParagraph"/>
        <w:keepNext w:val="0"/>
        <w:ind w:left="0"/>
        <w:rPr>
          <w:rFonts w:ascii="Arial" w:hAnsi="Arial" w:cs="Arial"/>
          <w:iCs/>
        </w:rPr>
      </w:pPr>
    </w:p>
    <w:p w:rsidR="0052328E" w:rsidRPr="005847FE" w:rsidRDefault="0052328E" w:rsidP="0052328E">
      <w:pPr>
        <w:pStyle w:val="Heading1"/>
        <w:keepNext w:val="0"/>
        <w:spacing w:before="120"/>
        <w:rPr>
          <w:rFonts w:ascii="Arial" w:hAnsi="Arial" w:cs="Arial"/>
        </w:rPr>
      </w:pPr>
      <w:r w:rsidRPr="005847FE">
        <w:rPr>
          <w:rFonts w:ascii="Arial" w:hAnsi="Arial" w:cs="Arial"/>
        </w:rPr>
        <w:t>ostatné informácie</w:t>
      </w:r>
    </w:p>
    <w:p w:rsidR="0052328E" w:rsidRPr="005847FE" w:rsidRDefault="0052328E" w:rsidP="0052328E">
      <w:pPr>
        <w:pStyle w:val="Normalitalic"/>
        <w:keepNext w:val="0"/>
        <w:rPr>
          <w:rFonts w:ascii="Arial" w:hAnsi="Arial" w:cs="Arial"/>
          <w:i w:val="0"/>
        </w:rPr>
      </w:pPr>
      <w:r w:rsidRPr="005847FE">
        <w:rPr>
          <w:rFonts w:ascii="Arial" w:hAnsi="Arial" w:cs="Arial"/>
          <w:i w:val="0"/>
        </w:rPr>
        <w:t xml:space="preserve">Účtovná jednotka nemá náplň pre túto kategóriu informácií. </w:t>
      </w:r>
    </w:p>
    <w:p w:rsidR="00B5515F" w:rsidRPr="0062315C" w:rsidRDefault="00B5515F" w:rsidP="00E0211F">
      <w:pPr>
        <w:pStyle w:val="Normalitalic"/>
        <w:keepNext w:val="0"/>
        <w:rPr>
          <w:rFonts w:ascii="Arial" w:hAnsi="Arial" w:cs="Arial"/>
          <w:i w:val="0"/>
          <w:iCs/>
        </w:rPr>
      </w:pPr>
    </w:p>
    <w:sectPr w:rsidR="00B5515F" w:rsidRPr="0062315C" w:rsidSect="00F72B5E">
      <w:headerReference w:type="default" r:id="rId8"/>
      <w:footerReference w:type="default" r:id="rId9"/>
      <w:type w:val="nextColumn"/>
      <w:pgSz w:w="11907" w:h="16840" w:code="9"/>
      <w:pgMar w:top="2127" w:right="1134" w:bottom="1134" w:left="1701" w:header="737"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40B" w:rsidRDefault="00D2640B">
      <w:r>
        <w:separator/>
      </w:r>
    </w:p>
  </w:endnote>
  <w:endnote w:type="continuationSeparator" w:id="0">
    <w:p w:rsidR="00D2640B" w:rsidRDefault="00D2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Cs w:val="18"/>
      </w:rPr>
      <w:id w:val="-810946936"/>
      <w:docPartObj>
        <w:docPartGallery w:val="Page Numbers (Bottom of Page)"/>
        <w:docPartUnique/>
      </w:docPartObj>
    </w:sdtPr>
    <w:sdtEndPr/>
    <w:sdtContent>
      <w:p w:rsidR="00C1571A" w:rsidRPr="00C1571A" w:rsidRDefault="00C1571A" w:rsidP="00C1571A">
        <w:pPr>
          <w:pStyle w:val="Footer"/>
          <w:jc w:val="center"/>
          <w:rPr>
            <w:rFonts w:ascii="Arial" w:hAnsi="Arial" w:cs="Arial"/>
            <w:szCs w:val="18"/>
          </w:rPr>
        </w:pPr>
        <w:r w:rsidRPr="00C1571A">
          <w:rPr>
            <w:rFonts w:ascii="Arial" w:hAnsi="Arial" w:cs="Arial"/>
            <w:szCs w:val="18"/>
          </w:rPr>
          <w:fldChar w:fldCharType="begin"/>
        </w:r>
        <w:r w:rsidRPr="00C1571A">
          <w:rPr>
            <w:rFonts w:ascii="Arial" w:hAnsi="Arial" w:cs="Arial"/>
            <w:szCs w:val="18"/>
          </w:rPr>
          <w:instrText>PAGE   \* MERGEFORMAT</w:instrText>
        </w:r>
        <w:r w:rsidRPr="00C1571A">
          <w:rPr>
            <w:rFonts w:ascii="Arial" w:hAnsi="Arial" w:cs="Arial"/>
            <w:szCs w:val="18"/>
          </w:rPr>
          <w:fldChar w:fldCharType="separate"/>
        </w:r>
        <w:r w:rsidR="002A7E8C">
          <w:rPr>
            <w:rFonts w:ascii="Arial" w:hAnsi="Arial" w:cs="Arial"/>
            <w:noProof/>
            <w:szCs w:val="18"/>
          </w:rPr>
          <w:t>1</w:t>
        </w:r>
        <w:r w:rsidRPr="00C1571A">
          <w:rPr>
            <w:rFonts w:ascii="Arial" w:hAnsi="Arial" w:cs="Arial"/>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40B" w:rsidRDefault="00D2640B">
      <w:r>
        <w:separator/>
      </w:r>
    </w:p>
  </w:footnote>
  <w:footnote w:type="continuationSeparator" w:id="0">
    <w:p w:rsidR="00D2640B" w:rsidRDefault="00D26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5E" w:rsidRPr="00F72B5E" w:rsidRDefault="00F72B5E" w:rsidP="00F72B5E">
    <w:pPr>
      <w:pStyle w:val="Header"/>
      <w:tabs>
        <w:tab w:val="clear" w:pos="9072"/>
      </w:tabs>
      <w:rPr>
        <w:rFonts w:ascii="Arial" w:hAnsi="Arial" w:cs="Arial"/>
      </w:rPr>
    </w:pPr>
    <w:r w:rsidRPr="00F72B5E">
      <w:rPr>
        <w:rFonts w:ascii="Arial" w:hAnsi="Arial" w:cs="Arial"/>
      </w:rPr>
      <w:t>Poznámky Úč POD 3 – 01</w:t>
    </w:r>
    <w:r w:rsidRPr="00F72B5E">
      <w:rPr>
        <w:rFonts w:ascii="Arial" w:hAnsi="Arial" w:cs="Arial"/>
      </w:rPr>
      <w:tab/>
      <w:t xml:space="preserve">DIČ: </w:t>
    </w:r>
    <w:r w:rsidR="00D30F78">
      <w:rPr>
        <w:rFonts w:ascii="Arial" w:hAnsi="Arial" w:cs="Arial"/>
      </w:rPr>
      <w:t>2020336406</w:t>
    </w:r>
    <w:r w:rsidRPr="00F72B5E">
      <w:rPr>
        <w:rFonts w:ascii="Arial" w:hAnsi="Arial" w:cs="Arial"/>
      </w:rPr>
      <w:tab/>
      <w:t xml:space="preserve">IČO: </w:t>
    </w:r>
    <w:r w:rsidR="00D30F78">
      <w:rPr>
        <w:rFonts w:ascii="Arial" w:hAnsi="Arial" w:cs="Arial"/>
      </w:rPr>
      <w:t>31358730</w:t>
    </w:r>
  </w:p>
  <w:p w:rsidR="00F72B5E" w:rsidRDefault="00F72B5E" w:rsidP="00F72B5E">
    <w:pPr>
      <w:pStyle w:val="Header"/>
      <w:ind w:firstLine="70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8481328"/>
    <w:multiLevelType w:val="hybridMultilevel"/>
    <w:tmpl w:val="1578EE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5" w15:restartNumberingAfterBreak="0">
    <w:nsid w:val="30196C72"/>
    <w:multiLevelType w:val="singleLevel"/>
    <w:tmpl w:val="CE427732"/>
    <w:lvl w:ilvl="0">
      <w:start w:val="1"/>
      <w:numFmt w:val="lowerLetter"/>
      <w:pStyle w:val="Heading2"/>
      <w:lvlText w:val="%1)"/>
      <w:lvlJc w:val="left"/>
      <w:pPr>
        <w:tabs>
          <w:tab w:val="num" w:pos="454"/>
        </w:tabs>
        <w:ind w:left="454" w:hanging="454"/>
      </w:pPr>
      <w:rPr>
        <w:rFonts w:ascii="Arial" w:hAnsi="Arial" w:cs="Arial" w:hint="default"/>
        <w:sz w:val="20"/>
        <w:szCs w:val="20"/>
      </w:rPr>
    </w:lvl>
  </w:abstractNum>
  <w:abstractNum w:abstractNumId="6"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7" w15:restartNumberingAfterBreak="0">
    <w:nsid w:val="39E074A7"/>
    <w:multiLevelType w:val="multilevel"/>
    <w:tmpl w:val="013228C0"/>
    <w:lvl w:ilvl="0">
      <w:start w:val="1"/>
      <w:numFmt w:val="decimal"/>
      <w:pStyle w:val="Heading1"/>
      <w:lvlText w:val="%1."/>
      <w:lvlJc w:val="left"/>
      <w:pPr>
        <w:tabs>
          <w:tab w:val="num" w:pos="454"/>
        </w:tabs>
        <w:ind w:left="454" w:hanging="454"/>
      </w:pPr>
      <w:rPr>
        <w:rFonts w:hint="default"/>
      </w:rPr>
    </w:lvl>
    <w:lvl w:ilvl="1">
      <w:start w:val="1"/>
      <w:numFmt w:val="decimal"/>
      <w:isLgl/>
      <w:lvlText w:val="%1.%2."/>
      <w:lvlJc w:val="left"/>
      <w:pPr>
        <w:ind w:left="928" w:hanging="360"/>
      </w:pPr>
      <w:rPr>
        <w:rFonts w:ascii="Arial" w:hAnsi="Arial" w:cs="Arial" w:hint="default"/>
        <w:i w:val="0"/>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8"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0" w15:restartNumberingAfterBreak="0">
    <w:nsid w:val="57A817AE"/>
    <w:multiLevelType w:val="hybridMultilevel"/>
    <w:tmpl w:val="57ACF120"/>
    <w:lvl w:ilvl="0" w:tplc="CB0C18A8">
      <w:start w:val="1"/>
      <w:numFmt w:val="upperLetter"/>
      <w:lvlText w:val="%1)"/>
      <w:lvlJc w:val="left"/>
      <w:pPr>
        <w:ind w:left="720" w:hanging="360"/>
      </w:pPr>
      <w:rPr>
        <w:rFonts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2"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5"/>
  </w:num>
  <w:num w:numId="3">
    <w:abstractNumId w:val="5"/>
    <w:lvlOverride w:ilvl="0">
      <w:startOverride w:val="1"/>
    </w:lvlOverride>
  </w:num>
  <w:num w:numId="4">
    <w:abstractNumId w:val="5"/>
    <w:lvlOverride w:ilvl="0">
      <w:startOverride w:val="1"/>
    </w:lvlOverride>
  </w:num>
  <w:num w:numId="5">
    <w:abstractNumId w:val="9"/>
  </w:num>
  <w:num w:numId="6">
    <w:abstractNumId w:val="7"/>
  </w:num>
  <w:num w:numId="7">
    <w:abstractNumId w:val="7"/>
  </w:num>
  <w:num w:numId="8">
    <w:abstractNumId w:val="8"/>
  </w:num>
  <w:num w:numId="9">
    <w:abstractNumId w:val="4"/>
  </w:num>
  <w:num w:numId="10">
    <w:abstractNumId w:val="13"/>
  </w:num>
  <w:num w:numId="11">
    <w:abstractNumId w:val="15"/>
  </w:num>
  <w:num w:numId="12">
    <w:abstractNumId w:val="1"/>
  </w:num>
  <w:num w:numId="13">
    <w:abstractNumId w:val="9"/>
  </w:num>
  <w:num w:numId="14">
    <w:abstractNumId w:val="9"/>
  </w:num>
  <w:num w:numId="15">
    <w:abstractNumId w:val="9"/>
  </w:num>
  <w:num w:numId="16">
    <w:abstractNumId w:val="12"/>
  </w:num>
  <w:num w:numId="17">
    <w:abstractNumId w:val="9"/>
  </w:num>
  <w:num w:numId="18">
    <w:abstractNumId w:val="5"/>
  </w:num>
  <w:num w:numId="19">
    <w:abstractNumId w:val="7"/>
  </w:num>
  <w:num w:numId="20">
    <w:abstractNumId w:val="7"/>
  </w:num>
  <w:num w:numId="21">
    <w:abstractNumId w:val="7"/>
  </w:num>
  <w:num w:numId="22">
    <w:abstractNumId w:val="6"/>
  </w:num>
  <w:num w:numId="23">
    <w:abstractNumId w:val="5"/>
  </w:num>
  <w:num w:numId="24">
    <w:abstractNumId w:val="5"/>
  </w:num>
  <w:num w:numId="25">
    <w:abstractNumId w:val="5"/>
  </w:num>
  <w:num w:numId="26">
    <w:abstractNumId w:val="14"/>
  </w:num>
  <w:num w:numId="27">
    <w:abstractNumId w:val="9"/>
  </w:num>
  <w:num w:numId="28">
    <w:abstractNumId w:val="7"/>
  </w:num>
  <w:num w:numId="29">
    <w:abstractNumId w:val="7"/>
  </w:num>
  <w:num w:numId="30">
    <w:abstractNumId w:val="7"/>
  </w:num>
  <w:num w:numId="31">
    <w:abstractNumId w:val="7"/>
  </w:num>
  <w:num w:numId="32">
    <w:abstractNumId w:val="0"/>
  </w:num>
  <w:num w:numId="33">
    <w:abstractNumId w:val="11"/>
  </w:num>
  <w:num w:numId="34">
    <w:abstractNumId w:val="2"/>
  </w:num>
  <w:num w:numId="35">
    <w:abstractNumId w:val="9"/>
  </w:num>
  <w:num w:numId="36">
    <w:abstractNumId w:val="10"/>
  </w:num>
  <w:num w:numId="37">
    <w:abstractNumId w:val="5"/>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409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70"/>
    <w:rsid w:val="000000BA"/>
    <w:rsid w:val="0000109E"/>
    <w:rsid w:val="00001A25"/>
    <w:rsid w:val="00001A49"/>
    <w:rsid w:val="00001CE9"/>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5820"/>
    <w:rsid w:val="00043D29"/>
    <w:rsid w:val="00043E4E"/>
    <w:rsid w:val="000474ED"/>
    <w:rsid w:val="00052327"/>
    <w:rsid w:val="00054810"/>
    <w:rsid w:val="000549DD"/>
    <w:rsid w:val="000619B3"/>
    <w:rsid w:val="00063304"/>
    <w:rsid w:val="00063AC4"/>
    <w:rsid w:val="00064CDC"/>
    <w:rsid w:val="0006583C"/>
    <w:rsid w:val="00065AA2"/>
    <w:rsid w:val="00067077"/>
    <w:rsid w:val="00067946"/>
    <w:rsid w:val="00071429"/>
    <w:rsid w:val="00072F99"/>
    <w:rsid w:val="00074673"/>
    <w:rsid w:val="00075C57"/>
    <w:rsid w:val="00077F9F"/>
    <w:rsid w:val="0008298C"/>
    <w:rsid w:val="00082EBB"/>
    <w:rsid w:val="000855D2"/>
    <w:rsid w:val="000863EE"/>
    <w:rsid w:val="00093179"/>
    <w:rsid w:val="00093DBC"/>
    <w:rsid w:val="00097D05"/>
    <w:rsid w:val="00097DE2"/>
    <w:rsid w:val="000A2158"/>
    <w:rsid w:val="000A5A10"/>
    <w:rsid w:val="000A6191"/>
    <w:rsid w:val="000B04FB"/>
    <w:rsid w:val="000B2E2F"/>
    <w:rsid w:val="000B57C7"/>
    <w:rsid w:val="000B7437"/>
    <w:rsid w:val="000B7A57"/>
    <w:rsid w:val="000C19DF"/>
    <w:rsid w:val="000C3290"/>
    <w:rsid w:val="000C417D"/>
    <w:rsid w:val="000C6FD4"/>
    <w:rsid w:val="000D0052"/>
    <w:rsid w:val="000D0DEE"/>
    <w:rsid w:val="000D1049"/>
    <w:rsid w:val="000D149A"/>
    <w:rsid w:val="000D301B"/>
    <w:rsid w:val="000D5E3F"/>
    <w:rsid w:val="000D76A8"/>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028D"/>
    <w:rsid w:val="00122637"/>
    <w:rsid w:val="0012618E"/>
    <w:rsid w:val="00127D1B"/>
    <w:rsid w:val="00131E39"/>
    <w:rsid w:val="00134FF0"/>
    <w:rsid w:val="0013646F"/>
    <w:rsid w:val="0014004A"/>
    <w:rsid w:val="00144BDB"/>
    <w:rsid w:val="001540B9"/>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3259"/>
    <w:rsid w:val="0018619F"/>
    <w:rsid w:val="001862AF"/>
    <w:rsid w:val="00191874"/>
    <w:rsid w:val="00192ADF"/>
    <w:rsid w:val="00192F4C"/>
    <w:rsid w:val="00197939"/>
    <w:rsid w:val="00197F88"/>
    <w:rsid w:val="001A0983"/>
    <w:rsid w:val="001A0E8E"/>
    <w:rsid w:val="001A251B"/>
    <w:rsid w:val="001A47A0"/>
    <w:rsid w:val="001A57AF"/>
    <w:rsid w:val="001A57D9"/>
    <w:rsid w:val="001B11AD"/>
    <w:rsid w:val="001B436F"/>
    <w:rsid w:val="001B4B61"/>
    <w:rsid w:val="001B708F"/>
    <w:rsid w:val="001C0E97"/>
    <w:rsid w:val="001C2576"/>
    <w:rsid w:val="001C3C3F"/>
    <w:rsid w:val="001C52FD"/>
    <w:rsid w:val="001C79A4"/>
    <w:rsid w:val="001C7B3E"/>
    <w:rsid w:val="001C7C5C"/>
    <w:rsid w:val="001D1957"/>
    <w:rsid w:val="001D4716"/>
    <w:rsid w:val="001D75F3"/>
    <w:rsid w:val="001E2A7A"/>
    <w:rsid w:val="001E5C3D"/>
    <w:rsid w:val="001F29AB"/>
    <w:rsid w:val="001F3543"/>
    <w:rsid w:val="002000F9"/>
    <w:rsid w:val="0020268B"/>
    <w:rsid w:val="002044F6"/>
    <w:rsid w:val="0020455B"/>
    <w:rsid w:val="0020619A"/>
    <w:rsid w:val="00206577"/>
    <w:rsid w:val="00210086"/>
    <w:rsid w:val="00210AC5"/>
    <w:rsid w:val="00212605"/>
    <w:rsid w:val="00213B04"/>
    <w:rsid w:val="0021493A"/>
    <w:rsid w:val="00217087"/>
    <w:rsid w:val="002226E1"/>
    <w:rsid w:val="00222F19"/>
    <w:rsid w:val="00224371"/>
    <w:rsid w:val="00224416"/>
    <w:rsid w:val="002278DC"/>
    <w:rsid w:val="0023102E"/>
    <w:rsid w:val="00234A34"/>
    <w:rsid w:val="0023679A"/>
    <w:rsid w:val="00236F0C"/>
    <w:rsid w:val="00237FCF"/>
    <w:rsid w:val="0024077A"/>
    <w:rsid w:val="0024246C"/>
    <w:rsid w:val="00244F7E"/>
    <w:rsid w:val="00245D9E"/>
    <w:rsid w:val="00246772"/>
    <w:rsid w:val="00247129"/>
    <w:rsid w:val="0025037A"/>
    <w:rsid w:val="002562D7"/>
    <w:rsid w:val="00257DDB"/>
    <w:rsid w:val="00262630"/>
    <w:rsid w:val="00265CDA"/>
    <w:rsid w:val="00266072"/>
    <w:rsid w:val="002673B6"/>
    <w:rsid w:val="00273BE8"/>
    <w:rsid w:val="00273DA1"/>
    <w:rsid w:val="002818D4"/>
    <w:rsid w:val="002827B7"/>
    <w:rsid w:val="0028420F"/>
    <w:rsid w:val="0028614C"/>
    <w:rsid w:val="00287D7A"/>
    <w:rsid w:val="002927F5"/>
    <w:rsid w:val="00295714"/>
    <w:rsid w:val="00295730"/>
    <w:rsid w:val="00296518"/>
    <w:rsid w:val="00296B9D"/>
    <w:rsid w:val="00297A42"/>
    <w:rsid w:val="002A0F41"/>
    <w:rsid w:val="002A2748"/>
    <w:rsid w:val="002A4E19"/>
    <w:rsid w:val="002A593B"/>
    <w:rsid w:val="002A6954"/>
    <w:rsid w:val="002A6B69"/>
    <w:rsid w:val="002A7E8C"/>
    <w:rsid w:val="002B046B"/>
    <w:rsid w:val="002B191E"/>
    <w:rsid w:val="002B2457"/>
    <w:rsid w:val="002C0964"/>
    <w:rsid w:val="002C1DC5"/>
    <w:rsid w:val="002C44AA"/>
    <w:rsid w:val="002D0475"/>
    <w:rsid w:val="002D3940"/>
    <w:rsid w:val="002D3DB6"/>
    <w:rsid w:val="002D4F5A"/>
    <w:rsid w:val="002D5299"/>
    <w:rsid w:val="002D5C2D"/>
    <w:rsid w:val="002E09B9"/>
    <w:rsid w:val="002E10BE"/>
    <w:rsid w:val="002E44B8"/>
    <w:rsid w:val="002E461D"/>
    <w:rsid w:val="002E6669"/>
    <w:rsid w:val="002E7686"/>
    <w:rsid w:val="002F075F"/>
    <w:rsid w:val="002F2E8E"/>
    <w:rsid w:val="00302B3C"/>
    <w:rsid w:val="003059E5"/>
    <w:rsid w:val="00305AA5"/>
    <w:rsid w:val="00310C0F"/>
    <w:rsid w:val="003117A3"/>
    <w:rsid w:val="00312646"/>
    <w:rsid w:val="003126BF"/>
    <w:rsid w:val="00313D7F"/>
    <w:rsid w:val="00317A0A"/>
    <w:rsid w:val="003209A5"/>
    <w:rsid w:val="00320B3E"/>
    <w:rsid w:val="00321E3E"/>
    <w:rsid w:val="0032606A"/>
    <w:rsid w:val="003340DD"/>
    <w:rsid w:val="00334625"/>
    <w:rsid w:val="00335407"/>
    <w:rsid w:val="00336323"/>
    <w:rsid w:val="0034369C"/>
    <w:rsid w:val="00344E58"/>
    <w:rsid w:val="003465E8"/>
    <w:rsid w:val="00352174"/>
    <w:rsid w:val="00352EA6"/>
    <w:rsid w:val="0035740C"/>
    <w:rsid w:val="003636C5"/>
    <w:rsid w:val="00365C60"/>
    <w:rsid w:val="00370AD0"/>
    <w:rsid w:val="00372CE9"/>
    <w:rsid w:val="003748EE"/>
    <w:rsid w:val="0037788D"/>
    <w:rsid w:val="00380FAE"/>
    <w:rsid w:val="0038241E"/>
    <w:rsid w:val="003843A0"/>
    <w:rsid w:val="00384B72"/>
    <w:rsid w:val="00390235"/>
    <w:rsid w:val="00391DD2"/>
    <w:rsid w:val="003A040E"/>
    <w:rsid w:val="003A1374"/>
    <w:rsid w:val="003A7DCC"/>
    <w:rsid w:val="003B02AA"/>
    <w:rsid w:val="003B276C"/>
    <w:rsid w:val="003B4605"/>
    <w:rsid w:val="003B55F2"/>
    <w:rsid w:val="003B56EB"/>
    <w:rsid w:val="003B6D91"/>
    <w:rsid w:val="003C0E55"/>
    <w:rsid w:val="003D093E"/>
    <w:rsid w:val="003D2886"/>
    <w:rsid w:val="003D4166"/>
    <w:rsid w:val="003D4520"/>
    <w:rsid w:val="003D4A12"/>
    <w:rsid w:val="003D70CA"/>
    <w:rsid w:val="003E2EE8"/>
    <w:rsid w:val="003E3002"/>
    <w:rsid w:val="003E4A46"/>
    <w:rsid w:val="003E4A61"/>
    <w:rsid w:val="003E5F05"/>
    <w:rsid w:val="003F0920"/>
    <w:rsid w:val="003F528D"/>
    <w:rsid w:val="003F6E60"/>
    <w:rsid w:val="003F7F5B"/>
    <w:rsid w:val="00402718"/>
    <w:rsid w:val="00402AC6"/>
    <w:rsid w:val="004037B7"/>
    <w:rsid w:val="004065F9"/>
    <w:rsid w:val="00412B42"/>
    <w:rsid w:val="00423BBC"/>
    <w:rsid w:val="00424435"/>
    <w:rsid w:val="00425254"/>
    <w:rsid w:val="004262F9"/>
    <w:rsid w:val="00427089"/>
    <w:rsid w:val="00427EF7"/>
    <w:rsid w:val="0043312F"/>
    <w:rsid w:val="00434C63"/>
    <w:rsid w:val="00435877"/>
    <w:rsid w:val="00435EE7"/>
    <w:rsid w:val="00437599"/>
    <w:rsid w:val="0044047A"/>
    <w:rsid w:val="00440FD5"/>
    <w:rsid w:val="00442EA4"/>
    <w:rsid w:val="004449C4"/>
    <w:rsid w:val="00445597"/>
    <w:rsid w:val="00450038"/>
    <w:rsid w:val="0046070F"/>
    <w:rsid w:val="00460B8A"/>
    <w:rsid w:val="00461730"/>
    <w:rsid w:val="00462C96"/>
    <w:rsid w:val="00464A5B"/>
    <w:rsid w:val="00466467"/>
    <w:rsid w:val="00473C7E"/>
    <w:rsid w:val="004754C9"/>
    <w:rsid w:val="0047756F"/>
    <w:rsid w:val="00480B50"/>
    <w:rsid w:val="004812ED"/>
    <w:rsid w:val="0048228F"/>
    <w:rsid w:val="004853AD"/>
    <w:rsid w:val="00485F0B"/>
    <w:rsid w:val="00492D9D"/>
    <w:rsid w:val="004949DE"/>
    <w:rsid w:val="0049523C"/>
    <w:rsid w:val="004A114E"/>
    <w:rsid w:val="004A27A2"/>
    <w:rsid w:val="004A3F24"/>
    <w:rsid w:val="004A51F7"/>
    <w:rsid w:val="004A6286"/>
    <w:rsid w:val="004A66FE"/>
    <w:rsid w:val="004B50FC"/>
    <w:rsid w:val="004B7BF0"/>
    <w:rsid w:val="004C12BF"/>
    <w:rsid w:val="004C76A8"/>
    <w:rsid w:val="004D0BD2"/>
    <w:rsid w:val="004D3181"/>
    <w:rsid w:val="004D3A0B"/>
    <w:rsid w:val="004D61C8"/>
    <w:rsid w:val="004F1C45"/>
    <w:rsid w:val="004F44F3"/>
    <w:rsid w:val="004F4CF9"/>
    <w:rsid w:val="004F5120"/>
    <w:rsid w:val="004F6A59"/>
    <w:rsid w:val="004F6EFD"/>
    <w:rsid w:val="00503676"/>
    <w:rsid w:val="00511434"/>
    <w:rsid w:val="005138B3"/>
    <w:rsid w:val="00514524"/>
    <w:rsid w:val="00516001"/>
    <w:rsid w:val="005165C7"/>
    <w:rsid w:val="0052163C"/>
    <w:rsid w:val="005219BD"/>
    <w:rsid w:val="005220D9"/>
    <w:rsid w:val="005224E8"/>
    <w:rsid w:val="0052328E"/>
    <w:rsid w:val="00524DCF"/>
    <w:rsid w:val="00537219"/>
    <w:rsid w:val="0054045C"/>
    <w:rsid w:val="00544C7E"/>
    <w:rsid w:val="00545E49"/>
    <w:rsid w:val="00552A3A"/>
    <w:rsid w:val="00555D28"/>
    <w:rsid w:val="005621EC"/>
    <w:rsid w:val="005647F9"/>
    <w:rsid w:val="005658DD"/>
    <w:rsid w:val="00566084"/>
    <w:rsid w:val="00572F97"/>
    <w:rsid w:val="005773A1"/>
    <w:rsid w:val="00580B75"/>
    <w:rsid w:val="00591E23"/>
    <w:rsid w:val="005A3825"/>
    <w:rsid w:val="005A65B9"/>
    <w:rsid w:val="005A698D"/>
    <w:rsid w:val="005C422B"/>
    <w:rsid w:val="005C59EA"/>
    <w:rsid w:val="005C7546"/>
    <w:rsid w:val="005D3721"/>
    <w:rsid w:val="005E3E7A"/>
    <w:rsid w:val="005E4CB2"/>
    <w:rsid w:val="005E7A53"/>
    <w:rsid w:val="005E7FCD"/>
    <w:rsid w:val="005F0CAA"/>
    <w:rsid w:val="005F76DD"/>
    <w:rsid w:val="00604A87"/>
    <w:rsid w:val="00604F07"/>
    <w:rsid w:val="0060733A"/>
    <w:rsid w:val="00615AC4"/>
    <w:rsid w:val="00615DBD"/>
    <w:rsid w:val="00621EBE"/>
    <w:rsid w:val="0062315C"/>
    <w:rsid w:val="0062394E"/>
    <w:rsid w:val="00623DDA"/>
    <w:rsid w:val="006250F1"/>
    <w:rsid w:val="0062579A"/>
    <w:rsid w:val="00626B8A"/>
    <w:rsid w:val="00631304"/>
    <w:rsid w:val="00632D24"/>
    <w:rsid w:val="00633599"/>
    <w:rsid w:val="00635154"/>
    <w:rsid w:val="006400B9"/>
    <w:rsid w:val="0064093B"/>
    <w:rsid w:val="00643756"/>
    <w:rsid w:val="00647357"/>
    <w:rsid w:val="0065026C"/>
    <w:rsid w:val="006503F2"/>
    <w:rsid w:val="00650498"/>
    <w:rsid w:val="00651D63"/>
    <w:rsid w:val="00653C24"/>
    <w:rsid w:val="00653D49"/>
    <w:rsid w:val="00654394"/>
    <w:rsid w:val="00654B21"/>
    <w:rsid w:val="006563AE"/>
    <w:rsid w:val="00661B7D"/>
    <w:rsid w:val="00666CD9"/>
    <w:rsid w:val="00670026"/>
    <w:rsid w:val="006704E5"/>
    <w:rsid w:val="00671F2D"/>
    <w:rsid w:val="00681BD4"/>
    <w:rsid w:val="00681E2F"/>
    <w:rsid w:val="00681FC0"/>
    <w:rsid w:val="006829A7"/>
    <w:rsid w:val="00682DBF"/>
    <w:rsid w:val="00687036"/>
    <w:rsid w:val="00687259"/>
    <w:rsid w:val="006921D5"/>
    <w:rsid w:val="00692AB2"/>
    <w:rsid w:val="006961A6"/>
    <w:rsid w:val="00696890"/>
    <w:rsid w:val="006A17C3"/>
    <w:rsid w:val="006A193F"/>
    <w:rsid w:val="006A3EAA"/>
    <w:rsid w:val="006A4FCD"/>
    <w:rsid w:val="006A6602"/>
    <w:rsid w:val="006C0B05"/>
    <w:rsid w:val="006C2AC7"/>
    <w:rsid w:val="006C3298"/>
    <w:rsid w:val="006C3FE7"/>
    <w:rsid w:val="006C408D"/>
    <w:rsid w:val="006C447E"/>
    <w:rsid w:val="006D163C"/>
    <w:rsid w:val="006D243D"/>
    <w:rsid w:val="006D3F5F"/>
    <w:rsid w:val="006D6161"/>
    <w:rsid w:val="006D627D"/>
    <w:rsid w:val="006E0BAF"/>
    <w:rsid w:val="006E2DB2"/>
    <w:rsid w:val="006E5237"/>
    <w:rsid w:val="006E6486"/>
    <w:rsid w:val="006E69E0"/>
    <w:rsid w:val="006F0654"/>
    <w:rsid w:val="006F1838"/>
    <w:rsid w:val="006F2CAE"/>
    <w:rsid w:val="006F4720"/>
    <w:rsid w:val="006F5585"/>
    <w:rsid w:val="006F760D"/>
    <w:rsid w:val="00700F44"/>
    <w:rsid w:val="00703A64"/>
    <w:rsid w:val="00704B57"/>
    <w:rsid w:val="007051A8"/>
    <w:rsid w:val="00713610"/>
    <w:rsid w:val="00716A71"/>
    <w:rsid w:val="00720258"/>
    <w:rsid w:val="00721B23"/>
    <w:rsid w:val="00722B5C"/>
    <w:rsid w:val="00723066"/>
    <w:rsid w:val="007241D0"/>
    <w:rsid w:val="00724542"/>
    <w:rsid w:val="00726273"/>
    <w:rsid w:val="00730384"/>
    <w:rsid w:val="00733623"/>
    <w:rsid w:val="007360AF"/>
    <w:rsid w:val="00740C17"/>
    <w:rsid w:val="00742CD3"/>
    <w:rsid w:val="00745B12"/>
    <w:rsid w:val="00745CB4"/>
    <w:rsid w:val="00746099"/>
    <w:rsid w:val="00753CB3"/>
    <w:rsid w:val="007562DD"/>
    <w:rsid w:val="00764FE9"/>
    <w:rsid w:val="00765D1E"/>
    <w:rsid w:val="0076610F"/>
    <w:rsid w:val="0076784A"/>
    <w:rsid w:val="007718C0"/>
    <w:rsid w:val="007731E6"/>
    <w:rsid w:val="00773395"/>
    <w:rsid w:val="00775517"/>
    <w:rsid w:val="007820F8"/>
    <w:rsid w:val="00786210"/>
    <w:rsid w:val="007917E1"/>
    <w:rsid w:val="007940CC"/>
    <w:rsid w:val="00794EE4"/>
    <w:rsid w:val="0079568B"/>
    <w:rsid w:val="00796B1C"/>
    <w:rsid w:val="0079789A"/>
    <w:rsid w:val="007A08D1"/>
    <w:rsid w:val="007A5847"/>
    <w:rsid w:val="007B53C9"/>
    <w:rsid w:val="007B6BC4"/>
    <w:rsid w:val="007C10D3"/>
    <w:rsid w:val="007C3DEE"/>
    <w:rsid w:val="007C5792"/>
    <w:rsid w:val="007C7921"/>
    <w:rsid w:val="007E42D5"/>
    <w:rsid w:val="007E51FC"/>
    <w:rsid w:val="007E6897"/>
    <w:rsid w:val="007F1DB4"/>
    <w:rsid w:val="007F1EF3"/>
    <w:rsid w:val="007F30FC"/>
    <w:rsid w:val="007F748E"/>
    <w:rsid w:val="0081072F"/>
    <w:rsid w:val="00810C0F"/>
    <w:rsid w:val="008112D1"/>
    <w:rsid w:val="008115F9"/>
    <w:rsid w:val="0081292F"/>
    <w:rsid w:val="00820963"/>
    <w:rsid w:val="00820AD3"/>
    <w:rsid w:val="00823E2D"/>
    <w:rsid w:val="008242C6"/>
    <w:rsid w:val="00825127"/>
    <w:rsid w:val="00825903"/>
    <w:rsid w:val="00826C08"/>
    <w:rsid w:val="00830813"/>
    <w:rsid w:val="00832565"/>
    <w:rsid w:val="00833545"/>
    <w:rsid w:val="008337BE"/>
    <w:rsid w:val="00834556"/>
    <w:rsid w:val="00835852"/>
    <w:rsid w:val="00836637"/>
    <w:rsid w:val="008379A9"/>
    <w:rsid w:val="00840C57"/>
    <w:rsid w:val="0084518D"/>
    <w:rsid w:val="00845C71"/>
    <w:rsid w:val="0084632B"/>
    <w:rsid w:val="008470B9"/>
    <w:rsid w:val="0085593C"/>
    <w:rsid w:val="0085653F"/>
    <w:rsid w:val="008637FD"/>
    <w:rsid w:val="00864366"/>
    <w:rsid w:val="00865AD6"/>
    <w:rsid w:val="00872867"/>
    <w:rsid w:val="00876725"/>
    <w:rsid w:val="00876C9F"/>
    <w:rsid w:val="00881955"/>
    <w:rsid w:val="00881F02"/>
    <w:rsid w:val="00882198"/>
    <w:rsid w:val="008837E5"/>
    <w:rsid w:val="00886F9B"/>
    <w:rsid w:val="008905B2"/>
    <w:rsid w:val="00892330"/>
    <w:rsid w:val="008924F2"/>
    <w:rsid w:val="00897838"/>
    <w:rsid w:val="008A2CE3"/>
    <w:rsid w:val="008A36B6"/>
    <w:rsid w:val="008A39EF"/>
    <w:rsid w:val="008B390C"/>
    <w:rsid w:val="008B5BE2"/>
    <w:rsid w:val="008C08BA"/>
    <w:rsid w:val="008C18AA"/>
    <w:rsid w:val="008C38C0"/>
    <w:rsid w:val="008C7A8E"/>
    <w:rsid w:val="008D428C"/>
    <w:rsid w:val="008D5012"/>
    <w:rsid w:val="008D58B8"/>
    <w:rsid w:val="008D643B"/>
    <w:rsid w:val="008D64FC"/>
    <w:rsid w:val="008E0906"/>
    <w:rsid w:val="008E1B3D"/>
    <w:rsid w:val="008E24EE"/>
    <w:rsid w:val="008E79E8"/>
    <w:rsid w:val="008F2C3A"/>
    <w:rsid w:val="009031A1"/>
    <w:rsid w:val="00904C4E"/>
    <w:rsid w:val="00905A48"/>
    <w:rsid w:val="009074EE"/>
    <w:rsid w:val="00910784"/>
    <w:rsid w:val="00911573"/>
    <w:rsid w:val="009144D2"/>
    <w:rsid w:val="00915443"/>
    <w:rsid w:val="009169B0"/>
    <w:rsid w:val="00917284"/>
    <w:rsid w:val="0092654C"/>
    <w:rsid w:val="00926A26"/>
    <w:rsid w:val="00927849"/>
    <w:rsid w:val="009300B9"/>
    <w:rsid w:val="009312AC"/>
    <w:rsid w:val="009323A1"/>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5E9C"/>
    <w:rsid w:val="0097700C"/>
    <w:rsid w:val="009776D6"/>
    <w:rsid w:val="00977DE7"/>
    <w:rsid w:val="00980A5A"/>
    <w:rsid w:val="00982BF3"/>
    <w:rsid w:val="0098688B"/>
    <w:rsid w:val="00991FCF"/>
    <w:rsid w:val="009920AB"/>
    <w:rsid w:val="00992438"/>
    <w:rsid w:val="00994473"/>
    <w:rsid w:val="00996B1F"/>
    <w:rsid w:val="009A088F"/>
    <w:rsid w:val="009A0AC1"/>
    <w:rsid w:val="009A0E37"/>
    <w:rsid w:val="009A499C"/>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486F"/>
    <w:rsid w:val="009E1CC4"/>
    <w:rsid w:val="009E45FC"/>
    <w:rsid w:val="009E6210"/>
    <w:rsid w:val="009E6B58"/>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5B85"/>
    <w:rsid w:val="00A404B4"/>
    <w:rsid w:val="00A419CD"/>
    <w:rsid w:val="00A46188"/>
    <w:rsid w:val="00A507B5"/>
    <w:rsid w:val="00A50E87"/>
    <w:rsid w:val="00A52CD2"/>
    <w:rsid w:val="00A54290"/>
    <w:rsid w:val="00A555DC"/>
    <w:rsid w:val="00A600B3"/>
    <w:rsid w:val="00A615A0"/>
    <w:rsid w:val="00A632F9"/>
    <w:rsid w:val="00A72DBA"/>
    <w:rsid w:val="00A74FE4"/>
    <w:rsid w:val="00A75B8A"/>
    <w:rsid w:val="00A767FE"/>
    <w:rsid w:val="00A76E90"/>
    <w:rsid w:val="00A76E97"/>
    <w:rsid w:val="00A76F49"/>
    <w:rsid w:val="00A807BE"/>
    <w:rsid w:val="00A81EF5"/>
    <w:rsid w:val="00A86A71"/>
    <w:rsid w:val="00A8703F"/>
    <w:rsid w:val="00A90D91"/>
    <w:rsid w:val="00A910B5"/>
    <w:rsid w:val="00A946FD"/>
    <w:rsid w:val="00A94BFA"/>
    <w:rsid w:val="00AA152E"/>
    <w:rsid w:val="00AA1551"/>
    <w:rsid w:val="00AA24C4"/>
    <w:rsid w:val="00AA3481"/>
    <w:rsid w:val="00AA3EEB"/>
    <w:rsid w:val="00AA4BAF"/>
    <w:rsid w:val="00AA617D"/>
    <w:rsid w:val="00AA74D8"/>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F1B4D"/>
    <w:rsid w:val="00AF280B"/>
    <w:rsid w:val="00AF35C2"/>
    <w:rsid w:val="00AF3B7B"/>
    <w:rsid w:val="00AF3D03"/>
    <w:rsid w:val="00AF4614"/>
    <w:rsid w:val="00AF5C3E"/>
    <w:rsid w:val="00AF76F5"/>
    <w:rsid w:val="00B01814"/>
    <w:rsid w:val="00B021C4"/>
    <w:rsid w:val="00B03427"/>
    <w:rsid w:val="00B04F20"/>
    <w:rsid w:val="00B07380"/>
    <w:rsid w:val="00B07515"/>
    <w:rsid w:val="00B1154B"/>
    <w:rsid w:val="00B13614"/>
    <w:rsid w:val="00B17F7D"/>
    <w:rsid w:val="00B20B87"/>
    <w:rsid w:val="00B23D7C"/>
    <w:rsid w:val="00B27748"/>
    <w:rsid w:val="00B32F83"/>
    <w:rsid w:val="00B3452F"/>
    <w:rsid w:val="00B35EDD"/>
    <w:rsid w:val="00B4292B"/>
    <w:rsid w:val="00B43087"/>
    <w:rsid w:val="00B52436"/>
    <w:rsid w:val="00B531AC"/>
    <w:rsid w:val="00B539E1"/>
    <w:rsid w:val="00B550FE"/>
    <w:rsid w:val="00B5515F"/>
    <w:rsid w:val="00B55E17"/>
    <w:rsid w:val="00B56870"/>
    <w:rsid w:val="00B57BE8"/>
    <w:rsid w:val="00B64A5B"/>
    <w:rsid w:val="00B67EFD"/>
    <w:rsid w:val="00B73807"/>
    <w:rsid w:val="00B755E8"/>
    <w:rsid w:val="00B81442"/>
    <w:rsid w:val="00B81AA6"/>
    <w:rsid w:val="00B83AD1"/>
    <w:rsid w:val="00B83D7F"/>
    <w:rsid w:val="00B87154"/>
    <w:rsid w:val="00B875E9"/>
    <w:rsid w:val="00B93C41"/>
    <w:rsid w:val="00B946C7"/>
    <w:rsid w:val="00B95FBF"/>
    <w:rsid w:val="00BA1626"/>
    <w:rsid w:val="00BA18C4"/>
    <w:rsid w:val="00BA2729"/>
    <w:rsid w:val="00BA2CF1"/>
    <w:rsid w:val="00BB0609"/>
    <w:rsid w:val="00BB0753"/>
    <w:rsid w:val="00BC17DF"/>
    <w:rsid w:val="00BC1A6F"/>
    <w:rsid w:val="00BC4980"/>
    <w:rsid w:val="00BC6CB2"/>
    <w:rsid w:val="00BD13C2"/>
    <w:rsid w:val="00BD2EF6"/>
    <w:rsid w:val="00BD6646"/>
    <w:rsid w:val="00BD7DC3"/>
    <w:rsid w:val="00BE4ABB"/>
    <w:rsid w:val="00BE63B4"/>
    <w:rsid w:val="00BE7578"/>
    <w:rsid w:val="00BF1D59"/>
    <w:rsid w:val="00BF2722"/>
    <w:rsid w:val="00BF3553"/>
    <w:rsid w:val="00BF5831"/>
    <w:rsid w:val="00C00C9B"/>
    <w:rsid w:val="00C01BD0"/>
    <w:rsid w:val="00C03FD4"/>
    <w:rsid w:val="00C07B30"/>
    <w:rsid w:val="00C138FD"/>
    <w:rsid w:val="00C1571A"/>
    <w:rsid w:val="00C15823"/>
    <w:rsid w:val="00C217D4"/>
    <w:rsid w:val="00C24CFE"/>
    <w:rsid w:val="00C254F7"/>
    <w:rsid w:val="00C267B6"/>
    <w:rsid w:val="00C275AC"/>
    <w:rsid w:val="00C30B51"/>
    <w:rsid w:val="00C35939"/>
    <w:rsid w:val="00C40F99"/>
    <w:rsid w:val="00C42BDD"/>
    <w:rsid w:val="00C43646"/>
    <w:rsid w:val="00C50DB0"/>
    <w:rsid w:val="00C50DE5"/>
    <w:rsid w:val="00C56664"/>
    <w:rsid w:val="00C57091"/>
    <w:rsid w:val="00C60905"/>
    <w:rsid w:val="00C62B04"/>
    <w:rsid w:val="00C631BE"/>
    <w:rsid w:val="00C64A9F"/>
    <w:rsid w:val="00C6781D"/>
    <w:rsid w:val="00C74B5A"/>
    <w:rsid w:val="00C753D1"/>
    <w:rsid w:val="00C7732B"/>
    <w:rsid w:val="00C83F62"/>
    <w:rsid w:val="00C870DF"/>
    <w:rsid w:val="00C901E3"/>
    <w:rsid w:val="00C932D6"/>
    <w:rsid w:val="00C943BA"/>
    <w:rsid w:val="00C96276"/>
    <w:rsid w:val="00CA08A5"/>
    <w:rsid w:val="00CA39BC"/>
    <w:rsid w:val="00CA681E"/>
    <w:rsid w:val="00CA70B1"/>
    <w:rsid w:val="00CA73F8"/>
    <w:rsid w:val="00CA7C66"/>
    <w:rsid w:val="00CB3A51"/>
    <w:rsid w:val="00CB412A"/>
    <w:rsid w:val="00CB4F57"/>
    <w:rsid w:val="00CB64A1"/>
    <w:rsid w:val="00CB788D"/>
    <w:rsid w:val="00CB7FB4"/>
    <w:rsid w:val="00CC182F"/>
    <w:rsid w:val="00CC27AA"/>
    <w:rsid w:val="00CC38E6"/>
    <w:rsid w:val="00CC6EDE"/>
    <w:rsid w:val="00CD011B"/>
    <w:rsid w:val="00CD21BB"/>
    <w:rsid w:val="00CD70C5"/>
    <w:rsid w:val="00CE24F2"/>
    <w:rsid w:val="00CE5559"/>
    <w:rsid w:val="00CE56F6"/>
    <w:rsid w:val="00CE77C6"/>
    <w:rsid w:val="00CF23CE"/>
    <w:rsid w:val="00CF2BBB"/>
    <w:rsid w:val="00CF4057"/>
    <w:rsid w:val="00CF5176"/>
    <w:rsid w:val="00D07294"/>
    <w:rsid w:val="00D10FB5"/>
    <w:rsid w:val="00D11833"/>
    <w:rsid w:val="00D12F6A"/>
    <w:rsid w:val="00D20C33"/>
    <w:rsid w:val="00D21E51"/>
    <w:rsid w:val="00D252E2"/>
    <w:rsid w:val="00D2640B"/>
    <w:rsid w:val="00D27354"/>
    <w:rsid w:val="00D30F78"/>
    <w:rsid w:val="00D3135C"/>
    <w:rsid w:val="00D33B87"/>
    <w:rsid w:val="00D33CEA"/>
    <w:rsid w:val="00D34432"/>
    <w:rsid w:val="00D3630E"/>
    <w:rsid w:val="00D376D6"/>
    <w:rsid w:val="00D461B8"/>
    <w:rsid w:val="00D47A59"/>
    <w:rsid w:val="00D47FB9"/>
    <w:rsid w:val="00D52FEE"/>
    <w:rsid w:val="00D53773"/>
    <w:rsid w:val="00D55AF4"/>
    <w:rsid w:val="00D63118"/>
    <w:rsid w:val="00D64765"/>
    <w:rsid w:val="00D64FA2"/>
    <w:rsid w:val="00D66281"/>
    <w:rsid w:val="00D67470"/>
    <w:rsid w:val="00D67894"/>
    <w:rsid w:val="00D74FA0"/>
    <w:rsid w:val="00D7517C"/>
    <w:rsid w:val="00D75603"/>
    <w:rsid w:val="00D76B2B"/>
    <w:rsid w:val="00D77ED9"/>
    <w:rsid w:val="00D83E37"/>
    <w:rsid w:val="00D90356"/>
    <w:rsid w:val="00D95B4D"/>
    <w:rsid w:val="00D97508"/>
    <w:rsid w:val="00DA0D31"/>
    <w:rsid w:val="00DA2758"/>
    <w:rsid w:val="00DB0ABA"/>
    <w:rsid w:val="00DB123B"/>
    <w:rsid w:val="00DB2459"/>
    <w:rsid w:val="00DB6514"/>
    <w:rsid w:val="00DB6CCE"/>
    <w:rsid w:val="00DC0807"/>
    <w:rsid w:val="00DC2422"/>
    <w:rsid w:val="00DC5B89"/>
    <w:rsid w:val="00DD5D75"/>
    <w:rsid w:val="00DD6744"/>
    <w:rsid w:val="00DD6F3E"/>
    <w:rsid w:val="00DD7B53"/>
    <w:rsid w:val="00DE12CC"/>
    <w:rsid w:val="00DE32F1"/>
    <w:rsid w:val="00DE4249"/>
    <w:rsid w:val="00DE475A"/>
    <w:rsid w:val="00DE5073"/>
    <w:rsid w:val="00DE5258"/>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2D7E"/>
    <w:rsid w:val="00E17A20"/>
    <w:rsid w:val="00E31ADC"/>
    <w:rsid w:val="00E3477D"/>
    <w:rsid w:val="00E350DB"/>
    <w:rsid w:val="00E359E5"/>
    <w:rsid w:val="00E372D0"/>
    <w:rsid w:val="00E41B61"/>
    <w:rsid w:val="00E42518"/>
    <w:rsid w:val="00E4259A"/>
    <w:rsid w:val="00E4695B"/>
    <w:rsid w:val="00E54C1C"/>
    <w:rsid w:val="00E551FF"/>
    <w:rsid w:val="00E57DB8"/>
    <w:rsid w:val="00E631B2"/>
    <w:rsid w:val="00E63473"/>
    <w:rsid w:val="00E7199A"/>
    <w:rsid w:val="00E76885"/>
    <w:rsid w:val="00E7723C"/>
    <w:rsid w:val="00E80E8C"/>
    <w:rsid w:val="00E86B75"/>
    <w:rsid w:val="00E86F47"/>
    <w:rsid w:val="00E92023"/>
    <w:rsid w:val="00E93C45"/>
    <w:rsid w:val="00E95008"/>
    <w:rsid w:val="00E954EE"/>
    <w:rsid w:val="00EA0A53"/>
    <w:rsid w:val="00EA4341"/>
    <w:rsid w:val="00EB2694"/>
    <w:rsid w:val="00EB3E83"/>
    <w:rsid w:val="00EB56CB"/>
    <w:rsid w:val="00EC015E"/>
    <w:rsid w:val="00EC2CC3"/>
    <w:rsid w:val="00EC2EEB"/>
    <w:rsid w:val="00EC3652"/>
    <w:rsid w:val="00EC6708"/>
    <w:rsid w:val="00EC6AD2"/>
    <w:rsid w:val="00EE1D77"/>
    <w:rsid w:val="00EE2116"/>
    <w:rsid w:val="00EE5578"/>
    <w:rsid w:val="00EE601F"/>
    <w:rsid w:val="00EE6975"/>
    <w:rsid w:val="00EF559D"/>
    <w:rsid w:val="00F034BD"/>
    <w:rsid w:val="00F03F39"/>
    <w:rsid w:val="00F0406A"/>
    <w:rsid w:val="00F0423F"/>
    <w:rsid w:val="00F068D8"/>
    <w:rsid w:val="00F07019"/>
    <w:rsid w:val="00F07BDD"/>
    <w:rsid w:val="00F106B6"/>
    <w:rsid w:val="00F163B2"/>
    <w:rsid w:val="00F22856"/>
    <w:rsid w:val="00F243CD"/>
    <w:rsid w:val="00F2508C"/>
    <w:rsid w:val="00F25E87"/>
    <w:rsid w:val="00F26391"/>
    <w:rsid w:val="00F27174"/>
    <w:rsid w:val="00F3004C"/>
    <w:rsid w:val="00F31EB5"/>
    <w:rsid w:val="00F3348D"/>
    <w:rsid w:val="00F3401D"/>
    <w:rsid w:val="00F34494"/>
    <w:rsid w:val="00F37E40"/>
    <w:rsid w:val="00F400D6"/>
    <w:rsid w:val="00F40132"/>
    <w:rsid w:val="00F453FB"/>
    <w:rsid w:val="00F47F79"/>
    <w:rsid w:val="00F52E6B"/>
    <w:rsid w:val="00F53D1C"/>
    <w:rsid w:val="00F547F3"/>
    <w:rsid w:val="00F54922"/>
    <w:rsid w:val="00F54E60"/>
    <w:rsid w:val="00F603DB"/>
    <w:rsid w:val="00F6070C"/>
    <w:rsid w:val="00F64565"/>
    <w:rsid w:val="00F66C86"/>
    <w:rsid w:val="00F705F4"/>
    <w:rsid w:val="00F72B5E"/>
    <w:rsid w:val="00F7753D"/>
    <w:rsid w:val="00F83A1F"/>
    <w:rsid w:val="00F850E2"/>
    <w:rsid w:val="00F856EA"/>
    <w:rsid w:val="00F85FB9"/>
    <w:rsid w:val="00F87BAF"/>
    <w:rsid w:val="00F90F02"/>
    <w:rsid w:val="00F9192D"/>
    <w:rsid w:val="00F932C3"/>
    <w:rsid w:val="00F93B57"/>
    <w:rsid w:val="00F951B5"/>
    <w:rsid w:val="00FA4DE8"/>
    <w:rsid w:val="00FB5CB5"/>
    <w:rsid w:val="00FC1C51"/>
    <w:rsid w:val="00FC574A"/>
    <w:rsid w:val="00FC6C73"/>
    <w:rsid w:val="00FD14D9"/>
    <w:rsid w:val="00FD41A6"/>
    <w:rsid w:val="00FD4C49"/>
    <w:rsid w:val="00FD5763"/>
    <w:rsid w:val="00FD5857"/>
    <w:rsid w:val="00FD656F"/>
    <w:rsid w:val="00FD74D5"/>
    <w:rsid w:val="00FD79EF"/>
    <w:rsid w:val="00FE08DA"/>
    <w:rsid w:val="00FE1FEE"/>
    <w:rsid w:val="00FE32C3"/>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f49100" strokecolor="#f49100">
      <v:fill color="#f49100" on="f"/>
      <v:stroke color="#f49100"/>
      <o:colormru v:ext="edit" colors="#f49100,#8f9286"/>
    </o:shapedefaults>
    <o:shapelayout v:ext="edit">
      <o:idmap v:ext="edit" data="1"/>
    </o:shapelayout>
  </w:shapeDefaults>
  <w:decimalSymbol w:val=","/>
  <w:listSeparator w:val=";"/>
  <w14:docId w14:val="1EA9167B"/>
  <w15:docId w15:val="{71D46938-ECB3-4112-BB60-2F17072F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613"/>
    <w:pPr>
      <w:keepNext/>
      <w:spacing w:after="240"/>
      <w:jc w:val="both"/>
    </w:pPr>
    <w:rPr>
      <w:lang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22856"/>
    <w:pPr>
      <w:tabs>
        <w:tab w:val="center" w:pos="4536"/>
        <w:tab w:val="right" w:pos="9072"/>
      </w:tabs>
      <w:spacing w:after="120"/>
    </w:pPr>
    <w:rPr>
      <w:sz w:val="18"/>
    </w:rPr>
  </w:style>
  <w:style w:type="paragraph" w:styleId="Header">
    <w:name w:val="header"/>
    <w:basedOn w:val="Normal"/>
    <w:link w:val="HeaderChar"/>
    <w:uiPriority w:val="99"/>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eastAsia="sk-SK"/>
    </w:rPr>
  </w:style>
  <w:style w:type="paragraph" w:customStyle="1" w:styleId="dotabulky">
    <w:name w:val="do tabulky"/>
    <w:basedOn w:val="BodyText"/>
    <w:rsid w:val="00742CD3"/>
    <w:pPr>
      <w:keepNext w:val="0"/>
      <w:spacing w:before="40" w:after="0"/>
    </w:pPr>
    <w:rPr>
      <w:sz w:val="24"/>
      <w:szCs w:val="24"/>
      <w:lang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rPr>
  </w:style>
  <w:style w:type="paragraph" w:customStyle="1" w:styleId="Tabulka">
    <w:name w:val="Tabulka"/>
    <w:basedOn w:val="Normal"/>
    <w:rsid w:val="00955F91"/>
    <w:pPr>
      <w:keepNext w:val="0"/>
      <w:spacing w:after="0"/>
      <w:jc w:val="left"/>
    </w:pPr>
    <w:rPr>
      <w:color w:val="000000"/>
      <w:sz w:val="18"/>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paragraph" w:styleId="ListParagraph">
    <w:name w:val="List Paragraph"/>
    <w:basedOn w:val="Normal"/>
    <w:uiPriority w:val="34"/>
    <w:qFormat/>
    <w:rsid w:val="002A6B69"/>
    <w:pPr>
      <w:ind w:left="720"/>
      <w:contextualSpacing/>
    </w:pPr>
  </w:style>
  <w:style w:type="paragraph" w:customStyle="1" w:styleId="Default">
    <w:name w:val="Default"/>
    <w:rsid w:val="00654B21"/>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uiPriority w:val="99"/>
    <w:rsid w:val="00F72B5E"/>
    <w:rPr>
      <w:lang w:val="cs-CZ" w:eastAsia="en-US"/>
    </w:rPr>
  </w:style>
  <w:style w:type="character" w:styleId="CommentReference">
    <w:name w:val="annotation reference"/>
    <w:basedOn w:val="DefaultParagraphFont"/>
    <w:rsid w:val="00865AD6"/>
    <w:rPr>
      <w:sz w:val="16"/>
      <w:szCs w:val="16"/>
    </w:rPr>
  </w:style>
  <w:style w:type="paragraph" w:styleId="CommentText">
    <w:name w:val="annotation text"/>
    <w:basedOn w:val="Normal"/>
    <w:link w:val="CommentTextChar"/>
    <w:rsid w:val="00865AD6"/>
  </w:style>
  <w:style w:type="character" w:customStyle="1" w:styleId="CommentTextChar">
    <w:name w:val="Comment Text Char"/>
    <w:basedOn w:val="DefaultParagraphFont"/>
    <w:link w:val="CommentText"/>
    <w:rsid w:val="00865AD6"/>
    <w:rPr>
      <w:lang w:val="cs-CZ" w:eastAsia="en-US"/>
    </w:rPr>
  </w:style>
  <w:style w:type="paragraph" w:styleId="CommentSubject">
    <w:name w:val="annotation subject"/>
    <w:basedOn w:val="CommentText"/>
    <w:next w:val="CommentText"/>
    <w:link w:val="CommentSubjectChar"/>
    <w:rsid w:val="00865AD6"/>
    <w:rPr>
      <w:b/>
      <w:bCs/>
    </w:rPr>
  </w:style>
  <w:style w:type="character" w:customStyle="1" w:styleId="CommentSubjectChar">
    <w:name w:val="Comment Subject Char"/>
    <w:basedOn w:val="CommentTextChar"/>
    <w:link w:val="CommentSubject"/>
    <w:rsid w:val="00865AD6"/>
    <w:rPr>
      <w:b/>
      <w:bCs/>
      <w:lang w:val="cs-CZ" w:eastAsia="en-US"/>
    </w:rPr>
  </w:style>
  <w:style w:type="paragraph" w:styleId="NormalWeb">
    <w:name w:val="Normal (Web)"/>
    <w:basedOn w:val="Normal"/>
    <w:uiPriority w:val="99"/>
    <w:unhideWhenUsed/>
    <w:rsid w:val="00872867"/>
    <w:pPr>
      <w:keepNext w:val="0"/>
      <w:spacing w:before="100" w:beforeAutospacing="1" w:after="100" w:afterAutospacing="1"/>
      <w:jc w:val="left"/>
    </w:pPr>
    <w:rPr>
      <w:sz w:val="24"/>
      <w:szCs w:val="24"/>
      <w:lang w:eastAsia="sk-SK"/>
    </w:rPr>
  </w:style>
  <w:style w:type="character" w:customStyle="1" w:styleId="FooterChar">
    <w:name w:val="Footer Char"/>
    <w:basedOn w:val="DefaultParagraphFont"/>
    <w:link w:val="Footer"/>
    <w:uiPriority w:val="99"/>
    <w:rsid w:val="00C1571A"/>
    <w:rPr>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2994509">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3634976">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61061961">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09689704">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7858530">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CFBB2-9A6B-4D7B-B356-9467E0CEF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84</TotalTime>
  <Pages>4</Pages>
  <Words>1179</Words>
  <Characters>6722</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Dentsu Aegis Network</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MDudov01</cp:lastModifiedBy>
  <cp:revision>2</cp:revision>
  <cp:lastPrinted>2017-04-19T09:13:00Z</cp:lastPrinted>
  <dcterms:created xsi:type="dcterms:W3CDTF">2016-06-13T09:23:00Z</dcterms:created>
  <dcterms:modified xsi:type="dcterms:W3CDTF">2018-05-23T07:05:00Z</dcterms:modified>
</cp:coreProperties>
</file>