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0D9" w:rsidRPr="00692534" w:rsidRDefault="002E00D9" w:rsidP="00621C3B">
      <w:pPr>
        <w:pStyle w:val="NoSpacing"/>
        <w:jc w:val="center"/>
        <w:rPr>
          <w:rFonts w:ascii="Arial" w:hAnsi="Arial" w:cs="Arial"/>
          <w:b/>
        </w:rPr>
      </w:pPr>
      <w:bookmarkStart w:id="0" w:name="_GoBack"/>
      <w:bookmarkEnd w:id="0"/>
      <w:r w:rsidRPr="00692534">
        <w:rPr>
          <w:rFonts w:ascii="Arial" w:hAnsi="Arial" w:cs="Arial"/>
          <w:b/>
        </w:rPr>
        <w:t>Čl. I</w:t>
      </w:r>
    </w:p>
    <w:p w:rsidR="002E00D9" w:rsidRPr="00692534" w:rsidRDefault="002E00D9" w:rsidP="00621C3B">
      <w:pPr>
        <w:pStyle w:val="NoSpacing"/>
        <w:jc w:val="center"/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Všeobecné údaje</w:t>
      </w:r>
    </w:p>
    <w:p w:rsidR="002E00D9" w:rsidRDefault="002E00D9" w:rsidP="002639C7">
      <w:pPr>
        <w:pStyle w:val="NoSpacing"/>
      </w:pPr>
    </w:p>
    <w:p w:rsidR="002E00D9" w:rsidRPr="00692534" w:rsidRDefault="002E00D9" w:rsidP="00594DA1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</w:rPr>
      </w:pPr>
      <w:r w:rsidRPr="00692534">
        <w:rPr>
          <w:rFonts w:ascii="Arial" w:hAnsi="Arial" w:cs="Arial"/>
          <w:b/>
          <w:bCs/>
          <w:lang w:eastAsia="sk-SK"/>
        </w:rPr>
        <w:t xml:space="preserve">Názov právnickej osoby: </w:t>
      </w:r>
      <w:r>
        <w:rPr>
          <w:rFonts w:ascii="Arial" w:hAnsi="Arial" w:cs="Arial"/>
          <w:b/>
          <w:bCs/>
          <w:lang w:eastAsia="sk-SK"/>
        </w:rPr>
        <w:t>Marteno s.r.o.</w:t>
      </w:r>
    </w:p>
    <w:p w:rsidR="002E00D9" w:rsidRPr="00692534" w:rsidRDefault="002E00D9" w:rsidP="00594DA1">
      <w:pPr>
        <w:spacing w:after="0" w:line="240" w:lineRule="auto"/>
        <w:ind w:firstLine="360"/>
        <w:rPr>
          <w:rFonts w:ascii="Arial" w:hAnsi="Arial" w:cs="Arial"/>
        </w:rPr>
      </w:pPr>
      <w:r w:rsidRPr="00594DA1">
        <w:rPr>
          <w:rFonts w:ascii="Arial" w:hAnsi="Arial" w:cs="Arial"/>
          <w:b/>
          <w:bCs/>
          <w:lang w:eastAsia="sk-SK"/>
        </w:rPr>
        <w:t>Sídlo:</w:t>
      </w:r>
      <w:r w:rsidRPr="006B073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Panenská 24</w:t>
      </w:r>
      <w:r w:rsidRPr="00594DA1">
        <w:rPr>
          <w:rFonts w:ascii="Arial" w:hAnsi="Arial" w:cs="Arial"/>
          <w:b/>
          <w:bCs/>
          <w:lang w:eastAsia="sk-SK"/>
        </w:rPr>
        <w:t xml:space="preserve"> </w:t>
      </w:r>
      <w:r w:rsidRPr="0069253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811 03</w:t>
      </w:r>
      <w:r w:rsidRPr="00692534">
        <w:rPr>
          <w:rFonts w:ascii="Arial" w:hAnsi="Arial" w:cs="Arial"/>
        </w:rPr>
        <w:t xml:space="preserve">  Bratislava</w:t>
      </w:r>
      <w:r>
        <w:rPr>
          <w:rFonts w:ascii="Arial" w:hAnsi="Arial" w:cs="Arial"/>
        </w:rPr>
        <w:t xml:space="preserve"> </w:t>
      </w:r>
    </w:p>
    <w:p w:rsidR="002E00D9" w:rsidRPr="00692534" w:rsidRDefault="002E00D9" w:rsidP="00621C3B">
      <w:pPr>
        <w:pStyle w:val="NoSpacing"/>
        <w:rPr>
          <w:rFonts w:ascii="Arial" w:hAnsi="Arial" w:cs="Arial"/>
        </w:rPr>
      </w:pPr>
    </w:p>
    <w:p w:rsidR="002E00D9" w:rsidRPr="00692534" w:rsidRDefault="002E00D9" w:rsidP="00594DA1">
      <w:pPr>
        <w:pStyle w:val="NoSpacing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 xml:space="preserve">Dátum založenia: Dátum vzniku: </w:t>
      </w:r>
      <w:r>
        <w:rPr>
          <w:rFonts w:ascii="Arial" w:hAnsi="Arial" w:cs="Arial"/>
        </w:rPr>
        <w:t>10.12</w:t>
      </w:r>
      <w:r w:rsidRPr="00692534">
        <w:rPr>
          <w:rFonts w:ascii="Arial" w:hAnsi="Arial" w:cs="Arial"/>
        </w:rPr>
        <w:t>.</w:t>
      </w:r>
      <w:r>
        <w:rPr>
          <w:rFonts w:ascii="Arial" w:hAnsi="Arial" w:cs="Arial"/>
        </w:rPr>
        <w:t>2009</w:t>
      </w:r>
    </w:p>
    <w:p w:rsidR="002E00D9" w:rsidRPr="00692534" w:rsidRDefault="002E00D9" w:rsidP="00621C3B">
      <w:pPr>
        <w:pStyle w:val="NoSpacing"/>
        <w:rPr>
          <w:rFonts w:ascii="Arial" w:hAnsi="Arial" w:cs="Arial"/>
        </w:rPr>
      </w:pPr>
    </w:p>
    <w:p w:rsidR="002E00D9" w:rsidRPr="00692534" w:rsidRDefault="002E00D9" w:rsidP="00594DA1">
      <w:pPr>
        <w:pStyle w:val="NoSpacing"/>
        <w:numPr>
          <w:ilvl w:val="0"/>
          <w:numId w:val="12"/>
        </w:numPr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Údaje o konsolidovanom celku:</w:t>
      </w:r>
    </w:p>
    <w:p w:rsidR="002E00D9" w:rsidRPr="00692534" w:rsidRDefault="002E00D9" w:rsidP="00594DA1">
      <w:pPr>
        <w:pStyle w:val="NoSpacing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>Spoločnosť nepodlieha konsolidácii v zmysle Zákona o účtovníctve č. 431/2002.</w:t>
      </w:r>
    </w:p>
    <w:p w:rsidR="002E00D9" w:rsidRPr="00692534" w:rsidRDefault="002E00D9" w:rsidP="00621C3B">
      <w:pPr>
        <w:pStyle w:val="NoSpacing"/>
        <w:rPr>
          <w:rFonts w:ascii="Arial" w:hAnsi="Arial" w:cs="Arial"/>
        </w:rPr>
      </w:pPr>
    </w:p>
    <w:p w:rsidR="002E00D9" w:rsidRPr="00692534" w:rsidRDefault="002E00D9" w:rsidP="00594DA1">
      <w:pPr>
        <w:pStyle w:val="NoSpacing"/>
        <w:numPr>
          <w:ilvl w:val="0"/>
          <w:numId w:val="12"/>
        </w:numPr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Priemerný prepočítaný počet zamestnancov:</w:t>
      </w:r>
    </w:p>
    <w:p w:rsidR="002E00D9" w:rsidRPr="00692534" w:rsidRDefault="002E00D9" w:rsidP="00594DA1">
      <w:pPr>
        <w:spacing w:after="0" w:line="240" w:lineRule="auto"/>
        <w:ind w:firstLine="360"/>
        <w:rPr>
          <w:rFonts w:ascii="Arial" w:hAnsi="Arial" w:cs="Arial"/>
          <w:color w:val="000000"/>
          <w:lang w:eastAsia="sk-SK"/>
        </w:rPr>
      </w:pPr>
      <w:r w:rsidRPr="00594DA1">
        <w:rPr>
          <w:rFonts w:ascii="Arial" w:hAnsi="Arial" w:cs="Arial"/>
          <w:color w:val="000000"/>
          <w:lang w:eastAsia="sk-SK"/>
        </w:rPr>
        <w:t>Priemerný prepočítaný počet zamestnancov spoločnosti  v roku 201</w:t>
      </w:r>
      <w:r>
        <w:rPr>
          <w:rFonts w:ascii="Arial" w:hAnsi="Arial" w:cs="Arial"/>
          <w:color w:val="000000"/>
          <w:lang w:eastAsia="sk-SK"/>
        </w:rPr>
        <w:t>7</w:t>
      </w:r>
      <w:r w:rsidRPr="00594DA1">
        <w:rPr>
          <w:rFonts w:ascii="Arial" w:hAnsi="Arial" w:cs="Arial"/>
          <w:color w:val="000000"/>
          <w:lang w:eastAsia="sk-SK"/>
        </w:rPr>
        <w:t xml:space="preserve"> bol </w:t>
      </w:r>
      <w:r>
        <w:rPr>
          <w:rFonts w:ascii="Arial" w:hAnsi="Arial" w:cs="Arial"/>
          <w:color w:val="000000"/>
          <w:lang w:eastAsia="sk-SK"/>
        </w:rPr>
        <w:t>2,6</w:t>
      </w:r>
      <w:r w:rsidRPr="00594DA1">
        <w:rPr>
          <w:rFonts w:ascii="Arial" w:hAnsi="Arial" w:cs="Arial"/>
          <w:color w:val="000000"/>
          <w:lang w:eastAsia="sk-SK"/>
        </w:rPr>
        <w:t>.</w:t>
      </w:r>
    </w:p>
    <w:p w:rsidR="002E00D9" w:rsidRPr="00692534" w:rsidRDefault="002E00D9" w:rsidP="00594DA1">
      <w:pPr>
        <w:pStyle w:val="NoSpacing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>Počet zamestnancov účtovnej jednotky</w:t>
      </w:r>
      <w:r>
        <w:rPr>
          <w:rFonts w:ascii="Arial" w:hAnsi="Arial" w:cs="Arial"/>
        </w:rPr>
        <w:t xml:space="preserve"> k 31.12.2016 bol 6.</w:t>
      </w:r>
    </w:p>
    <w:p w:rsidR="002E00D9" w:rsidRPr="00692534" w:rsidRDefault="002E00D9" w:rsidP="00621C3B">
      <w:pPr>
        <w:pStyle w:val="NoSpacing"/>
        <w:rPr>
          <w:rFonts w:ascii="Arial" w:hAnsi="Arial" w:cs="Arial"/>
        </w:rPr>
      </w:pPr>
    </w:p>
    <w:p w:rsidR="002E00D9" w:rsidRDefault="002E00D9" w:rsidP="00621C3B">
      <w:pPr>
        <w:pStyle w:val="NoSpacing"/>
      </w:pPr>
    </w:p>
    <w:p w:rsidR="002E00D9" w:rsidRDefault="002E00D9" w:rsidP="00621C3B">
      <w:pPr>
        <w:pStyle w:val="NoSpacing"/>
      </w:pPr>
    </w:p>
    <w:p w:rsidR="002E00D9" w:rsidRPr="00692534" w:rsidRDefault="002E00D9" w:rsidP="00621C3B">
      <w:pPr>
        <w:pStyle w:val="NoSpacing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Pr="00692534">
        <w:rPr>
          <w:rFonts w:ascii="Arial" w:hAnsi="Arial" w:cs="Arial"/>
          <w:b/>
        </w:rPr>
        <w:t>l. II</w:t>
      </w:r>
    </w:p>
    <w:p w:rsidR="002E00D9" w:rsidRPr="00692534" w:rsidRDefault="002E00D9" w:rsidP="00621C3B">
      <w:pPr>
        <w:pStyle w:val="NoSpacing"/>
        <w:jc w:val="center"/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Informácie o prijatých postupoch</w:t>
      </w:r>
    </w:p>
    <w:p w:rsidR="002E00D9" w:rsidRPr="00692534" w:rsidRDefault="002E00D9" w:rsidP="00621C3B">
      <w:pPr>
        <w:pStyle w:val="NoSpacing"/>
        <w:rPr>
          <w:rFonts w:ascii="Arial" w:hAnsi="Arial" w:cs="Arial"/>
        </w:rPr>
      </w:pPr>
    </w:p>
    <w:p w:rsidR="002E00D9" w:rsidRPr="00692534" w:rsidRDefault="002E00D9" w:rsidP="00692534">
      <w:pPr>
        <w:pStyle w:val="NoSpacing"/>
        <w:numPr>
          <w:ilvl w:val="0"/>
          <w:numId w:val="15"/>
        </w:numPr>
        <w:rPr>
          <w:rFonts w:ascii="Arial" w:hAnsi="Arial" w:cs="Arial"/>
        </w:rPr>
      </w:pPr>
      <w:r w:rsidRPr="00692534">
        <w:rPr>
          <w:rFonts w:ascii="Arial" w:hAnsi="Arial" w:cs="Arial"/>
          <w:b/>
        </w:rPr>
        <w:t>Účtovná jednotka bude nepretržite pokračovať vo svojej činnosti:</w:t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</w:p>
    <w:p w:rsidR="002E00D9" w:rsidRPr="00692534" w:rsidRDefault="002E00D9" w:rsidP="00692534">
      <w:pPr>
        <w:pStyle w:val="NoSpacing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 xml:space="preserve">Účtovná závierka bola zostavená za predpokladu nepretržitého trvania </w:t>
      </w:r>
      <w:r>
        <w:rPr>
          <w:rFonts w:ascii="Arial" w:hAnsi="Arial" w:cs="Arial"/>
        </w:rPr>
        <w:t>s</w:t>
      </w:r>
      <w:r w:rsidRPr="00692534">
        <w:rPr>
          <w:rFonts w:ascii="Arial" w:hAnsi="Arial" w:cs="Arial"/>
        </w:rPr>
        <w:t>poločnosti</w:t>
      </w:r>
      <w:r>
        <w:rPr>
          <w:rFonts w:ascii="Arial" w:hAnsi="Arial" w:cs="Arial"/>
        </w:rPr>
        <w:t>.</w:t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</w:p>
    <w:p w:rsidR="002E00D9" w:rsidRPr="00692534" w:rsidRDefault="002E00D9" w:rsidP="00692534">
      <w:pPr>
        <w:pStyle w:val="NoSpacing"/>
        <w:numPr>
          <w:ilvl w:val="0"/>
          <w:numId w:val="15"/>
        </w:numPr>
        <w:rPr>
          <w:rFonts w:ascii="Arial" w:hAnsi="Arial" w:cs="Arial"/>
        </w:rPr>
      </w:pPr>
      <w:r w:rsidRPr="00692534">
        <w:rPr>
          <w:rFonts w:ascii="Arial" w:hAnsi="Arial" w:cs="Arial"/>
          <w:b/>
        </w:rPr>
        <w:t>Spôsob oceňovania jednotlivých zložiek majetku a záväzkov:</w:t>
      </w:r>
      <w:r w:rsidRPr="00692534">
        <w:rPr>
          <w:rFonts w:ascii="Arial" w:hAnsi="Arial" w:cs="Arial"/>
          <w:b/>
        </w:rPr>
        <w:tab/>
      </w:r>
      <w:r w:rsidRPr="00692534">
        <w:rPr>
          <w:rFonts w:ascii="Arial" w:hAnsi="Arial" w:cs="Arial"/>
        </w:rPr>
        <w:tab/>
      </w:r>
    </w:p>
    <w:p w:rsidR="002E00D9" w:rsidRDefault="002E00D9" w:rsidP="00692534">
      <w:pPr>
        <w:pStyle w:val="NoSpacing"/>
        <w:numPr>
          <w:ilvl w:val="0"/>
          <w:numId w:val="19"/>
        </w:numPr>
        <w:jc w:val="both"/>
        <w:rPr>
          <w:rFonts w:ascii="Arial" w:hAnsi="Arial" w:cs="Arial"/>
        </w:rPr>
      </w:pPr>
      <w:r w:rsidRPr="00692534">
        <w:rPr>
          <w:rFonts w:ascii="Arial" w:hAnsi="Arial" w:cs="Arial"/>
        </w:rPr>
        <w:t>nakupovaný dlhodobý hmotný a nehmotný majetok obstarávacou cenou, ktorá zahrňuje cenu obstarania a náklady súvisiace s obstaraním (preprava, inštalácia, montáž a pod.).</w:t>
      </w:r>
      <w:r>
        <w:rPr>
          <w:rFonts w:ascii="Arial" w:hAnsi="Arial" w:cs="Arial"/>
        </w:rPr>
        <w:t>V roku 2017 nebol obstaraný žiaden hmotný a nehmotný majetok vlastnou činnosťou ani iným spôsobom.</w:t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</w:p>
    <w:p w:rsidR="002E00D9" w:rsidRPr="00E524A2" w:rsidRDefault="002E00D9" w:rsidP="002F26A8">
      <w:pPr>
        <w:pStyle w:val="NoSpacing"/>
        <w:numPr>
          <w:ilvl w:val="0"/>
          <w:numId w:val="19"/>
        </w:numPr>
        <w:jc w:val="both"/>
        <w:rPr>
          <w:rFonts w:ascii="Arial" w:hAnsi="Arial" w:cs="Arial"/>
        </w:rPr>
      </w:pPr>
      <w:r w:rsidRPr="00E524A2">
        <w:rPr>
          <w:rFonts w:ascii="Arial" w:hAnsi="Arial" w:cs="Arial"/>
        </w:rPr>
        <w:t>nakupované zásoby sa oceňujú obstarávacou cenou, ktorá zahrňuje cenu obstarania  a náklady súvisiace  s obstaraním (preprava, provízie, poistné, clo  a pod.)</w:t>
      </w:r>
      <w:r>
        <w:rPr>
          <w:rFonts w:ascii="Arial" w:hAnsi="Arial" w:cs="Arial"/>
        </w:rPr>
        <w:t>. V roku 2017 spoločnosť nevytvorila zásoby vlastnou činnosťou.</w:t>
      </w:r>
      <w:r w:rsidRPr="00E524A2">
        <w:rPr>
          <w:rFonts w:ascii="Arial" w:hAnsi="Arial" w:cs="Arial"/>
        </w:rPr>
        <w:t xml:space="preserve"> </w:t>
      </w:r>
    </w:p>
    <w:p w:rsidR="002E00D9" w:rsidRDefault="002E00D9" w:rsidP="002F26A8">
      <w:pPr>
        <w:pStyle w:val="NoSpacing"/>
        <w:numPr>
          <w:ilvl w:val="0"/>
          <w:numId w:val="19"/>
        </w:numPr>
        <w:jc w:val="both"/>
        <w:rPr>
          <w:rFonts w:ascii="Arial" w:hAnsi="Arial" w:cs="Arial"/>
        </w:rPr>
      </w:pPr>
      <w:r w:rsidRPr="00E524A2">
        <w:rPr>
          <w:rFonts w:ascii="Arial" w:hAnsi="Arial" w:cs="Arial"/>
        </w:rPr>
        <w:t>pohľadávky sa pri ich vzniku oceňujú ich menovitou hodnotou. Postúpené pohľadávky sa oceňujú obstarávacou cenou vrátane nákladov súvisiacich s obstaraním. Toto ocenenie sa znižuje o pochybné a nevymožiteľné pohľadávky.</w:t>
      </w:r>
      <w:r w:rsidRPr="00E524A2">
        <w:rPr>
          <w:rFonts w:ascii="Arial" w:hAnsi="Arial" w:cs="Arial"/>
        </w:rPr>
        <w:tab/>
      </w:r>
      <w:r w:rsidRPr="00E524A2">
        <w:rPr>
          <w:rFonts w:ascii="Arial" w:hAnsi="Arial" w:cs="Arial"/>
        </w:rPr>
        <w:tab/>
      </w:r>
      <w:r w:rsidRPr="00E524A2">
        <w:rPr>
          <w:rFonts w:ascii="Arial" w:hAnsi="Arial" w:cs="Arial"/>
        </w:rPr>
        <w:tab/>
      </w:r>
      <w:r w:rsidRPr="00E524A2">
        <w:rPr>
          <w:rFonts w:ascii="Arial" w:hAnsi="Arial" w:cs="Arial"/>
        </w:rPr>
        <w:tab/>
      </w:r>
    </w:p>
    <w:p w:rsidR="002E00D9" w:rsidRDefault="002E00D9" w:rsidP="002F26A8">
      <w:pPr>
        <w:pStyle w:val="NoSpacing"/>
        <w:numPr>
          <w:ilvl w:val="0"/>
          <w:numId w:val="19"/>
        </w:numPr>
        <w:jc w:val="both"/>
        <w:rPr>
          <w:rFonts w:ascii="Arial" w:hAnsi="Arial" w:cs="Arial"/>
        </w:rPr>
      </w:pPr>
      <w:r w:rsidRPr="002F26A8">
        <w:rPr>
          <w:rFonts w:ascii="Arial" w:hAnsi="Arial" w:cs="Arial"/>
        </w:rPr>
        <w:t>peňažné prostriedky a ceniny sa oceňujú ich menovitou hodnotou. Zníženie ich hodnoty sa vyjadruje opravnou položkou.</w:t>
      </w:r>
      <w:r w:rsidRPr="002F26A8">
        <w:rPr>
          <w:rFonts w:ascii="Arial" w:hAnsi="Arial" w:cs="Arial"/>
        </w:rPr>
        <w:tab/>
      </w:r>
    </w:p>
    <w:p w:rsidR="002E00D9" w:rsidRPr="00507112" w:rsidRDefault="002E00D9" w:rsidP="00507112">
      <w:pPr>
        <w:pStyle w:val="ListParagraph"/>
        <w:numPr>
          <w:ilvl w:val="0"/>
          <w:numId w:val="19"/>
        </w:numPr>
        <w:spacing w:after="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>časové rozlíšenie na strane aktív sa oceňuje menovitou hodnotou, náklady budúcich období a príjmy budúcich období sa vykazujú  vo výške, ktorá je potrebná na dodržanie zásady vecnej a časovej súvislosti s účtovným obdobím. Spoločnosť časovo nerozlišuje nevýznamné položky nákladov a výnosov, ktoré sa pravidelne ročne opakujú</w:t>
      </w:r>
      <w:r>
        <w:rPr>
          <w:rFonts w:ascii="Arial" w:hAnsi="Arial" w:cs="Arial"/>
        </w:rPr>
        <w:t>.</w:t>
      </w:r>
      <w:r w:rsidRPr="00507112">
        <w:rPr>
          <w:rFonts w:ascii="Arial" w:hAnsi="Arial" w:cs="Arial"/>
        </w:rPr>
        <w:tab/>
      </w:r>
    </w:p>
    <w:p w:rsidR="002E00D9" w:rsidRPr="002F26A8" w:rsidRDefault="002E00D9" w:rsidP="002F26A8">
      <w:pPr>
        <w:pStyle w:val="NoSpacing"/>
        <w:numPr>
          <w:ilvl w:val="0"/>
          <w:numId w:val="19"/>
        </w:numPr>
        <w:jc w:val="both"/>
      </w:pPr>
      <w:r w:rsidRPr="002F26A8">
        <w:rPr>
          <w:rFonts w:ascii="Arial" w:hAnsi="Arial" w:cs="Arial"/>
        </w:rPr>
        <w:t>rezervy sú záväzky s neurčitým časovým vymedzením alebo výškou, tvoria sa na krytie známych rizík alebo strát z podnikania. Oceňuj</w:t>
      </w:r>
      <w:r>
        <w:rPr>
          <w:rFonts w:ascii="Arial" w:hAnsi="Arial" w:cs="Arial"/>
        </w:rPr>
        <w:t>ú sa v očakávanej výške záväzku.</w:t>
      </w:r>
    </w:p>
    <w:p w:rsidR="002E00D9" w:rsidRPr="00507112" w:rsidRDefault="002E00D9" w:rsidP="002F26A8">
      <w:pPr>
        <w:pStyle w:val="NoSpacing"/>
        <w:numPr>
          <w:ilvl w:val="0"/>
          <w:numId w:val="19"/>
        </w:numPr>
        <w:jc w:val="both"/>
      </w:pPr>
      <w:r w:rsidRPr="002F26A8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  <w:r w:rsidRPr="002F26A8">
        <w:rPr>
          <w:rFonts w:ascii="Arial" w:hAnsi="Arial" w:cs="Arial"/>
        </w:rPr>
        <w:tab/>
      </w:r>
      <w:r>
        <w:rPr>
          <w:rFonts w:ascii="Arial" w:hAnsi="Arial" w:cs="Arial"/>
        </w:rPr>
        <w:t>.</w:t>
      </w:r>
    </w:p>
    <w:p w:rsidR="002E00D9" w:rsidRPr="00507112" w:rsidRDefault="002E00D9" w:rsidP="00507112">
      <w:pPr>
        <w:pStyle w:val="NoSpacing"/>
        <w:numPr>
          <w:ilvl w:val="0"/>
          <w:numId w:val="19"/>
        </w:numPr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 xml:space="preserve">časové rozlíšenie na strane pasív sa oceňuje menovitou hodnotou, výdavky budúcich období a výnosy budúcich období sa vykazujú  vo výške, ktorá je potrebná na dodržanie zásady vecnej a časovej súvislosti s účtovným obdobím. Spoločnosť časovo nerozlišuje nevýznamné položky nákladov a výnosov, ktoré sa </w:t>
      </w:r>
      <w:r>
        <w:rPr>
          <w:rFonts w:ascii="Arial" w:hAnsi="Arial" w:cs="Arial"/>
        </w:rPr>
        <w:t>pravidelne ročne opakujú</w:t>
      </w:r>
      <w:r w:rsidRPr="00507112">
        <w:rPr>
          <w:rFonts w:ascii="Arial" w:hAnsi="Arial" w:cs="Arial"/>
        </w:rPr>
        <w:t>.</w:t>
      </w:r>
    </w:p>
    <w:p w:rsidR="002E00D9" w:rsidRDefault="002E00D9" w:rsidP="00507112">
      <w:pPr>
        <w:pStyle w:val="NoSpacing"/>
        <w:numPr>
          <w:ilvl w:val="0"/>
          <w:numId w:val="19"/>
        </w:numPr>
        <w:jc w:val="both"/>
        <w:rPr>
          <w:rFonts w:ascii="Arial" w:hAnsi="Arial" w:cs="Arial"/>
        </w:rPr>
      </w:pPr>
      <w:r w:rsidRPr="00F5302B">
        <w:rPr>
          <w:rFonts w:ascii="Arial" w:hAnsi="Arial" w:cs="Arial"/>
        </w:rPr>
        <w:t>účtovná jednotka účtuje o splatnej dani z príjmov vypočítanej zo základu dane z príjmov a sadzby ustanovenej zákonom o dani z príjmov (2</w:t>
      </w:r>
      <w:r>
        <w:rPr>
          <w:rFonts w:ascii="Arial" w:hAnsi="Arial" w:cs="Arial"/>
        </w:rPr>
        <w:t>1</w:t>
      </w:r>
      <w:r w:rsidRPr="00F5302B">
        <w:rPr>
          <w:rFonts w:ascii="Arial" w:hAnsi="Arial" w:cs="Arial"/>
        </w:rPr>
        <w:t xml:space="preserve">%). Účtovná jednotka neúčtuje o odloženej dani z príjmov. </w:t>
      </w:r>
    </w:p>
    <w:p w:rsidR="002E00D9" w:rsidRPr="00507112" w:rsidRDefault="002E00D9" w:rsidP="00F5302B">
      <w:pPr>
        <w:pStyle w:val="NoSpacing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</w:p>
    <w:p w:rsidR="002E00D9" w:rsidRPr="00507112" w:rsidRDefault="002E00D9" w:rsidP="00FA1C6C">
      <w:pPr>
        <w:pStyle w:val="NoSpacing"/>
        <w:numPr>
          <w:ilvl w:val="0"/>
          <w:numId w:val="15"/>
        </w:numPr>
        <w:rPr>
          <w:rFonts w:ascii="Arial" w:hAnsi="Arial" w:cs="Arial"/>
        </w:rPr>
      </w:pPr>
      <w:r w:rsidRPr="00507112">
        <w:rPr>
          <w:rFonts w:ascii="Arial" w:hAnsi="Arial" w:cs="Arial"/>
          <w:b/>
        </w:rPr>
        <w:t>Spôsob zostavenia odpisového plánu dlhodobého majetku:</w:t>
      </w:r>
      <w:r w:rsidRPr="00507112">
        <w:rPr>
          <w:rFonts w:ascii="Arial" w:hAnsi="Arial" w:cs="Arial"/>
          <w:b/>
        </w:rPr>
        <w:tab/>
      </w:r>
      <w:r w:rsidRPr="00507112">
        <w:rPr>
          <w:rFonts w:ascii="Arial" w:hAnsi="Arial" w:cs="Arial"/>
          <w:b/>
        </w:rPr>
        <w:tab/>
      </w:r>
    </w:p>
    <w:p w:rsidR="002E00D9" w:rsidRDefault="002E00D9" w:rsidP="00C24EE3">
      <w:pPr>
        <w:pStyle w:val="NoSpacing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 xml:space="preserve">Spôsob zostavenia účtovného odpisového plánu pre dlhodobý hmotný majetok a dlhodobý nehmotný majetok, doba odpisovania a použité sadzby pri stanovení účtovných odpisov:  </w:t>
      </w:r>
    </w:p>
    <w:p w:rsidR="002E00D9" w:rsidRPr="00507112" w:rsidRDefault="002E00D9" w:rsidP="00C24EE3">
      <w:pPr>
        <w:pStyle w:val="NoSpacing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Daňové odpisy a účtovné odpisy sa nerovnajú. Daňové odpisy (doba odpisovania a sadzby odpisov) vychádzajú zo Zákona o dani z príjmov. Odpisový plán dlhodobého hmotného majetku sa zostavuje s ohľadom na opotrebovanie zodpovedajúce bežným podmienkam jeho používania a dobe použiteľnosti.</w:t>
      </w:r>
      <w:r w:rsidRPr="00507112">
        <w:rPr>
          <w:rFonts w:ascii="Arial" w:hAnsi="Arial" w:cs="Arial"/>
        </w:rPr>
        <w:t xml:space="preserve"> Odpisuje sa metódou rovnomerných odpisov. Odpisy sa účtujú  mesačne, počnúc mesiacom, v ktorom bol majetok zaradený do používania.</w:t>
      </w:r>
    </w:p>
    <w:p w:rsidR="002E00D9" w:rsidRDefault="002E00D9" w:rsidP="00C24EE3">
      <w:pPr>
        <w:pStyle w:val="NoSpacing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Drobný h</w:t>
      </w:r>
      <w:r w:rsidRPr="00507112">
        <w:rPr>
          <w:rFonts w:ascii="Arial" w:hAnsi="Arial" w:cs="Arial"/>
        </w:rPr>
        <w:t xml:space="preserve">motný majetok s dobou použitia nad jeden rok s obstarávacou cenou do </w:t>
      </w:r>
      <w:r>
        <w:rPr>
          <w:rFonts w:ascii="Arial" w:hAnsi="Arial" w:cs="Arial"/>
        </w:rPr>
        <w:t>50</w:t>
      </w:r>
      <w:r w:rsidRPr="00507112">
        <w:rPr>
          <w:rFonts w:ascii="Arial" w:hAnsi="Arial" w:cs="Arial"/>
        </w:rPr>
        <w:t>0,- EUR spoločnosť považuje za zásoby a účtuje ich hneď do spotreby, na samostatný analytický účet 501.</w:t>
      </w:r>
      <w:r>
        <w:rPr>
          <w:rFonts w:ascii="Arial" w:hAnsi="Arial" w:cs="Arial"/>
        </w:rPr>
        <w:t xml:space="preserve"> Drobný hmotný majetok, ktorého ocenenie je od 500,- EUR do 1700,- EUR a doba použitia dlhšia ako jeden rok, spoločnosť považuje za dlhodobý majetok. Tento majetok sa odpisuje 2 roky od mesiaca zaradenia, t.j. ročnou sadzbou 50,00 %.  </w:t>
      </w:r>
      <w:r w:rsidRPr="00507112">
        <w:rPr>
          <w:rFonts w:ascii="Arial" w:hAnsi="Arial" w:cs="Arial"/>
        </w:rPr>
        <w:t xml:space="preserve"> Nehmotný majetok s dobou použitia nad jeden rok s obstarávacou cenou do 2400,- EUR spoločnosť  považuje za službu a účtuje ho do nákladov na samostatný analytický účet 518. Drobný hmotný i nehmotný majetok sa eviduje v operatívnej evidencii.</w:t>
      </w:r>
    </w:p>
    <w:p w:rsidR="002E00D9" w:rsidRDefault="002E00D9" w:rsidP="00C24EE3">
      <w:pPr>
        <w:pStyle w:val="NoSpacing"/>
        <w:ind w:left="360"/>
        <w:jc w:val="both"/>
        <w:rPr>
          <w:rFonts w:ascii="Arial" w:hAnsi="Arial" w:cs="Arial"/>
        </w:rPr>
      </w:pPr>
    </w:p>
    <w:p w:rsidR="002E00D9" w:rsidRDefault="002E00D9" w:rsidP="00C24EE3">
      <w:pPr>
        <w:pStyle w:val="NoSpacing"/>
        <w:ind w:left="360"/>
        <w:jc w:val="both"/>
        <w:rPr>
          <w:rFonts w:ascii="Arial" w:hAnsi="Arial" w:cs="Arial"/>
        </w:rPr>
      </w:pPr>
    </w:p>
    <w:tbl>
      <w:tblPr>
        <w:tblW w:w="952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537"/>
        <w:gridCol w:w="959"/>
        <w:gridCol w:w="1079"/>
        <w:gridCol w:w="959"/>
        <w:gridCol w:w="959"/>
        <w:gridCol w:w="958"/>
        <w:gridCol w:w="958"/>
        <w:gridCol w:w="957"/>
        <w:gridCol w:w="957"/>
        <w:gridCol w:w="1197"/>
      </w:tblGrid>
      <w:tr w:rsidR="002E00D9" w:rsidRPr="00BA31D3" w:rsidTr="00BA31D3">
        <w:trPr>
          <w:trHeight w:val="315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  <w:tr w:rsidR="002E00D9" w:rsidRPr="00BA31D3" w:rsidTr="00BA31D3">
        <w:trPr>
          <w:trHeight w:val="615"/>
        </w:trPr>
        <w:tc>
          <w:tcPr>
            <w:tcW w:w="257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1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311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2E00D9" w:rsidRPr="00BA31D3" w:rsidTr="00BA31D3">
        <w:trPr>
          <w:trHeight w:val="300"/>
        </w:trPr>
        <w:tc>
          <w:tcPr>
            <w:tcW w:w="257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>Ostatné samost. hnut. veci</w:t>
            </w:r>
          </w:p>
        </w:tc>
        <w:tc>
          <w:tcPr>
            <w:tcW w:w="19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061E55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12,5 </w:t>
            </w:r>
            <w:r w:rsidRPr="00BA31D3">
              <w:rPr>
                <w:rFonts w:ascii="Arial" w:hAnsi="Arial" w:cs="Arial"/>
                <w:lang w:eastAsia="sk-SK"/>
              </w:rPr>
              <w:t>%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lineárna</w:t>
            </w:r>
          </w:p>
        </w:tc>
      </w:tr>
      <w:tr w:rsidR="002E00D9" w:rsidRPr="00BA31D3" w:rsidTr="00BA31D3">
        <w:trPr>
          <w:trHeight w:val="300"/>
        </w:trPr>
        <w:tc>
          <w:tcPr>
            <w:tcW w:w="257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>Stroje, prístroje, zar.</w:t>
            </w:r>
          </w:p>
        </w:tc>
        <w:tc>
          <w:tcPr>
            <w:tcW w:w="19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25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BA31D3">
              <w:rPr>
                <w:rFonts w:ascii="Arial" w:hAnsi="Arial" w:cs="Arial"/>
                <w:lang w:eastAsia="sk-SK"/>
              </w:rPr>
              <w:t>%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lineárna</w:t>
            </w:r>
          </w:p>
        </w:tc>
      </w:tr>
      <w:tr w:rsidR="002E00D9" w:rsidRPr="00BA31D3" w:rsidTr="00BA31D3">
        <w:trPr>
          <w:trHeight w:val="300"/>
        </w:trPr>
        <w:tc>
          <w:tcPr>
            <w:tcW w:w="257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>Stavby</w:t>
            </w:r>
          </w:p>
        </w:tc>
        <w:tc>
          <w:tcPr>
            <w:tcW w:w="19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25</w:t>
            </w: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4 </w:t>
            </w:r>
            <w:r w:rsidRPr="00BA31D3">
              <w:rPr>
                <w:rFonts w:ascii="Arial" w:hAnsi="Arial" w:cs="Arial"/>
                <w:lang w:eastAsia="sk-SK"/>
              </w:rPr>
              <w:t>%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lineárna</w:t>
            </w:r>
          </w:p>
        </w:tc>
      </w:tr>
      <w:tr w:rsidR="002E00D9" w:rsidRPr="00BA31D3" w:rsidTr="00BA31D3">
        <w:trPr>
          <w:trHeight w:val="300"/>
        </w:trPr>
        <w:tc>
          <w:tcPr>
            <w:tcW w:w="257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>D</w:t>
            </w:r>
            <w:r w:rsidRPr="00AF4F55">
              <w:rPr>
                <w:rFonts w:ascii="Arial Narrow" w:hAnsi="Arial Narrow" w:cs="Arial"/>
                <w:b/>
                <w:bCs/>
                <w:lang w:eastAsia="sk-SK"/>
              </w:rPr>
              <w:t>opravné</w:t>
            </w:r>
            <w:r w:rsidRPr="00BA31D3">
              <w:rPr>
                <w:rFonts w:ascii="Arial" w:hAnsi="Arial" w:cs="Arial"/>
                <w:b/>
                <w:bCs/>
                <w:lang w:eastAsia="sk-SK"/>
              </w:rPr>
              <w:t xml:space="preserve"> prostriedky</w:t>
            </w:r>
          </w:p>
        </w:tc>
        <w:tc>
          <w:tcPr>
            <w:tcW w:w="19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25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BA31D3">
              <w:rPr>
                <w:rFonts w:ascii="Arial" w:hAnsi="Arial" w:cs="Arial"/>
                <w:lang w:eastAsia="sk-SK"/>
              </w:rPr>
              <w:t>%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lineárna</w:t>
            </w:r>
          </w:p>
        </w:tc>
      </w:tr>
    </w:tbl>
    <w:p w:rsidR="002E00D9" w:rsidRDefault="002E00D9" w:rsidP="00C24EE3">
      <w:pPr>
        <w:pStyle w:val="NoSpacing"/>
        <w:ind w:left="360"/>
        <w:jc w:val="both"/>
        <w:rPr>
          <w:rFonts w:ascii="Arial" w:hAnsi="Arial" w:cs="Arial"/>
        </w:rPr>
      </w:pPr>
    </w:p>
    <w:p w:rsidR="002E00D9" w:rsidRDefault="002E00D9" w:rsidP="00C24EE3">
      <w:pPr>
        <w:pStyle w:val="NoSpacing"/>
        <w:ind w:left="360"/>
        <w:jc w:val="both"/>
        <w:rPr>
          <w:rFonts w:ascii="Arial" w:hAnsi="Arial" w:cs="Arial"/>
        </w:rPr>
      </w:pPr>
    </w:p>
    <w:p w:rsidR="002E00D9" w:rsidRPr="00507112" w:rsidRDefault="002E00D9" w:rsidP="00C24EE3">
      <w:pPr>
        <w:pStyle w:val="NoSpacing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Drob.hmot.majetok              2 roky                              50,00 %                       lineárna </w:t>
      </w:r>
    </w:p>
    <w:tbl>
      <w:tblPr>
        <w:tblW w:w="0" w:type="auto"/>
        <w:tblLayout w:type="fixed"/>
        <w:tblLook w:val="0000"/>
      </w:tblPr>
      <w:tblGrid>
        <w:gridCol w:w="1759"/>
        <w:gridCol w:w="1172"/>
        <w:gridCol w:w="587"/>
        <w:gridCol w:w="1759"/>
        <w:gridCol w:w="585"/>
        <w:gridCol w:w="1174"/>
        <w:gridCol w:w="1759"/>
      </w:tblGrid>
      <w:tr w:rsidR="002E00D9" w:rsidRPr="00E263BC">
        <w:trPr>
          <w:trHeight w:val="207"/>
        </w:trPr>
        <w:tc>
          <w:tcPr>
            <w:tcW w:w="1759" w:type="dxa"/>
          </w:tcPr>
          <w:p w:rsidR="002E00D9" w:rsidRPr="00E263BC" w:rsidRDefault="002E00D9" w:rsidP="00691F1B">
            <w:pPr>
              <w:pStyle w:val="Default"/>
              <w:rPr>
                <w:sz w:val="20"/>
                <w:szCs w:val="20"/>
              </w:rPr>
            </w:pPr>
            <w:r w:rsidRPr="00E263BC"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59" w:type="dxa"/>
            <w:gridSpan w:val="2"/>
          </w:tcPr>
          <w:p w:rsidR="002E00D9" w:rsidRPr="00E263BC" w:rsidRDefault="002E00D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759" w:type="dxa"/>
            <w:gridSpan w:val="2"/>
          </w:tcPr>
          <w:p w:rsidR="002E00D9" w:rsidRPr="00E263BC" w:rsidRDefault="002E00D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20"/>
                <w:szCs w:val="20"/>
              </w:rPr>
            </w:pPr>
          </w:p>
        </w:tc>
      </w:tr>
      <w:tr w:rsidR="002E00D9" w:rsidRPr="00E263BC">
        <w:trPr>
          <w:trHeight w:val="84"/>
        </w:trPr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759" w:type="dxa"/>
            <w:gridSpan w:val="2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759" w:type="dxa"/>
            <w:gridSpan w:val="2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</w:tr>
      <w:tr w:rsidR="002E00D9" w:rsidRPr="00E263BC">
        <w:trPr>
          <w:trHeight w:val="84"/>
        </w:trPr>
        <w:tc>
          <w:tcPr>
            <w:tcW w:w="2931" w:type="dxa"/>
            <w:gridSpan w:val="2"/>
          </w:tcPr>
          <w:p w:rsidR="002E00D9" w:rsidRPr="00E263BC" w:rsidRDefault="002E00D9" w:rsidP="00A145A8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2931" w:type="dxa"/>
            <w:gridSpan w:val="3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2931" w:type="dxa"/>
            <w:gridSpan w:val="2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</w:tr>
    </w:tbl>
    <w:p w:rsidR="002E00D9" w:rsidRPr="00507112" w:rsidRDefault="002E00D9" w:rsidP="00C24EE3">
      <w:pPr>
        <w:pStyle w:val="NoSpacing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</w:p>
    <w:p w:rsidR="002E00D9" w:rsidRPr="00507112" w:rsidRDefault="002E00D9" w:rsidP="00FA1C6C">
      <w:pPr>
        <w:pStyle w:val="NoSpacing"/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507112">
        <w:rPr>
          <w:rFonts w:ascii="Arial" w:hAnsi="Arial" w:cs="Arial"/>
          <w:b/>
        </w:rPr>
        <w:t xml:space="preserve">Zmeny účtovných zásad a účtovných metód s uvedením dôvodu ich uplatnenia a ich vplyvu na hodnotu majetku, záväzkov, vlastného imania a výsledku hospodárenia účtovnej jednotky. </w:t>
      </w:r>
    </w:p>
    <w:p w:rsidR="002E00D9" w:rsidRPr="00FA1C6C" w:rsidRDefault="002E00D9" w:rsidP="00FA1C6C">
      <w:pPr>
        <w:pStyle w:val="NoSpacing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>Účtovné metódy a zásady boli aplikované v rámci platného zákona o účtovníctve počas</w:t>
      </w:r>
      <w:r w:rsidRPr="00FA1C6C">
        <w:rPr>
          <w:rFonts w:ascii="Arial" w:hAnsi="Arial" w:cs="Arial"/>
        </w:rPr>
        <w:t xml:space="preserve"> celého účtovného obdobia</w:t>
      </w:r>
      <w:r w:rsidRPr="001670DC">
        <w:rPr>
          <w:rFonts w:ascii="Arial" w:hAnsi="Arial" w:cs="Arial"/>
        </w:rPr>
        <w:t xml:space="preserve"> s výnimkou tých, ktoré vyplynuli zo zákonných zmien v postupoch účtovani</w:t>
      </w:r>
      <w:r>
        <w:rPr>
          <w:rFonts w:ascii="Arial" w:hAnsi="Arial" w:cs="Arial"/>
        </w:rPr>
        <w:t>a.</w:t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</w:p>
    <w:p w:rsidR="002E00D9" w:rsidRDefault="002E00D9" w:rsidP="00FA1C6C">
      <w:pPr>
        <w:pStyle w:val="NoSpacing"/>
        <w:ind w:left="360"/>
        <w:jc w:val="both"/>
      </w:pPr>
      <w:r w:rsidRPr="00FA1C6C">
        <w:rPr>
          <w:rFonts w:ascii="Arial" w:hAnsi="Arial" w:cs="Arial"/>
        </w:rPr>
        <w:t>Účtovná jednotka sa od 1.1.2014 stala mikro účtovnou jednotkou</w:t>
      </w:r>
      <w:r>
        <w:rPr>
          <w:rFonts w:ascii="Arial" w:hAnsi="Arial" w:cs="Arial"/>
        </w:rPr>
        <w:t>, v r</w:t>
      </w:r>
      <w:r w:rsidRPr="00FA1C6C">
        <w:rPr>
          <w:rFonts w:ascii="Arial" w:hAnsi="Arial" w:cs="Arial"/>
        </w:rPr>
        <w:t>oku 201</w:t>
      </w:r>
      <w:r>
        <w:rPr>
          <w:rFonts w:ascii="Arial" w:hAnsi="Arial" w:cs="Arial"/>
        </w:rPr>
        <w:t>7</w:t>
      </w:r>
      <w:r w:rsidRPr="00FA1C6C">
        <w:rPr>
          <w:rFonts w:ascii="Arial" w:hAnsi="Arial" w:cs="Arial"/>
        </w:rPr>
        <w:t xml:space="preserve"> aplikovala postupy účtovania a metódy oceňovania pre mikro účtovné jednotky</w:t>
      </w:r>
      <w:r w:rsidRPr="0050711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FA1C6C">
        <w:rPr>
          <w:rFonts w:ascii="Arial" w:hAnsi="Arial" w:cs="Arial"/>
        </w:rPr>
        <w:t>Účtovná jednotka časovo nerozlišovala nevýznamné sumy a účtovné prípady, ktoré sa pravide</w:t>
      </w:r>
      <w:r>
        <w:rPr>
          <w:rFonts w:ascii="Arial" w:hAnsi="Arial" w:cs="Arial"/>
        </w:rPr>
        <w:t>l</w:t>
      </w:r>
      <w:r w:rsidRPr="00FA1C6C">
        <w:rPr>
          <w:rFonts w:ascii="Arial" w:hAnsi="Arial" w:cs="Arial"/>
        </w:rPr>
        <w:t xml:space="preserve">ne ročne opakujú. </w:t>
      </w:r>
      <w:r w:rsidRPr="00FA1C6C">
        <w:rPr>
          <w:rFonts w:ascii="Arial" w:hAnsi="Arial" w:cs="Arial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E00D9" w:rsidRDefault="002E00D9" w:rsidP="00FA1C6C">
      <w:pPr>
        <w:pStyle w:val="NoSpacing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E00D9" w:rsidRPr="00FA1C6C" w:rsidRDefault="002E00D9" w:rsidP="001670DC">
      <w:pPr>
        <w:pStyle w:val="NoSpacing"/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FA1C6C">
        <w:rPr>
          <w:rFonts w:ascii="Arial" w:hAnsi="Arial" w:cs="Arial"/>
          <w:b/>
        </w:rPr>
        <w:t>Informácie o</w:t>
      </w:r>
      <w:r>
        <w:rPr>
          <w:rFonts w:ascii="Arial" w:hAnsi="Arial" w:cs="Arial"/>
          <w:b/>
        </w:rPr>
        <w:t> účtovaní významných opráv chýb minulých účtovných období v bežnom účtovnom období</w:t>
      </w:r>
    </w:p>
    <w:p w:rsidR="002E00D9" w:rsidRPr="00F5302B" w:rsidRDefault="002E00D9" w:rsidP="00F5302B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Účtovná jednotka v sledovanom období neúčtovala o významných opravách chýb minulých rokov.</w:t>
      </w:r>
      <w:r w:rsidRPr="00F5302B">
        <w:rPr>
          <w:rFonts w:ascii="Arial" w:hAnsi="Arial" w:cs="Arial"/>
        </w:rPr>
        <w:t xml:space="preserve"> </w:t>
      </w:r>
      <w:r w:rsidRPr="00F5302B">
        <w:rPr>
          <w:rFonts w:ascii="Arial" w:hAnsi="Arial" w:cs="Arial"/>
        </w:rPr>
        <w:tab/>
      </w:r>
    </w:p>
    <w:p w:rsidR="002E00D9" w:rsidRDefault="002E00D9" w:rsidP="00F5302B">
      <w:pPr>
        <w:pStyle w:val="NoSpacing"/>
        <w:ind w:left="360"/>
        <w:rPr>
          <w:rFonts w:ascii="Arial" w:hAnsi="Arial" w:cs="Arial"/>
        </w:rPr>
      </w:pPr>
    </w:p>
    <w:p w:rsidR="002E00D9" w:rsidRDefault="002E00D9" w:rsidP="00FA1C6C">
      <w:pPr>
        <w:pStyle w:val="NoSpacing"/>
        <w:rPr>
          <w:rFonts w:ascii="Arial" w:hAnsi="Arial" w:cs="Arial"/>
        </w:rPr>
      </w:pPr>
    </w:p>
    <w:p w:rsidR="002E00D9" w:rsidRPr="001670DC" w:rsidRDefault="002E00D9" w:rsidP="002234AE">
      <w:pPr>
        <w:pStyle w:val="NoSpacing"/>
        <w:rPr>
          <w:rFonts w:ascii="Arial" w:hAnsi="Arial" w:cs="Arial"/>
        </w:rPr>
      </w:pPr>
    </w:p>
    <w:p w:rsidR="002E00D9" w:rsidRPr="001670DC" w:rsidRDefault="002E00D9" w:rsidP="001670DC">
      <w:pPr>
        <w:pStyle w:val="NoSpacing"/>
        <w:jc w:val="center"/>
        <w:rPr>
          <w:rFonts w:ascii="Arial" w:hAnsi="Arial" w:cs="Arial"/>
          <w:b/>
        </w:rPr>
      </w:pPr>
      <w:r w:rsidRPr="001670DC">
        <w:rPr>
          <w:rFonts w:ascii="Arial" w:hAnsi="Arial" w:cs="Arial"/>
          <w:b/>
        </w:rPr>
        <w:t>Čl. III</w:t>
      </w:r>
    </w:p>
    <w:p w:rsidR="002E00D9" w:rsidRPr="001670DC" w:rsidRDefault="002E00D9" w:rsidP="001670DC">
      <w:pPr>
        <w:pStyle w:val="NoSpacing"/>
        <w:jc w:val="center"/>
        <w:rPr>
          <w:rFonts w:ascii="Arial" w:hAnsi="Arial" w:cs="Arial"/>
        </w:rPr>
      </w:pPr>
      <w:r w:rsidRPr="001670DC">
        <w:rPr>
          <w:rFonts w:ascii="Arial" w:hAnsi="Arial" w:cs="Arial"/>
          <w:b/>
        </w:rPr>
        <w:t>Informácie, ktoré vysvetľujú a dopĺňajú súvahu a výkaz ziskov a strát</w:t>
      </w:r>
    </w:p>
    <w:p w:rsidR="002E00D9" w:rsidRPr="001670DC" w:rsidRDefault="002E00D9" w:rsidP="001670DC">
      <w:pPr>
        <w:pStyle w:val="NoSpacing"/>
        <w:rPr>
          <w:rFonts w:ascii="Arial" w:hAnsi="Arial" w:cs="Arial"/>
        </w:rPr>
      </w:pP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</w:p>
    <w:p w:rsidR="002E00D9" w:rsidRPr="001670DC" w:rsidRDefault="002E00D9" w:rsidP="001670DC">
      <w:pPr>
        <w:pStyle w:val="NoSpacing"/>
        <w:numPr>
          <w:ilvl w:val="0"/>
          <w:numId w:val="24"/>
        </w:numPr>
        <w:rPr>
          <w:rFonts w:ascii="Arial" w:hAnsi="Arial" w:cs="Arial"/>
        </w:rPr>
      </w:pPr>
      <w:r w:rsidRPr="001670DC">
        <w:rPr>
          <w:rFonts w:ascii="Arial" w:hAnsi="Arial" w:cs="Arial"/>
          <w:b/>
        </w:rPr>
        <w:t>Informácie o sume a dôvodoch vzniku jednotlivých položiek nákladov alebo výnosov, ktoré majú vý</w:t>
      </w:r>
      <w:r>
        <w:rPr>
          <w:rFonts w:ascii="Arial" w:hAnsi="Arial" w:cs="Arial"/>
          <w:b/>
        </w:rPr>
        <w:t>nimočný rozsah alebo výskyt: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</w:p>
    <w:p w:rsidR="002E00D9" w:rsidRPr="00507112" w:rsidRDefault="002E00D9" w:rsidP="00507112">
      <w:pPr>
        <w:pStyle w:val="PlainText"/>
        <w:ind w:left="360"/>
        <w:jc w:val="both"/>
        <w:rPr>
          <w:rFonts w:ascii="Arial" w:hAnsi="Arial" w:cs="Arial"/>
          <w:sz w:val="22"/>
          <w:szCs w:val="22"/>
        </w:rPr>
      </w:pPr>
      <w:r w:rsidRPr="00507112">
        <w:rPr>
          <w:rFonts w:ascii="Arial" w:hAnsi="Arial" w:cs="Arial"/>
          <w:sz w:val="22"/>
          <w:szCs w:val="22"/>
        </w:rPr>
        <w:t xml:space="preserve">Účtovná jednotka v sledovanom období neúčtovala o nákladoch alebo výnosoch, ktoré majú výnimočný rozsah alebo výskyt (predaj podniku, živelné pohromy a podobne). Všetky </w:t>
      </w:r>
      <w:r w:rsidRPr="00507112">
        <w:rPr>
          <w:rFonts w:ascii="Arial" w:hAnsi="Arial" w:cs="Arial"/>
          <w:color w:val="000000"/>
          <w:sz w:val="22"/>
          <w:szCs w:val="22"/>
        </w:rPr>
        <w:t>náklady a výnosy sú z bežnej činnosti spoločnosti</w:t>
      </w:r>
      <w:r>
        <w:rPr>
          <w:rFonts w:ascii="Arial" w:hAnsi="Arial" w:cs="Arial"/>
          <w:color w:val="000000"/>
          <w:sz w:val="22"/>
          <w:szCs w:val="22"/>
        </w:rPr>
        <w:t>.</w:t>
      </w:r>
    </w:p>
    <w:p w:rsidR="002E00D9" w:rsidRPr="001670DC" w:rsidRDefault="002E00D9" w:rsidP="001670DC">
      <w:pPr>
        <w:pStyle w:val="NoSpacing"/>
        <w:ind w:left="360"/>
        <w:rPr>
          <w:rFonts w:ascii="Arial" w:hAnsi="Arial" w:cs="Arial"/>
        </w:rPr>
      </w:pP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</w:p>
    <w:p w:rsidR="002E00D9" w:rsidRPr="001670DC" w:rsidRDefault="002E00D9" w:rsidP="008E271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E00D9" w:rsidRPr="0063485F" w:rsidRDefault="002E00D9" w:rsidP="0063485F">
      <w:pPr>
        <w:pStyle w:val="PlainText"/>
        <w:numPr>
          <w:ilvl w:val="0"/>
          <w:numId w:val="24"/>
        </w:numPr>
        <w:jc w:val="both"/>
        <w:rPr>
          <w:rFonts w:ascii="Arial" w:hAnsi="Arial" w:cs="Arial"/>
          <w:b/>
          <w:sz w:val="22"/>
          <w:szCs w:val="22"/>
        </w:rPr>
      </w:pPr>
      <w:r w:rsidRPr="0063485F">
        <w:rPr>
          <w:rFonts w:ascii="Arial" w:hAnsi="Arial" w:cs="Arial"/>
          <w:b/>
          <w:sz w:val="22"/>
          <w:szCs w:val="22"/>
        </w:rPr>
        <w:t>Informácia o orgánoch účtovnej jednotky</w:t>
      </w:r>
    </w:p>
    <w:p w:rsidR="002E00D9" w:rsidRPr="001670DC" w:rsidRDefault="002E00D9" w:rsidP="007A5E89">
      <w:pPr>
        <w:pStyle w:val="PlainText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Členom orgánov neboli poskytnuté žiadne pôžičky, záruky ani iné zabezpečenia. </w:t>
      </w: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Bratislava, 11.6.2018</w:t>
      </w: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DC34CF">
      <w:pPr>
        <w:pStyle w:val="PlainText"/>
        <w:ind w:left="360" w:hanging="360"/>
        <w:jc w:val="both"/>
        <w:rPr>
          <w:rFonts w:ascii="Arial" w:hAnsi="Arial" w:cs="Arial"/>
          <w:sz w:val="22"/>
          <w:szCs w:val="22"/>
        </w:rPr>
      </w:pPr>
    </w:p>
    <w:sectPr w:rsidR="002E00D9" w:rsidRPr="001670DC" w:rsidSect="00880C3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00D9" w:rsidRDefault="002E00D9" w:rsidP="00E8148F">
      <w:pPr>
        <w:spacing w:after="0" w:line="240" w:lineRule="auto"/>
      </w:pPr>
      <w:r>
        <w:separator/>
      </w:r>
    </w:p>
  </w:endnote>
  <w:endnote w:type="continuationSeparator" w:id="0">
    <w:p w:rsidR="002E00D9" w:rsidRDefault="002E00D9" w:rsidP="00E814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00D9" w:rsidRDefault="002E00D9" w:rsidP="00E8148F">
      <w:pPr>
        <w:spacing w:after="0" w:line="240" w:lineRule="auto"/>
      </w:pPr>
      <w:r>
        <w:separator/>
      </w:r>
    </w:p>
  </w:footnote>
  <w:footnote w:type="continuationSeparator" w:id="0">
    <w:p w:rsidR="002E00D9" w:rsidRDefault="002E00D9" w:rsidP="00E814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0D9" w:rsidRDefault="002E00D9" w:rsidP="00E8148F">
    <w:r>
      <w:t>Poznámky Úč MÚJ 3 – 01                                                                   IČO: 45293031       DIČ: 2022929150</w:t>
    </w:r>
  </w:p>
  <w:p w:rsidR="002E00D9" w:rsidRDefault="002E00D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9322A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8AA090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E1E344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AC166EC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337C7C3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0C1AB6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AB46F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1ECE27C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714B4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BA5037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E74240B"/>
    <w:multiLevelType w:val="hybridMultilevel"/>
    <w:tmpl w:val="075E1FC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BAD7976"/>
    <w:multiLevelType w:val="hybridMultilevel"/>
    <w:tmpl w:val="FAF4EA92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1E892878"/>
    <w:multiLevelType w:val="hybridMultilevel"/>
    <w:tmpl w:val="4D7A9A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31B7EE9"/>
    <w:multiLevelType w:val="hybridMultilevel"/>
    <w:tmpl w:val="29D426DE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>
    <w:nsid w:val="27DC6EA9"/>
    <w:multiLevelType w:val="hybridMultilevel"/>
    <w:tmpl w:val="475C145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39A11EB7"/>
    <w:multiLevelType w:val="hybridMultilevel"/>
    <w:tmpl w:val="0414B8D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9A81946"/>
    <w:multiLevelType w:val="hybridMultilevel"/>
    <w:tmpl w:val="ABAEE7F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416213B5"/>
    <w:multiLevelType w:val="hybridMultilevel"/>
    <w:tmpl w:val="7152F154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45C313B9"/>
    <w:multiLevelType w:val="hybridMultilevel"/>
    <w:tmpl w:val="8DA4502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49C269A7"/>
    <w:multiLevelType w:val="hybridMultilevel"/>
    <w:tmpl w:val="156C3ABA"/>
    <w:lvl w:ilvl="0" w:tplc="9CFAC31C">
      <w:start w:val="1"/>
      <w:numFmt w:val="decimal"/>
      <w:lvlText w:val="%1."/>
      <w:lvlJc w:val="left"/>
      <w:pPr>
        <w:ind w:left="142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>
    <w:nsid w:val="5429731D"/>
    <w:multiLevelType w:val="hybridMultilevel"/>
    <w:tmpl w:val="4EC65E7A"/>
    <w:lvl w:ilvl="0" w:tplc="D3B4196E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568205F5"/>
    <w:multiLevelType w:val="hybridMultilevel"/>
    <w:tmpl w:val="A012653C"/>
    <w:lvl w:ilvl="0" w:tplc="9CFAC31C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A7F06B4"/>
    <w:multiLevelType w:val="hybridMultilevel"/>
    <w:tmpl w:val="C6DEC1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E1056C1"/>
    <w:multiLevelType w:val="hybridMultilevel"/>
    <w:tmpl w:val="CC709B2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52E6008"/>
    <w:multiLevelType w:val="hybridMultilevel"/>
    <w:tmpl w:val="9A728EF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>
    <w:nsid w:val="675C0CD6"/>
    <w:multiLevelType w:val="hybridMultilevel"/>
    <w:tmpl w:val="5E84484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7CD7034"/>
    <w:multiLevelType w:val="hybridMultilevel"/>
    <w:tmpl w:val="8A22E6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94255AD"/>
    <w:multiLevelType w:val="hybridMultilevel"/>
    <w:tmpl w:val="6DA0EA2A"/>
    <w:lvl w:ilvl="0" w:tplc="011AA91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35D229A2">
      <w:start w:val="2"/>
      <w:numFmt w:val="bullet"/>
      <w:lvlText w:val="•"/>
      <w:lvlJc w:val="left"/>
      <w:pPr>
        <w:ind w:left="1080" w:hanging="360"/>
      </w:pPr>
      <w:rPr>
        <w:rFonts w:ascii="Arial" w:eastAsia="Times New Roman" w:hAnsi="Arial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>
    <w:nsid w:val="6DAB100C"/>
    <w:multiLevelType w:val="hybridMultilevel"/>
    <w:tmpl w:val="7BA609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EB72E5F"/>
    <w:multiLevelType w:val="hybridMultilevel"/>
    <w:tmpl w:val="1B0CE638"/>
    <w:lvl w:ilvl="0" w:tplc="D3B4196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4A95BB2"/>
    <w:multiLevelType w:val="hybridMultilevel"/>
    <w:tmpl w:val="4D8A016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9475ABF"/>
    <w:multiLevelType w:val="hybridMultilevel"/>
    <w:tmpl w:val="55E6EA4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>
    <w:nsid w:val="7AFE441D"/>
    <w:multiLevelType w:val="hybridMultilevel"/>
    <w:tmpl w:val="BF4C3E34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3">
    <w:nsid w:val="7E054876"/>
    <w:multiLevelType w:val="hybridMultilevel"/>
    <w:tmpl w:val="EE3296A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11"/>
  </w:num>
  <w:num w:numId="3">
    <w:abstractNumId w:val="22"/>
  </w:num>
  <w:num w:numId="4">
    <w:abstractNumId w:val="26"/>
  </w:num>
  <w:num w:numId="5">
    <w:abstractNumId w:val="31"/>
  </w:num>
  <w:num w:numId="6">
    <w:abstractNumId w:val="28"/>
  </w:num>
  <w:num w:numId="7">
    <w:abstractNumId w:val="25"/>
  </w:num>
  <w:num w:numId="8">
    <w:abstractNumId w:val="14"/>
  </w:num>
  <w:num w:numId="9">
    <w:abstractNumId w:val="16"/>
  </w:num>
  <w:num w:numId="10">
    <w:abstractNumId w:val="10"/>
  </w:num>
  <w:num w:numId="11">
    <w:abstractNumId w:val="29"/>
  </w:num>
  <w:num w:numId="12">
    <w:abstractNumId w:val="20"/>
  </w:num>
  <w:num w:numId="13">
    <w:abstractNumId w:val="21"/>
  </w:num>
  <w:num w:numId="14">
    <w:abstractNumId w:val="19"/>
  </w:num>
  <w:num w:numId="15">
    <w:abstractNumId w:val="27"/>
  </w:num>
  <w:num w:numId="16">
    <w:abstractNumId w:val="32"/>
  </w:num>
  <w:num w:numId="17">
    <w:abstractNumId w:val="12"/>
  </w:num>
  <w:num w:numId="18">
    <w:abstractNumId w:val="23"/>
  </w:num>
  <w:num w:numId="19">
    <w:abstractNumId w:val="15"/>
  </w:num>
  <w:num w:numId="20">
    <w:abstractNumId w:val="33"/>
  </w:num>
  <w:num w:numId="21">
    <w:abstractNumId w:val="17"/>
  </w:num>
  <w:num w:numId="22">
    <w:abstractNumId w:val="13"/>
  </w:num>
  <w:num w:numId="23">
    <w:abstractNumId w:val="24"/>
  </w:num>
  <w:num w:numId="24">
    <w:abstractNumId w:val="18"/>
  </w:num>
  <w:num w:numId="25">
    <w:abstractNumId w:val="8"/>
  </w:num>
  <w:num w:numId="26">
    <w:abstractNumId w:val="3"/>
  </w:num>
  <w:num w:numId="27">
    <w:abstractNumId w:val="2"/>
  </w:num>
  <w:num w:numId="28">
    <w:abstractNumId w:val="1"/>
  </w:num>
  <w:num w:numId="29">
    <w:abstractNumId w:val="0"/>
  </w:num>
  <w:num w:numId="30">
    <w:abstractNumId w:val="9"/>
  </w:num>
  <w:num w:numId="31">
    <w:abstractNumId w:val="7"/>
  </w:num>
  <w:num w:numId="32">
    <w:abstractNumId w:val="6"/>
  </w:num>
  <w:num w:numId="33">
    <w:abstractNumId w:val="5"/>
  </w:num>
  <w:num w:numId="3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F1258"/>
    <w:rsid w:val="00000911"/>
    <w:rsid w:val="000451F2"/>
    <w:rsid w:val="00057464"/>
    <w:rsid w:val="00061E55"/>
    <w:rsid w:val="000C12C9"/>
    <w:rsid w:val="000C6513"/>
    <w:rsid w:val="00134A75"/>
    <w:rsid w:val="001670DC"/>
    <w:rsid w:val="0017191E"/>
    <w:rsid w:val="001A1363"/>
    <w:rsid w:val="001F08B4"/>
    <w:rsid w:val="00204E2E"/>
    <w:rsid w:val="002234AE"/>
    <w:rsid w:val="00241193"/>
    <w:rsid w:val="002470DE"/>
    <w:rsid w:val="0024795F"/>
    <w:rsid w:val="002639C7"/>
    <w:rsid w:val="002730AC"/>
    <w:rsid w:val="002C2F3A"/>
    <w:rsid w:val="002E00D9"/>
    <w:rsid w:val="002F26A8"/>
    <w:rsid w:val="00362E03"/>
    <w:rsid w:val="003972FC"/>
    <w:rsid w:val="003A51BD"/>
    <w:rsid w:val="003B2309"/>
    <w:rsid w:val="003B4811"/>
    <w:rsid w:val="0040015B"/>
    <w:rsid w:val="00436445"/>
    <w:rsid w:val="0049036D"/>
    <w:rsid w:val="004B5DEA"/>
    <w:rsid w:val="004E099B"/>
    <w:rsid w:val="00507112"/>
    <w:rsid w:val="00594DA1"/>
    <w:rsid w:val="005A0A19"/>
    <w:rsid w:val="005A6637"/>
    <w:rsid w:val="005A7672"/>
    <w:rsid w:val="005B28B0"/>
    <w:rsid w:val="005B6B62"/>
    <w:rsid w:val="005E08B4"/>
    <w:rsid w:val="00620465"/>
    <w:rsid w:val="00621C3B"/>
    <w:rsid w:val="0063485F"/>
    <w:rsid w:val="00680EDD"/>
    <w:rsid w:val="00691F1B"/>
    <w:rsid w:val="00692534"/>
    <w:rsid w:val="006B073E"/>
    <w:rsid w:val="006F4A28"/>
    <w:rsid w:val="0073772D"/>
    <w:rsid w:val="00785037"/>
    <w:rsid w:val="007A5E89"/>
    <w:rsid w:val="007B19DE"/>
    <w:rsid w:val="007E04C9"/>
    <w:rsid w:val="00801E8B"/>
    <w:rsid w:val="00820748"/>
    <w:rsid w:val="00824A33"/>
    <w:rsid w:val="008362B7"/>
    <w:rsid w:val="00880C30"/>
    <w:rsid w:val="008B0393"/>
    <w:rsid w:val="008E2710"/>
    <w:rsid w:val="008F1258"/>
    <w:rsid w:val="00906B73"/>
    <w:rsid w:val="009107D7"/>
    <w:rsid w:val="00912244"/>
    <w:rsid w:val="00985873"/>
    <w:rsid w:val="009A019A"/>
    <w:rsid w:val="009C76AE"/>
    <w:rsid w:val="009F4D20"/>
    <w:rsid w:val="00A145A8"/>
    <w:rsid w:val="00A328BC"/>
    <w:rsid w:val="00A40736"/>
    <w:rsid w:val="00AA24BC"/>
    <w:rsid w:val="00AF4F55"/>
    <w:rsid w:val="00B23693"/>
    <w:rsid w:val="00BA31D3"/>
    <w:rsid w:val="00BE0AC1"/>
    <w:rsid w:val="00BE4A4E"/>
    <w:rsid w:val="00BF0E99"/>
    <w:rsid w:val="00C10077"/>
    <w:rsid w:val="00C24EE3"/>
    <w:rsid w:val="00C267CF"/>
    <w:rsid w:val="00C80CB3"/>
    <w:rsid w:val="00C8784F"/>
    <w:rsid w:val="00CF6AE8"/>
    <w:rsid w:val="00D3265B"/>
    <w:rsid w:val="00D7081A"/>
    <w:rsid w:val="00D71B07"/>
    <w:rsid w:val="00DC34CF"/>
    <w:rsid w:val="00DC6134"/>
    <w:rsid w:val="00E263BC"/>
    <w:rsid w:val="00E47CE0"/>
    <w:rsid w:val="00E524A2"/>
    <w:rsid w:val="00E8148F"/>
    <w:rsid w:val="00EA272D"/>
    <w:rsid w:val="00EB2E69"/>
    <w:rsid w:val="00F11FD8"/>
    <w:rsid w:val="00F5302B"/>
    <w:rsid w:val="00F717EE"/>
    <w:rsid w:val="00F96726"/>
    <w:rsid w:val="00FA1C6C"/>
    <w:rsid w:val="00FB507F"/>
    <w:rsid w:val="00FD324B"/>
    <w:rsid w:val="00FF18B2"/>
    <w:rsid w:val="00FF67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0C3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21C3B"/>
    <w:rPr>
      <w:lang w:eastAsia="en-US"/>
    </w:rPr>
  </w:style>
  <w:style w:type="paragraph" w:customStyle="1" w:styleId="TopHeader">
    <w:name w:val="Top Header"/>
    <w:basedOn w:val="Normal"/>
    <w:uiPriority w:val="99"/>
    <w:rsid w:val="00621C3B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paragraph" w:styleId="Header">
    <w:name w:val="header"/>
    <w:basedOn w:val="Normal"/>
    <w:link w:val="HeaderChar"/>
    <w:uiPriority w:val="99"/>
    <w:rsid w:val="00E814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E8148F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814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E8148F"/>
    <w:rPr>
      <w:rFonts w:cs="Times New Roman"/>
    </w:rPr>
  </w:style>
  <w:style w:type="paragraph" w:styleId="PlainText">
    <w:name w:val="Plain Text"/>
    <w:basedOn w:val="Normal"/>
    <w:link w:val="PlainTextChar"/>
    <w:uiPriority w:val="99"/>
    <w:rsid w:val="00E8148F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E8148F"/>
    <w:rPr>
      <w:rFonts w:ascii="Courier New" w:hAnsi="Courier New" w:cs="Courier New"/>
      <w:sz w:val="20"/>
      <w:szCs w:val="20"/>
      <w:lang w:eastAsia="sk-SK"/>
    </w:rPr>
  </w:style>
  <w:style w:type="paragraph" w:styleId="BodyText">
    <w:name w:val="Body Text"/>
    <w:basedOn w:val="Normal"/>
    <w:link w:val="BodyTextChar"/>
    <w:uiPriority w:val="99"/>
    <w:rsid w:val="00E8148F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8148F"/>
    <w:rPr>
      <w:rFonts w:ascii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8207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2074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594DA1"/>
    <w:pPr>
      <w:ind w:left="720"/>
      <w:contextualSpacing/>
    </w:pPr>
  </w:style>
  <w:style w:type="paragraph" w:customStyle="1" w:styleId="Default">
    <w:name w:val="Default"/>
    <w:uiPriority w:val="99"/>
    <w:rsid w:val="00A145A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99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5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5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5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3</Pages>
  <Words>888</Words>
  <Characters>5062</Characters>
  <Application>Microsoft Office Outlook</Application>
  <DocSecurity>0</DocSecurity>
  <Lines>0</Lines>
  <Paragraphs>0</Paragraphs>
  <ScaleCrop>false</ScaleCrop>
  <Company>ADP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</dc:creator>
  <cp:keywords/>
  <dc:description/>
  <cp:lastModifiedBy>Trellova</cp:lastModifiedBy>
  <cp:revision>3</cp:revision>
  <cp:lastPrinted>2017-06-29T09:09:00Z</cp:lastPrinted>
  <dcterms:created xsi:type="dcterms:W3CDTF">2018-06-25T10:05:00Z</dcterms:created>
  <dcterms:modified xsi:type="dcterms:W3CDTF">2018-06-25T10:11:00Z</dcterms:modified>
</cp:coreProperties>
</file>