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E4A" w:rsidRDefault="00BC5763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5952" behindDoc="1" locked="0" layoutInCell="0" allowOverlap="1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6976" behindDoc="1" locked="0" layoutInCell="0" allowOverlap="1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8000" behindDoc="1" locked="0" layoutInCell="0" allowOverlap="1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9024" behindDoc="1" locked="0" layoutInCell="0" allowOverlap="1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0048" behindDoc="1" locked="0" layoutInCell="0" allowOverlap="1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1072" behindDoc="1" locked="0" layoutInCell="0" allowOverlap="1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2096" behindDoc="1" locked="0" layoutInCell="0" allowOverlap="1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3120" behindDoc="1" locked="0" layoutInCell="0" allowOverlap="1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4144" behindDoc="1" locked="0" layoutInCell="0" allowOverlap="1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5168" behindDoc="1" locked="0" layoutInCell="0" allowOverlap="1">
            <wp:simplePos x="0" y="0"/>
            <wp:positionH relativeFrom="page">
              <wp:posOffset>6841490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6192" behindDoc="1" locked="0" layoutInCell="0" allowOverlap="1">
            <wp:simplePos x="0" y="0"/>
            <wp:positionH relativeFrom="page">
              <wp:posOffset>6985635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page">
              <wp:posOffset>4213225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4384" behindDoc="1" locked="0" layoutInCell="0" allowOverlap="1">
            <wp:simplePos x="0" y="0"/>
            <wp:positionH relativeFrom="page">
              <wp:posOffset>4357370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0"/>
          <w:szCs w:val="20"/>
        </w:rPr>
        <w:t>Poznámky Úč MÚJ 3 - 01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IČO</w:t>
      </w:r>
      <w:r>
        <w:rPr>
          <w:rFonts w:ascii="Arial" w:eastAsia="Arial" w:hAnsi="Arial" w:cs="Arial"/>
          <w:sz w:val="20"/>
          <w:szCs w:val="20"/>
        </w:rPr>
        <w:tab/>
      </w:r>
      <w:r w:rsidRPr="00BC5763">
        <w:rPr>
          <w:rFonts w:ascii="Arial" w:eastAsia="Arial" w:hAnsi="Arial" w:cs="Arial"/>
          <w:sz w:val="20"/>
          <w:szCs w:val="20"/>
          <w:bdr w:val="single" w:sz="4" w:space="0" w:color="auto"/>
        </w:rPr>
        <w:t>3  6  8  1  5  7  7  2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DIČ</w:t>
      </w:r>
      <w:r>
        <w:rPr>
          <w:rFonts w:ascii="Arial" w:eastAsia="Arial" w:hAnsi="Arial" w:cs="Arial"/>
          <w:sz w:val="20"/>
          <w:szCs w:val="20"/>
        </w:rPr>
        <w:tab/>
        <w:t>2  0  2  2  4  2  5  2  0  7</w:t>
      </w:r>
    </w:p>
    <w:p w:rsidR="00877E4A" w:rsidRDefault="00877E4A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ectPr w:rsidR="00877E4A"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  <w:bookmarkStart w:id="1" w:name="_GoBack"/>
      <w:bookmarkEnd w:id="1"/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320" w:lineRule="exact"/>
        <w:rPr>
          <w:sz w:val="24"/>
          <w:szCs w:val="24"/>
        </w:rPr>
      </w:pPr>
    </w:p>
    <w:p w:rsidR="00877E4A" w:rsidRDefault="00BC5763">
      <w:pPr>
        <w:ind w:left="6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36"/>
          <w:szCs w:val="36"/>
        </w:rPr>
        <w:t>Poznámky k účtovnej závierke za rok 201</w:t>
      </w:r>
      <w:r w:rsidR="006367BE">
        <w:rPr>
          <w:rFonts w:ascii="Arial" w:eastAsia="Arial" w:hAnsi="Arial" w:cs="Arial"/>
          <w:b/>
          <w:bCs/>
          <w:sz w:val="36"/>
          <w:szCs w:val="36"/>
        </w:rPr>
        <w:t>7</w:t>
      </w:r>
    </w:p>
    <w:p w:rsidR="00877E4A" w:rsidRDefault="00877E4A">
      <w:pPr>
        <w:spacing w:line="245" w:lineRule="exact"/>
        <w:rPr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7940"/>
      </w:tblGrid>
      <w:tr w:rsidR="00877E4A">
        <w:trPr>
          <w:trHeight w:val="301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C&amp;F consorcium </w:t>
            </w: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Gorkého 14,085 01Bardejov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64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08.08.2007</w:t>
            </w:r>
          </w:p>
        </w:tc>
      </w:tr>
      <w:tr w:rsidR="00877E4A">
        <w:trPr>
          <w:trHeight w:val="227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spacing w:line="227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ostatné finančné služby</w:t>
            </w:r>
          </w:p>
        </w:tc>
      </w:tr>
      <w:tr w:rsidR="00877E4A">
        <w:trPr>
          <w:trHeight w:val="258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</w:tr>
      <w:tr w:rsidR="00877E4A">
        <w:trPr>
          <w:trHeight w:val="286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Martin Jakubov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</w:tbl>
    <w:p w:rsidR="00877E4A" w:rsidRDefault="00877E4A">
      <w:pPr>
        <w:sectPr w:rsidR="00877E4A">
          <w:type w:val="continuous"/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2" w:name="page2"/>
      <w:bookmarkEnd w:id="2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str.2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(3)</w:t>
      </w:r>
    </w:p>
    <w:p w:rsidR="00877E4A" w:rsidRDefault="00877E4A">
      <w:pPr>
        <w:spacing w:line="56" w:lineRule="exact"/>
        <w:rPr>
          <w:sz w:val="20"/>
          <w:szCs w:val="20"/>
        </w:rPr>
      </w:pPr>
    </w:p>
    <w:p w:rsidR="00877E4A" w:rsidRDefault="00BC5763">
      <w:pPr>
        <w:spacing w:line="274" w:lineRule="auto"/>
        <w:ind w:left="60" w:right="3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39370</wp:posOffset>
            </wp:positionV>
            <wp:extent cx="6849745" cy="18923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78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závierka za r.201</w:t>
      </w:r>
      <w:r w:rsidR="006367BE">
        <w:rPr>
          <w:rFonts w:ascii="Arial" w:eastAsia="Arial" w:hAnsi="Arial" w:cs="Arial"/>
          <w:sz w:val="20"/>
          <w:szCs w:val="20"/>
        </w:rPr>
        <w:t>7</w:t>
      </w:r>
      <w:r>
        <w:rPr>
          <w:rFonts w:ascii="Arial" w:eastAsia="Arial" w:hAnsi="Arial" w:cs="Arial"/>
          <w:sz w:val="20"/>
          <w:szCs w:val="20"/>
        </w:rPr>
        <w:t xml:space="preserve"> bola schválená </w:t>
      </w:r>
      <w:r w:rsidR="006367BE">
        <w:rPr>
          <w:rFonts w:ascii="Arial" w:eastAsia="Arial" w:hAnsi="Arial" w:cs="Arial"/>
          <w:sz w:val="20"/>
          <w:szCs w:val="20"/>
        </w:rPr>
        <w:t>26.6.2018</w:t>
      </w:r>
    </w:p>
    <w:p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</w:t>
      </w:r>
      <w:r>
        <w:rPr>
          <w:rFonts w:ascii="Arial" w:eastAsia="Arial" w:hAnsi="Arial" w:cs="Arial"/>
          <w:b/>
          <w:bCs/>
          <w:sz w:val="20"/>
          <w:szCs w:val="20"/>
        </w:rPr>
        <w:t>(4)</w:t>
      </w:r>
    </w:p>
    <w:p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Právny dôvod na zostavenie účtovnej závierky.</w:t>
      </w:r>
    </w:p>
    <w:p w:rsidR="00877E4A" w:rsidRDefault="00877E4A">
      <w:pPr>
        <w:spacing w:line="53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zostavila riad</w:t>
      </w:r>
      <w:r w:rsidR="006367BE">
        <w:rPr>
          <w:rFonts w:ascii="Arial" w:eastAsia="Arial" w:hAnsi="Arial" w:cs="Arial"/>
          <w:sz w:val="20"/>
          <w:szCs w:val="20"/>
        </w:rPr>
        <w:t>nu účtovnú závierku k 31.12.2017</w:t>
      </w:r>
    </w:p>
    <w:p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(5)</w:t>
      </w:r>
    </w:p>
    <w:p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Údaje o skupine, a to: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-528320</wp:posOffset>
            </wp:positionV>
            <wp:extent cx="6849745" cy="18923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208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najväčšiu</w:t>
      </w:r>
      <w:r>
        <w:rPr>
          <w:rFonts w:ascii="Arial" w:eastAsia="Arial" w:hAnsi="Arial" w:cs="Arial"/>
          <w:sz w:val="20"/>
          <w:szCs w:val="20"/>
        </w:rPr>
        <w:t xml:space="preserve"> skupinu, ktorej súčasťou je účtovná jednotka ako dcérska účtovná jednotka,</w:t>
      </w:r>
    </w:p>
    <w:p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56" w:lineRule="auto"/>
        <w:ind w:left="60" w:right="4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najmenšiu skupinu, ktorej súčasťou je účtovná jednotka ako dcérska účtovná jednotka, a k</w:t>
      </w:r>
      <w:r>
        <w:rPr>
          <w:rFonts w:ascii="Arial" w:eastAsia="Arial" w:hAnsi="Arial" w:cs="Arial"/>
          <w:sz w:val="20"/>
          <w:szCs w:val="20"/>
        </w:rPr>
        <w:t>torá je tiež začlenená do skupiny účtovných jednotiek uvedených v písmene a),</w:t>
      </w:r>
    </w:p>
    <w:p w:rsidR="00877E4A" w:rsidRDefault="00877E4A">
      <w:pPr>
        <w:spacing w:line="180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adresa, kde sa môže vyžiadať kópia konsolidovaných účtovných závierok uvedených v písmenách a) a b),</w:t>
      </w:r>
    </w:p>
    <w:p w:rsidR="00877E4A" w:rsidRDefault="00877E4A">
      <w:pPr>
        <w:spacing w:line="228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right="11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údaj, či účtovná jednotka je materskou účtovnou jednotkou a údaj, či je </w:t>
      </w:r>
      <w:r>
        <w:rPr>
          <w:rFonts w:ascii="Arial" w:eastAsia="Arial" w:hAnsi="Arial" w:cs="Arial"/>
          <w:sz w:val="20"/>
          <w:szCs w:val="20"/>
        </w:rPr>
        <w:t>oslobodená od povinnosti zostaviť konsolidovanú účtovnú závierku a konsolidovanú výročnú správu podľa § 22 zákona, pričom sa uvádzajú</w:t>
      </w:r>
    </w:p>
    <w:p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1"/>
          <w:numId w:val="2"/>
        </w:numPr>
        <w:tabs>
          <w:tab w:val="left" w:pos="500"/>
        </w:tabs>
        <w:spacing w:line="239" w:lineRule="auto"/>
        <w:ind w:left="500" w:right="92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8 zákona obchodné meno a sídlo materskej účtovnej jednotky zostavujúcej konsolidovanú účto</w:t>
      </w:r>
      <w:r>
        <w:rPr>
          <w:rFonts w:ascii="Arial" w:eastAsia="Arial" w:hAnsi="Arial" w:cs="Arial"/>
          <w:sz w:val="20"/>
          <w:szCs w:val="20"/>
        </w:rPr>
        <w:t>vnú závierku podľa osobitných predpisov,12)</w:t>
      </w:r>
    </w:p>
    <w:p w:rsidR="00877E4A" w:rsidRDefault="00BC5763">
      <w:pPr>
        <w:numPr>
          <w:ilvl w:val="1"/>
          <w:numId w:val="2"/>
        </w:numPr>
        <w:tabs>
          <w:tab w:val="left" w:pos="500"/>
        </w:tabs>
        <w:ind w:left="50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10 a 12 zákona obchodné meno a sídlo dcérskych účtovných jednotiek.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6849745" cy="32385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323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51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3"/>
        </w:numPr>
        <w:tabs>
          <w:tab w:val="left" w:pos="182"/>
        </w:tabs>
        <w:spacing w:line="257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nezostavuje konsolidovanú účtovnú závierku, ani sa nezahrňa do konsolidovanej účtovnej závier</w:t>
      </w:r>
      <w:r>
        <w:rPr>
          <w:rFonts w:ascii="Arial" w:eastAsia="Arial" w:hAnsi="Arial" w:cs="Arial"/>
          <w:sz w:val="20"/>
          <w:szCs w:val="20"/>
        </w:rPr>
        <w:t>ky ine spoločnosti.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(6) </w:t>
      </w:r>
      <w:r>
        <w:rPr>
          <w:rFonts w:ascii="Arial" w:eastAsia="Arial" w:hAnsi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zamestnancov účtovnej jednotky ku dňu, ku ktorému sa zostavuje účtovná závierka, z toho počet vedúcich zamestnancov, ktorými sa rozum</w:t>
      </w:r>
      <w:r>
        <w:rPr>
          <w:rFonts w:ascii="Arial" w:eastAsia="Arial" w:hAnsi="Arial" w:cs="Arial"/>
          <w:sz w:val="20"/>
          <w:szCs w:val="20"/>
        </w:rPr>
        <w:t>ejú členovia štatutárneho orgánu účtovnej jednotky a vedúci zamestnanci v priamej pôsobnosti štatutárneho orgánu alebo člena štatutárneho orgánu.</w:t>
      </w:r>
    </w:p>
    <w:p w:rsidR="00877E4A" w:rsidRDefault="00877E4A">
      <w:pPr>
        <w:spacing w:line="4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Tabuľka 1: Informácie k Čl. I odst. 6 o počte zamestnancov</w:t>
      </w:r>
    </w:p>
    <w:p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0"/>
        <w:gridCol w:w="3180"/>
        <w:gridCol w:w="3340"/>
        <w:gridCol w:w="30"/>
      </w:tblGrid>
      <w:tr w:rsidR="00877E4A">
        <w:trPr>
          <w:trHeight w:val="255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523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2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5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4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2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71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31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8"/>
        </w:trPr>
        <w:tc>
          <w:tcPr>
            <w:tcW w:w="4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16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0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20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57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20" w:lineRule="exact"/>
        <w:rPr>
          <w:sz w:val="20"/>
          <w:szCs w:val="20"/>
        </w:rPr>
      </w:pPr>
    </w:p>
    <w:p w:rsidR="00877E4A" w:rsidRDefault="00BC5763">
      <w:pPr>
        <w:spacing w:line="239" w:lineRule="auto"/>
        <w:ind w:left="60" w:right="110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(2) </w:t>
      </w:r>
      <w:r>
        <w:rPr>
          <w:rFonts w:ascii="Arial" w:eastAsia="Arial" w:hAnsi="Arial" w:cs="Arial"/>
          <w:sz w:val="20"/>
          <w:szCs w:val="20"/>
        </w:rPr>
        <w:t>Informácia o aplikácií účtovných zásad a účtovných metód, ktoré sú dôležité na posúdenie majetku,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záväzkov, finančnej situácie a výsledku hospodárenia. Informácia o zmenách účtovných zásad a zmenách účtovných metód, a to s uvedením dôvodu ich uplatnenia a </w:t>
      </w:r>
      <w:r>
        <w:rPr>
          <w:rFonts w:ascii="Arial" w:eastAsia="Arial" w:hAnsi="Arial" w:cs="Arial"/>
          <w:sz w:val="20"/>
          <w:szCs w:val="20"/>
        </w:rPr>
        <w:t>ich vplyvu na hodnotu majetku, záväzkov, vlastného imania a výsledku hospodárenia účtovnej jednotky. Ak v dôsledku zmeny účtovných zásad</w:t>
      </w:r>
    </w:p>
    <w:p w:rsidR="00877E4A" w:rsidRDefault="00877E4A">
      <w:pPr>
        <w:spacing w:line="3" w:lineRule="exact"/>
        <w:rPr>
          <w:sz w:val="20"/>
          <w:szCs w:val="20"/>
        </w:rPr>
      </w:pPr>
    </w:p>
    <w:p w:rsidR="00877E4A" w:rsidRDefault="00BC5763">
      <w:pPr>
        <w:spacing w:line="301" w:lineRule="auto"/>
        <w:ind w:left="60" w:right="1860"/>
        <w:rPr>
          <w:sz w:val="20"/>
          <w:szCs w:val="20"/>
        </w:rPr>
      </w:pPr>
      <w:r>
        <w:rPr>
          <w:rFonts w:ascii="Arial" w:eastAsia="Arial" w:hAnsi="Arial" w:cs="Arial"/>
          <w:sz w:val="19"/>
          <w:szCs w:val="19"/>
        </w:rPr>
        <w:t>a účtovných metód nie sú hodnoty za bezprostredne predchádzajúce účtovné obdobie v jednotlivých súčastiach účtovnej zá</w:t>
      </w:r>
      <w:r>
        <w:rPr>
          <w:rFonts w:ascii="Arial" w:eastAsia="Arial" w:hAnsi="Arial" w:cs="Arial"/>
          <w:sz w:val="19"/>
          <w:szCs w:val="19"/>
        </w:rPr>
        <w:t>vierky porovnateľné, uvádza sa vysvetlenie o neporovnateľných hodnotách.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-17145</wp:posOffset>
            </wp:positionV>
            <wp:extent cx="6849745" cy="18986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- účtovná jednotka účtuje v sústave PÚ.</w:t>
      </w:r>
    </w:p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bookmarkStart w:id="3" w:name="page3"/>
            <w:bookmarkEnd w:id="3"/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str.3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460" w:right="1160" w:hanging="388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(4) </w:t>
      </w:r>
      <w:r>
        <w:rPr>
          <w:rFonts w:ascii="Arial" w:eastAsia="Arial" w:hAnsi="Arial" w:cs="Arial"/>
          <w:sz w:val="20"/>
          <w:szCs w:val="20"/>
        </w:rPr>
        <w:t xml:space="preserve">Spôsob a </w:t>
      </w:r>
      <w:r>
        <w:rPr>
          <w:rFonts w:ascii="Arial" w:eastAsia="Arial" w:hAnsi="Arial" w:cs="Arial"/>
          <w:sz w:val="20"/>
          <w:szCs w:val="20"/>
        </w:rPr>
        <w:t>určenie ocenenia majetku a záväzkov vrátane určenia rozhodujúcich účtovných odhadov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 predpokladov, pričom sa zohľadňuje zásada významnosti. Uvádza sa najmä</w:t>
      </w:r>
    </w:p>
    <w:p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188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obstarávacia cena, vlastné náklady, menovitá hodnota, reálna hodnota, hodnota zistená metódou vlast</w:t>
      </w:r>
      <w:r>
        <w:rPr>
          <w:rFonts w:ascii="Arial" w:eastAsia="Arial" w:hAnsi="Arial" w:cs="Arial"/>
          <w:sz w:val="20"/>
          <w:szCs w:val="20"/>
        </w:rPr>
        <w:t>ného imania, aktivovanie úrokov tvoriacich súčasť ocenenia majetku a záväzkov,</w:t>
      </w:r>
    </w:p>
    <w:p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odhadu zníženia hodnoty majetku a tvorba opravnej položky k majetku,</w:t>
      </w:r>
    </w:p>
    <w:p w:rsidR="00877E4A" w:rsidRDefault="00BC5763">
      <w:pPr>
        <w:numPr>
          <w:ilvl w:val="0"/>
          <w:numId w:val="4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záväzkov, stanovenie odhadu ocenenia rezerv,</w:t>
      </w:r>
    </w:p>
    <w:p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8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určenie ocenenia finančných nástrojov </w:t>
      </w:r>
      <w:r>
        <w:rPr>
          <w:rFonts w:ascii="Arial" w:eastAsia="Arial" w:hAnsi="Arial" w:cs="Arial"/>
          <w:sz w:val="20"/>
          <w:szCs w:val="20"/>
        </w:rPr>
        <w:t>alebo majetku, ktorý nie je finančným nástrojom pri oceňovaní reálnou hodnotou, a to: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20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reálnou hodnotou, pričom sa uvádza aplikácia reálnej hodnoty podľa zákona; pri kvalifikovanom odhade sa uvádza stanovenie významných predpokladov slúžiac</w:t>
      </w:r>
      <w:r>
        <w:rPr>
          <w:rFonts w:ascii="Arial" w:eastAsia="Arial" w:hAnsi="Arial" w:cs="Arial"/>
          <w:sz w:val="20"/>
          <w:szCs w:val="20"/>
        </w:rPr>
        <w:t>ich ako základ modelov a postupov ocenenia,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každú kategóriu finančných nástrojov alebo majetku, ktorý nie je finančným nástrojom sa uvádza reálna hodnota a údaj o tom, v akej sume sa zmeny reálnej hodnoty zahrnuli do výkazu ziskov a strát a v akej sume</w:t>
      </w:r>
      <w:r>
        <w:rPr>
          <w:rFonts w:ascii="Arial" w:eastAsia="Arial" w:hAnsi="Arial" w:cs="Arial"/>
          <w:sz w:val="20"/>
          <w:szCs w:val="20"/>
        </w:rPr>
        <w:t xml:space="preserve"> sa zahrnuli do vlastného imania ako oceňovacie rozdiely,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informácie o rozsahu a podstate týchto nástrojov vrátane hlavnýc podmienok a okolností, ktoré môžu ovplyvniť sumu, časový priebeh a mieru istoty budú</w:t>
      </w:r>
      <w:r>
        <w:rPr>
          <w:rFonts w:ascii="Arial" w:eastAsia="Arial" w:hAnsi="Arial" w:cs="Arial"/>
          <w:sz w:val="20"/>
          <w:szCs w:val="20"/>
        </w:rPr>
        <w:t>cich peňažných tokov,</w:t>
      </w:r>
    </w:p>
    <w:p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pri oceňovaní obstarávacou cenou alebo vlastnými nákladmi, a to: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pre každý druh derivátových finančných nástrojov sa uvádza reálna hodnota týchto finančných nástrojov, ak sa môže spoľahlivo určiť </w:t>
      </w:r>
      <w:r>
        <w:rPr>
          <w:rFonts w:ascii="Arial" w:eastAsia="Arial" w:hAnsi="Arial" w:cs="Arial"/>
          <w:sz w:val="20"/>
          <w:szCs w:val="20"/>
        </w:rPr>
        <w:t>ako trhová cena a informácia o rozsahu a charaktere týchto nástrojov,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dlhodobom finančnom majetku, ktorý sa vykazuje vo vyššej hodnote ako je jeho reálna hodnota, sa uvádza</w:t>
      </w:r>
    </w:p>
    <w:p w:rsidR="00877E4A" w:rsidRDefault="00BC5763">
      <w:pPr>
        <w:spacing w:line="239" w:lineRule="auto"/>
        <w:ind w:left="900" w:right="400" w:hanging="277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2a. účtovná hodnota a reálna hodnota za jednotlivé položky majetku alebo skupin</w:t>
      </w:r>
      <w:r>
        <w:rPr>
          <w:rFonts w:ascii="Arial" w:eastAsia="Arial" w:hAnsi="Arial" w:cs="Arial"/>
          <w:sz w:val="20"/>
          <w:szCs w:val="20"/>
        </w:rPr>
        <w:t>y týchto jednotlivých položiek majetku,</w:t>
      </w:r>
    </w:p>
    <w:p w:rsidR="00877E4A" w:rsidRDefault="00BC5763">
      <w:pPr>
        <w:spacing w:line="239" w:lineRule="auto"/>
        <w:ind w:left="960" w:right="640" w:hanging="333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2b. dôvod pre nezníženie účtovnej hodnoty vrátane povahy dôkazov pre predpoklad, že sa účtovná hodnota opätovne dosiahne,</w:t>
      </w:r>
    </w:p>
    <w:p w:rsidR="00877E4A" w:rsidRDefault="00BC5763">
      <w:pPr>
        <w:numPr>
          <w:ilvl w:val="0"/>
          <w:numId w:val="5"/>
        </w:numPr>
        <w:tabs>
          <w:tab w:val="left" w:pos="238"/>
        </w:tabs>
        <w:spacing w:line="239" w:lineRule="auto"/>
        <w:ind w:left="60" w:right="6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tvorba odpisového plánu pre dlhodobý majetok, pričom sa uvádza doba odpisovania, sadzby odpiso</w:t>
      </w:r>
      <w:r>
        <w:rPr>
          <w:rFonts w:ascii="Arial" w:eastAsia="Arial" w:hAnsi="Arial" w:cs="Arial"/>
          <w:sz w:val="20"/>
          <w:szCs w:val="20"/>
        </w:rPr>
        <w:t>v a odpisové metódy pre účtovné odpisy,</w:t>
      </w:r>
    </w:p>
    <w:p w:rsidR="00877E4A" w:rsidRDefault="00BC5763">
      <w:pPr>
        <w:numPr>
          <w:ilvl w:val="0"/>
          <w:numId w:val="5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informácia o poskytnutých dotáciách a pri dotáciách na obstaranie majetku sa uvedú zložky majetku a ich ocenenie.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8255</wp:posOffset>
            </wp:positionV>
            <wp:extent cx="6849745" cy="46672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29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'- dlhodobý hmotný majetok firma nevlastní.</w:t>
      </w:r>
    </w:p>
    <w:p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zásoby v r.2016 neboli obstaravané</w:t>
      </w:r>
    </w:p>
    <w:p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záväzky finančný maj</w:t>
      </w:r>
      <w:r>
        <w:rPr>
          <w:rFonts w:ascii="Arial" w:eastAsia="Arial" w:hAnsi="Arial" w:cs="Arial"/>
          <w:sz w:val="20"/>
          <w:szCs w:val="20"/>
        </w:rPr>
        <w:t>etok boli oceňované menovitou hodnotou.'</w:t>
      </w:r>
    </w:p>
    <w:p w:rsidR="00877E4A" w:rsidRDefault="00877E4A">
      <w:pPr>
        <w:spacing w:line="32" w:lineRule="exact"/>
        <w:rPr>
          <w:sz w:val="20"/>
          <w:szCs w:val="20"/>
        </w:rPr>
      </w:pPr>
    </w:p>
    <w:p w:rsidR="00877E4A" w:rsidRDefault="00BC5763">
      <w:pPr>
        <w:spacing w:line="236" w:lineRule="auto"/>
        <w:ind w:left="60" w:right="5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Čl.III - p) </w:t>
      </w:r>
      <w:r>
        <w:rPr>
          <w:rFonts w:ascii="Arial" w:eastAsia="Arial" w:hAnsi="Arial" w:cs="Arial"/>
          <w:sz w:val="20"/>
          <w:szCs w:val="20"/>
        </w:rPr>
        <w:t>najvýznamnejších položkách pohľadávok, pričom sa tiež uvádzajú opravné položky za účtovné obdobie, s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uvedením stavu na začiatku účtovného obdobia, tvorba, zúčtovanie opravných položiek a stav na konci </w:t>
      </w:r>
      <w:r>
        <w:rPr>
          <w:rFonts w:ascii="Arial" w:eastAsia="Arial" w:hAnsi="Arial" w:cs="Arial"/>
          <w:sz w:val="20"/>
          <w:szCs w:val="20"/>
        </w:rPr>
        <w:t>účtovného obdobia a osobitne sa uvádza dôvod ich tvorby a zúčtovania,</w:t>
      </w:r>
    </w:p>
    <w:p w:rsidR="00877E4A" w:rsidRDefault="00877E4A">
      <w:pPr>
        <w:spacing w:line="2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18: Informácie k Čl. III odst. 1 písm. p) o vývoji OP k pohľadávkam</w:t>
      </w:r>
    </w:p>
    <w:p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0"/>
        <w:gridCol w:w="1640"/>
        <w:gridCol w:w="1640"/>
        <w:gridCol w:w="1640"/>
        <w:gridCol w:w="1540"/>
        <w:gridCol w:w="1580"/>
        <w:gridCol w:w="30"/>
      </w:tblGrid>
      <w:tr w:rsidR="00877E4A">
        <w:trPr>
          <w:trHeight w:val="2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64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820" w:type="dxa"/>
            <w:gridSpan w:val="3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right="13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Stav OP na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Zúčtovanie OP z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8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Zúčtovanie OP z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dôvodu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OP na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dôvodu zániku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vyradenia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účtovného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opodstatnenosti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majetku z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účtovníctva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12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e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f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6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17332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4067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21399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28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Pohľadávky </w:t>
            </w:r>
            <w:r>
              <w:rPr>
                <w:rFonts w:ascii="Arial" w:eastAsia="Arial" w:hAnsi="Arial" w:cs="Arial"/>
                <w:sz w:val="18"/>
                <w:szCs w:val="18"/>
              </w:rPr>
              <w:t>voči dcérskej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10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 a materskej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40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1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kons. celku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spoločníkom,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členom a združeniu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7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Iné </w:t>
            </w:r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8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17332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4067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21399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5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4" w:name="page4"/>
      <w:bookmarkEnd w:id="4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900"/>
        <w:gridCol w:w="700"/>
        <w:gridCol w:w="40"/>
        <w:gridCol w:w="180"/>
        <w:gridCol w:w="220"/>
        <w:gridCol w:w="240"/>
        <w:gridCol w:w="220"/>
        <w:gridCol w:w="220"/>
        <w:gridCol w:w="240"/>
        <w:gridCol w:w="220"/>
        <w:gridCol w:w="220"/>
        <w:gridCol w:w="460"/>
        <w:gridCol w:w="140"/>
        <w:gridCol w:w="1100"/>
        <w:gridCol w:w="180"/>
        <w:gridCol w:w="220"/>
        <w:gridCol w:w="220"/>
        <w:gridCol w:w="240"/>
        <w:gridCol w:w="40"/>
        <w:gridCol w:w="80"/>
        <w:gridCol w:w="100"/>
        <w:gridCol w:w="240"/>
        <w:gridCol w:w="220"/>
        <w:gridCol w:w="220"/>
        <w:gridCol w:w="240"/>
        <w:gridCol w:w="220"/>
        <w:gridCol w:w="220"/>
        <w:gridCol w:w="100"/>
        <w:gridCol w:w="640"/>
        <w:gridCol w:w="3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5"/>
                <w:sz w:val="20"/>
                <w:szCs w:val="20"/>
              </w:rPr>
              <w:t>IČO</w:t>
            </w:r>
          </w:p>
        </w:tc>
        <w:tc>
          <w:tcPr>
            <w:tcW w:w="2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gridSpan w:val="2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56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str.4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61"/>
        </w:trPr>
        <w:tc>
          <w:tcPr>
            <w:tcW w:w="6520" w:type="dxa"/>
            <w:gridSpan w:val="14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q)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hodnote pohľadávok do lehoty </w:t>
            </w:r>
            <w:r>
              <w:rPr>
                <w:rFonts w:ascii="Arial" w:eastAsia="Arial" w:hAnsi="Arial" w:cs="Arial"/>
                <w:sz w:val="20"/>
                <w:szCs w:val="20"/>
              </w:rPr>
              <w:t>splatnosti a po lehote splatnosti,</w:t>
            </w: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6"/>
        </w:trPr>
        <w:tc>
          <w:tcPr>
            <w:tcW w:w="7620" w:type="dxa"/>
            <w:gridSpan w:val="1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19: Informácie k Čl. III odst.1 písm. q) o vekovej štruktúre pohľadávok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85"/>
        </w:trPr>
        <w:tc>
          <w:tcPr>
            <w:tcW w:w="3420" w:type="dxa"/>
            <w:gridSpan w:val="2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14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8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gridSpan w:val="6"/>
            <w:vAlign w:val="bottom"/>
          </w:tcPr>
          <w:p w:rsidR="00877E4A" w:rsidRDefault="00BC5763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100" w:type="dxa"/>
            <w:gridSpan w:val="8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2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20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8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8"/>
                <w:sz w:val="18"/>
                <w:szCs w:val="18"/>
              </w:rPr>
              <w:t>c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Iné </w:t>
            </w:r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27534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27534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 xml:space="preserve">Pohľadávky </w:t>
            </w: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28026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28026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94"/>
        </w:trPr>
        <w:tc>
          <w:tcPr>
            <w:tcW w:w="6520" w:type="dxa"/>
            <w:gridSpan w:val="14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eastAsia="Arial" w:hAnsi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6"/>
        </w:trPr>
        <w:tc>
          <w:tcPr>
            <w:tcW w:w="8520" w:type="dxa"/>
            <w:gridSpan w:val="20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5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:rsidR="00877E4A" w:rsidRDefault="00877E4A"/>
        </w:tc>
        <w:tc>
          <w:tcPr>
            <w:tcW w:w="40" w:type="dxa"/>
            <w:vAlign w:val="bottom"/>
          </w:tcPr>
          <w:p w:rsidR="00877E4A" w:rsidRDefault="00877E4A"/>
        </w:tc>
        <w:tc>
          <w:tcPr>
            <w:tcW w:w="180" w:type="dxa"/>
            <w:vAlign w:val="bottom"/>
          </w:tcPr>
          <w:p w:rsidR="00877E4A" w:rsidRDefault="00877E4A"/>
        </w:tc>
        <w:tc>
          <w:tcPr>
            <w:tcW w:w="220" w:type="dxa"/>
            <w:vAlign w:val="bottom"/>
          </w:tcPr>
          <w:p w:rsidR="00877E4A" w:rsidRDefault="00877E4A"/>
        </w:tc>
        <w:tc>
          <w:tcPr>
            <w:tcW w:w="240" w:type="dxa"/>
            <w:vAlign w:val="bottom"/>
          </w:tcPr>
          <w:p w:rsidR="00877E4A" w:rsidRDefault="00877E4A"/>
        </w:tc>
        <w:tc>
          <w:tcPr>
            <w:tcW w:w="220" w:type="dxa"/>
            <w:vAlign w:val="bottom"/>
          </w:tcPr>
          <w:p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vAlign w:val="bottom"/>
          </w:tcPr>
          <w:p w:rsidR="00877E4A" w:rsidRDefault="00877E4A"/>
        </w:tc>
        <w:tc>
          <w:tcPr>
            <w:tcW w:w="2140" w:type="dxa"/>
            <w:gridSpan w:val="5"/>
            <w:vMerge w:val="restart"/>
            <w:vAlign w:val="bottom"/>
          </w:tcPr>
          <w:p w:rsidR="00877E4A" w:rsidRDefault="00BC576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7"/>
                <w:sz w:val="18"/>
                <w:szCs w:val="18"/>
              </w:rPr>
              <w:t>Bežné účtovné obdobie</w:t>
            </w:r>
          </w:p>
        </w:tc>
        <w:tc>
          <w:tcPr>
            <w:tcW w:w="180" w:type="dxa"/>
            <w:vAlign w:val="bottom"/>
          </w:tcPr>
          <w:p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140" w:type="dxa"/>
            <w:gridSpan w:val="5"/>
            <w:vMerge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gridSpan w:val="8"/>
            <w:vMerge w:val="restart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účtovné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gridSpan w:val="8"/>
            <w:vMerge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gridSpan w:val="9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6"/>
        </w:trPr>
        <w:tc>
          <w:tcPr>
            <w:tcW w:w="5240" w:type="dxa"/>
            <w:gridSpan w:val="9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0"/>
        </w:trPr>
        <w:tc>
          <w:tcPr>
            <w:tcW w:w="25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gridSpan w:val="9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7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gridSpan w:val="9"/>
            <w:vAlign w:val="bottom"/>
          </w:tcPr>
          <w:p w:rsidR="00877E4A" w:rsidRDefault="00BC5763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10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00" w:type="dxa"/>
            <w:gridSpan w:val="13"/>
            <w:vAlign w:val="bottom"/>
          </w:tcPr>
          <w:p w:rsidR="00877E4A" w:rsidRDefault="00BC5763">
            <w:pPr>
              <w:ind w:right="14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Názov položky</w:t>
            </w: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5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43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60" w:type="dxa"/>
            <w:gridSpan w:val="7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0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-5989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540" w:type="dxa"/>
            <w:gridSpan w:val="14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Zo štatutárnych a </w:t>
            </w:r>
            <w:r>
              <w:rPr>
                <w:rFonts w:ascii="Arial" w:eastAsia="Arial" w:hAnsi="Arial" w:cs="Arial"/>
                <w:sz w:val="18"/>
                <w:szCs w:val="18"/>
              </w:rPr>
              <w:t>ostatných fondov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 nerozdeleného zisku minulých období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Úhrada straty spoločníkmi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-5989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-5989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5" w:name="page5"/>
      <w:bookmarkEnd w:id="5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str.5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c)</w:t>
      </w:r>
      <w:r>
        <w:rPr>
          <w:rFonts w:ascii="Arial" w:eastAsia="Arial" w:hAnsi="Arial" w:cs="Arial"/>
          <w:sz w:val="20"/>
          <w:szCs w:val="20"/>
        </w:rPr>
        <w:t xml:space="preserve">výške záväzkov do lehoty splatnosti a po </w:t>
      </w:r>
      <w:r>
        <w:rPr>
          <w:rFonts w:ascii="Arial" w:eastAsia="Arial" w:hAnsi="Arial" w:cs="Arial"/>
          <w:sz w:val="20"/>
          <w:szCs w:val="20"/>
        </w:rPr>
        <w:t>lehote splatnosti,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d)</w:t>
      </w:r>
      <w:r>
        <w:rPr>
          <w:rFonts w:ascii="Arial" w:eastAsia="Arial" w:hAnsi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hodnota záväzkov so zostatkovou dobou splatnosti viac ako päť rokov,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26: Informácie k Čl. III odst. 2 pí</w:t>
      </w:r>
      <w:r>
        <w:rPr>
          <w:rFonts w:ascii="Arial" w:eastAsia="Arial" w:hAnsi="Arial" w:cs="Arial"/>
          <w:b/>
          <w:bCs/>
          <w:sz w:val="20"/>
          <w:szCs w:val="20"/>
        </w:rPr>
        <w:t>sm. c) a d) o záväzkoch</w:t>
      </w:r>
    </w:p>
    <w:p w:rsidR="00877E4A" w:rsidRDefault="00877E4A">
      <w:pPr>
        <w:spacing w:line="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jeden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rok až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14210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4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53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15007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14157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348" w:lineRule="exact"/>
        <w:rPr>
          <w:sz w:val="20"/>
          <w:szCs w:val="20"/>
        </w:rPr>
      </w:pPr>
    </w:p>
    <w:p w:rsidR="00877E4A" w:rsidRDefault="00BC5763">
      <w:pPr>
        <w:spacing w:line="259" w:lineRule="auto"/>
        <w:ind w:left="62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Čl. IV - (4) </w:t>
      </w:r>
      <w:r>
        <w:rPr>
          <w:rFonts w:ascii="Arial" w:eastAsia="Arial" w:hAnsi="Arial" w:cs="Arial"/>
          <w:sz w:val="19"/>
          <w:szCs w:val="19"/>
        </w:rPr>
        <w:t xml:space="preserve">V poznámkach sa uvádza členenie čistého obratu podľa § </w:t>
      </w:r>
      <w:r>
        <w:rPr>
          <w:rFonts w:ascii="Arial" w:eastAsia="Arial" w:hAnsi="Arial" w:cs="Arial"/>
          <w:sz w:val="19"/>
          <w:szCs w:val="19"/>
        </w:rPr>
        <w:t>2 ods. 14 zákona podľa jednotlivých typov výrobkov,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 w:rsidR="00877E4A" w:rsidRDefault="00BC5763">
      <w:pPr>
        <w:spacing w:line="254" w:lineRule="auto"/>
        <w:ind w:left="340" w:right="4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oblasti odbytu z hľadiska organizácie predaja výrobkov a tovarov a poskytovania služ</w:t>
      </w:r>
      <w:r>
        <w:rPr>
          <w:rFonts w:ascii="Arial" w:eastAsia="Arial" w:hAnsi="Arial" w:cs="Arial"/>
          <w:sz w:val="20"/>
          <w:szCs w:val="20"/>
        </w:rPr>
        <w:t>ieb výrazne odlišujú. Ak predmetom činnosti účtovnej jednotky je dosahovanie iných výnosov ako sú výnosy z predaja výrobkov, tovarov a služieb, uvádza sa aj opis iných výnosov zahrňovaných do čistého obratu.</w:t>
      </w: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47: Informácie k čl. IV odst. 4 o čistom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obrate</w:t>
      </w:r>
    </w:p>
    <w:p w:rsidR="00877E4A" w:rsidRDefault="00877E4A">
      <w:pPr>
        <w:spacing w:line="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Iné </w:t>
            </w:r>
            <w:r>
              <w:rPr>
                <w:rFonts w:ascii="Arial" w:eastAsia="Arial" w:hAnsi="Arial" w:cs="Arial"/>
                <w:sz w:val="18"/>
                <w:szCs w:val="18"/>
              </w:rPr>
              <w:t>výnosy súvisiace s bežnou činnosťou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1" w:lineRule="exact"/>
        <w:rPr>
          <w:sz w:val="20"/>
          <w:szCs w:val="20"/>
        </w:rPr>
      </w:pPr>
    </w:p>
    <w:sectPr w:rsidR="00877E4A">
      <w:pgSz w:w="11920" w:h="16845"/>
      <w:pgMar w:top="549" w:right="550" w:bottom="1440" w:left="560" w:header="0" w:footer="0" w:gutter="0"/>
      <w:cols w:space="708" w:equalWidth="0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E1F29"/>
    <w:multiLevelType w:val="hybridMultilevel"/>
    <w:tmpl w:val="B8A06480"/>
    <w:lvl w:ilvl="0" w:tplc="F75C0E8E">
      <w:start w:val="1"/>
      <w:numFmt w:val="bullet"/>
      <w:lvlText w:val="-"/>
      <w:lvlJc w:val="left"/>
    </w:lvl>
    <w:lvl w:ilvl="1" w:tplc="BE0A1A0E">
      <w:numFmt w:val="decimal"/>
      <w:lvlText w:val=""/>
      <w:lvlJc w:val="left"/>
    </w:lvl>
    <w:lvl w:ilvl="2" w:tplc="DD9AEBD0">
      <w:numFmt w:val="decimal"/>
      <w:lvlText w:val=""/>
      <w:lvlJc w:val="left"/>
    </w:lvl>
    <w:lvl w:ilvl="3" w:tplc="2DAEB788">
      <w:numFmt w:val="decimal"/>
      <w:lvlText w:val=""/>
      <w:lvlJc w:val="left"/>
    </w:lvl>
    <w:lvl w:ilvl="4" w:tplc="8D08CC74">
      <w:numFmt w:val="decimal"/>
      <w:lvlText w:val=""/>
      <w:lvlJc w:val="left"/>
    </w:lvl>
    <w:lvl w:ilvl="5" w:tplc="00D685C4">
      <w:numFmt w:val="decimal"/>
      <w:lvlText w:val=""/>
      <w:lvlJc w:val="left"/>
    </w:lvl>
    <w:lvl w:ilvl="6" w:tplc="54861368">
      <w:numFmt w:val="decimal"/>
      <w:lvlText w:val=""/>
      <w:lvlJc w:val="left"/>
    </w:lvl>
    <w:lvl w:ilvl="7" w:tplc="D15425CA">
      <w:numFmt w:val="decimal"/>
      <w:lvlText w:val=""/>
      <w:lvlJc w:val="left"/>
    </w:lvl>
    <w:lvl w:ilvl="8" w:tplc="242876FE">
      <w:numFmt w:val="decimal"/>
      <w:lvlText w:val=""/>
      <w:lvlJc w:val="left"/>
    </w:lvl>
  </w:abstractNum>
  <w:abstractNum w:abstractNumId="1" w15:restartNumberingAfterBreak="0">
    <w:nsid w:val="2AE8944A"/>
    <w:multiLevelType w:val="hybridMultilevel"/>
    <w:tmpl w:val="D062C4CE"/>
    <w:lvl w:ilvl="0" w:tplc="AA609BAC">
      <w:start w:val="1"/>
      <w:numFmt w:val="bullet"/>
      <w:lvlText w:val="-"/>
      <w:lvlJc w:val="left"/>
    </w:lvl>
    <w:lvl w:ilvl="1" w:tplc="887C8B6A">
      <w:numFmt w:val="decimal"/>
      <w:lvlText w:val=""/>
      <w:lvlJc w:val="left"/>
    </w:lvl>
    <w:lvl w:ilvl="2" w:tplc="0A34BEFC">
      <w:numFmt w:val="decimal"/>
      <w:lvlText w:val=""/>
      <w:lvlJc w:val="left"/>
    </w:lvl>
    <w:lvl w:ilvl="3" w:tplc="3F9EDE18">
      <w:numFmt w:val="decimal"/>
      <w:lvlText w:val=""/>
      <w:lvlJc w:val="left"/>
    </w:lvl>
    <w:lvl w:ilvl="4" w:tplc="CBB0B710">
      <w:numFmt w:val="decimal"/>
      <w:lvlText w:val=""/>
      <w:lvlJc w:val="left"/>
    </w:lvl>
    <w:lvl w:ilvl="5" w:tplc="7BE0C55E">
      <w:numFmt w:val="decimal"/>
      <w:lvlText w:val=""/>
      <w:lvlJc w:val="left"/>
    </w:lvl>
    <w:lvl w:ilvl="6" w:tplc="37704538">
      <w:numFmt w:val="decimal"/>
      <w:lvlText w:val=""/>
      <w:lvlJc w:val="left"/>
    </w:lvl>
    <w:lvl w:ilvl="7" w:tplc="03C030E4">
      <w:numFmt w:val="decimal"/>
      <w:lvlText w:val=""/>
      <w:lvlJc w:val="left"/>
    </w:lvl>
    <w:lvl w:ilvl="8" w:tplc="14FA2142">
      <w:numFmt w:val="decimal"/>
      <w:lvlText w:val=""/>
      <w:lvlJc w:val="left"/>
    </w:lvl>
  </w:abstractNum>
  <w:abstractNum w:abstractNumId="2" w15:restartNumberingAfterBreak="0">
    <w:nsid w:val="3D1B58BA"/>
    <w:multiLevelType w:val="hybridMultilevel"/>
    <w:tmpl w:val="30E40F90"/>
    <w:lvl w:ilvl="0" w:tplc="607AACA4">
      <w:start w:val="6"/>
      <w:numFmt w:val="lowerLetter"/>
      <w:lvlText w:val="%1)"/>
      <w:lvlJc w:val="left"/>
    </w:lvl>
    <w:lvl w:ilvl="1" w:tplc="7C3ED70E">
      <w:numFmt w:val="decimal"/>
      <w:lvlText w:val=""/>
      <w:lvlJc w:val="left"/>
    </w:lvl>
    <w:lvl w:ilvl="2" w:tplc="DA5A5A58">
      <w:numFmt w:val="decimal"/>
      <w:lvlText w:val=""/>
      <w:lvlJc w:val="left"/>
    </w:lvl>
    <w:lvl w:ilvl="3" w:tplc="3CD8AA3E">
      <w:numFmt w:val="decimal"/>
      <w:lvlText w:val=""/>
      <w:lvlJc w:val="left"/>
    </w:lvl>
    <w:lvl w:ilvl="4" w:tplc="77FC79D0">
      <w:numFmt w:val="decimal"/>
      <w:lvlText w:val=""/>
      <w:lvlJc w:val="left"/>
    </w:lvl>
    <w:lvl w:ilvl="5" w:tplc="B73C2806">
      <w:numFmt w:val="decimal"/>
      <w:lvlText w:val=""/>
      <w:lvlJc w:val="left"/>
    </w:lvl>
    <w:lvl w:ilvl="6" w:tplc="BFE42688">
      <w:numFmt w:val="decimal"/>
      <w:lvlText w:val=""/>
      <w:lvlJc w:val="left"/>
    </w:lvl>
    <w:lvl w:ilvl="7" w:tplc="B07ABC3E">
      <w:numFmt w:val="decimal"/>
      <w:lvlText w:val=""/>
      <w:lvlJc w:val="left"/>
    </w:lvl>
    <w:lvl w:ilvl="8" w:tplc="298AF03A">
      <w:numFmt w:val="decimal"/>
      <w:lvlText w:val=""/>
      <w:lvlJc w:val="left"/>
    </w:lvl>
  </w:abstractNum>
  <w:abstractNum w:abstractNumId="3" w15:restartNumberingAfterBreak="0">
    <w:nsid w:val="46E87CCD"/>
    <w:multiLevelType w:val="hybridMultilevel"/>
    <w:tmpl w:val="5480168E"/>
    <w:lvl w:ilvl="0" w:tplc="B13A7F46">
      <w:start w:val="1"/>
      <w:numFmt w:val="lowerLetter"/>
      <w:lvlText w:val="%1)"/>
      <w:lvlJc w:val="left"/>
    </w:lvl>
    <w:lvl w:ilvl="1" w:tplc="0A825920">
      <w:start w:val="1"/>
      <w:numFmt w:val="decimal"/>
      <w:lvlText w:val="%2."/>
      <w:lvlJc w:val="left"/>
    </w:lvl>
    <w:lvl w:ilvl="2" w:tplc="B1ACA9BC">
      <w:numFmt w:val="decimal"/>
      <w:lvlText w:val=""/>
      <w:lvlJc w:val="left"/>
    </w:lvl>
    <w:lvl w:ilvl="3" w:tplc="4516E668">
      <w:numFmt w:val="decimal"/>
      <w:lvlText w:val=""/>
      <w:lvlJc w:val="left"/>
    </w:lvl>
    <w:lvl w:ilvl="4" w:tplc="B418A1A0">
      <w:numFmt w:val="decimal"/>
      <w:lvlText w:val=""/>
      <w:lvlJc w:val="left"/>
    </w:lvl>
    <w:lvl w:ilvl="5" w:tplc="FDF8BCA4">
      <w:numFmt w:val="decimal"/>
      <w:lvlText w:val=""/>
      <w:lvlJc w:val="left"/>
    </w:lvl>
    <w:lvl w:ilvl="6" w:tplc="60CCFFB2">
      <w:numFmt w:val="decimal"/>
      <w:lvlText w:val=""/>
      <w:lvlJc w:val="left"/>
    </w:lvl>
    <w:lvl w:ilvl="7" w:tplc="1B587C38">
      <w:numFmt w:val="decimal"/>
      <w:lvlText w:val=""/>
      <w:lvlJc w:val="left"/>
    </w:lvl>
    <w:lvl w:ilvl="8" w:tplc="D4F411E0">
      <w:numFmt w:val="decimal"/>
      <w:lvlText w:val=""/>
      <w:lvlJc w:val="left"/>
    </w:lvl>
  </w:abstractNum>
  <w:abstractNum w:abstractNumId="4" w15:restartNumberingAfterBreak="0">
    <w:nsid w:val="507ED7AB"/>
    <w:multiLevelType w:val="hybridMultilevel"/>
    <w:tmpl w:val="7504BE92"/>
    <w:lvl w:ilvl="0" w:tplc="6884E8AA">
      <w:start w:val="1"/>
      <w:numFmt w:val="bullet"/>
      <w:lvlText w:val="-"/>
      <w:lvlJc w:val="left"/>
    </w:lvl>
    <w:lvl w:ilvl="1" w:tplc="48E83F90">
      <w:numFmt w:val="decimal"/>
      <w:lvlText w:val=""/>
      <w:lvlJc w:val="left"/>
    </w:lvl>
    <w:lvl w:ilvl="2" w:tplc="EF145864">
      <w:numFmt w:val="decimal"/>
      <w:lvlText w:val=""/>
      <w:lvlJc w:val="left"/>
    </w:lvl>
    <w:lvl w:ilvl="3" w:tplc="73143E40">
      <w:numFmt w:val="decimal"/>
      <w:lvlText w:val=""/>
      <w:lvlJc w:val="left"/>
    </w:lvl>
    <w:lvl w:ilvl="4" w:tplc="94948414">
      <w:numFmt w:val="decimal"/>
      <w:lvlText w:val=""/>
      <w:lvlJc w:val="left"/>
    </w:lvl>
    <w:lvl w:ilvl="5" w:tplc="5F58172A">
      <w:numFmt w:val="decimal"/>
      <w:lvlText w:val=""/>
      <w:lvlJc w:val="left"/>
    </w:lvl>
    <w:lvl w:ilvl="6" w:tplc="234445BA">
      <w:numFmt w:val="decimal"/>
      <w:lvlText w:val=""/>
      <w:lvlJc w:val="left"/>
    </w:lvl>
    <w:lvl w:ilvl="7" w:tplc="5344AC62">
      <w:numFmt w:val="decimal"/>
      <w:lvlText w:val=""/>
      <w:lvlJc w:val="left"/>
    </w:lvl>
    <w:lvl w:ilvl="8" w:tplc="96EA24A2">
      <w:numFmt w:val="decimal"/>
      <w:lvlText w:val=""/>
      <w:lvlJc w:val="left"/>
    </w:lvl>
  </w:abstractNum>
  <w:abstractNum w:abstractNumId="5" w15:restartNumberingAfterBreak="0">
    <w:nsid w:val="625558EC"/>
    <w:multiLevelType w:val="hybridMultilevel"/>
    <w:tmpl w:val="561266E8"/>
    <w:lvl w:ilvl="0" w:tplc="528E96D6">
      <w:start w:val="1"/>
      <w:numFmt w:val="lowerLetter"/>
      <w:lvlText w:val="%1)"/>
      <w:lvlJc w:val="left"/>
    </w:lvl>
    <w:lvl w:ilvl="1" w:tplc="37983B18">
      <w:start w:val="1"/>
      <w:numFmt w:val="decimal"/>
      <w:lvlText w:val="%2."/>
      <w:lvlJc w:val="left"/>
    </w:lvl>
    <w:lvl w:ilvl="2" w:tplc="6D4C862A">
      <w:numFmt w:val="decimal"/>
      <w:lvlText w:val=""/>
      <w:lvlJc w:val="left"/>
    </w:lvl>
    <w:lvl w:ilvl="3" w:tplc="5E4E4DA0">
      <w:numFmt w:val="decimal"/>
      <w:lvlText w:val=""/>
      <w:lvlJc w:val="left"/>
    </w:lvl>
    <w:lvl w:ilvl="4" w:tplc="80B89A9E">
      <w:numFmt w:val="decimal"/>
      <w:lvlText w:val=""/>
      <w:lvlJc w:val="left"/>
    </w:lvl>
    <w:lvl w:ilvl="5" w:tplc="508C9A50">
      <w:numFmt w:val="decimal"/>
      <w:lvlText w:val=""/>
      <w:lvlJc w:val="left"/>
    </w:lvl>
    <w:lvl w:ilvl="6" w:tplc="7F6CD4F8">
      <w:numFmt w:val="decimal"/>
      <w:lvlText w:val=""/>
      <w:lvlJc w:val="left"/>
    </w:lvl>
    <w:lvl w:ilvl="7" w:tplc="C1661724">
      <w:numFmt w:val="decimal"/>
      <w:lvlText w:val=""/>
      <w:lvlJc w:val="left"/>
    </w:lvl>
    <w:lvl w:ilvl="8" w:tplc="07385DEC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E4A"/>
    <w:rsid w:val="006367BE"/>
    <w:rsid w:val="00877E4A"/>
    <w:rsid w:val="00BC5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3B1D9D-1C7E-47F0-AA1B-D9E819FFB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1744</Words>
  <Characters>9947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4</cp:revision>
  <dcterms:created xsi:type="dcterms:W3CDTF">2018-06-26T17:36:00Z</dcterms:created>
  <dcterms:modified xsi:type="dcterms:W3CDTF">2018-06-26T17:37:00Z</dcterms:modified>
</cp:coreProperties>
</file>