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395" w:hanging="792"/>
        <w:rPr>
          <w:rFonts w:ascii="Arial" w:hAnsi="Arial" w:cs="Arial"/>
          <w:b/>
          <w:bCs/>
          <w:caps/>
          <w:sz w:val="28"/>
          <w:szCs w:val="28"/>
          <w:highlight w:val="lightGray"/>
          <w:lang w:val="en-US"/>
        </w:rPr>
      </w:pPr>
      <w:r>
        <w:rPr>
          <w:rFonts w:ascii="Arial" w:hAnsi="Arial" w:cs="Arial"/>
          <w:b/>
          <w:bCs/>
          <w:caps/>
          <w:sz w:val="28"/>
          <w:szCs w:val="28"/>
          <w:highlight w:val="lightGray"/>
          <w:lang w:val="en-US"/>
        </w:rPr>
        <w:t>VŠEOBECNÉ ÚDAJE</w:t>
      </w:r>
    </w:p>
    <w:p w:rsidR="002D3876" w:rsidRDefault="002D3876">
      <w:pPr>
        <w:widowControl w:val="0"/>
        <w:autoSpaceDE w:val="0"/>
        <w:autoSpaceDN w:val="0"/>
        <w:adjustRightInd w:val="0"/>
        <w:spacing w:after="119" w:line="240" w:lineRule="auto"/>
        <w:rPr>
          <w:rFonts w:ascii="Calibri" w:hAnsi="Calibri" w:cs="Calibri"/>
          <w:lang w:val="en-US"/>
        </w:rPr>
      </w:pPr>
    </w:p>
    <w:p w:rsidR="002D3876" w:rsidRPr="00771CD0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19" w:line="240" w:lineRule="auto"/>
        <w:ind w:left="1995" w:hanging="615"/>
        <w:rPr>
          <w:rFonts w:ascii="Calibri" w:hAnsi="Calibri" w:cs="Calibri"/>
          <w:lang w:val="en-US"/>
        </w:rPr>
      </w:pPr>
      <w:proofErr w:type="spellStart"/>
      <w:r w:rsidRPr="00771CD0">
        <w:rPr>
          <w:rFonts w:ascii="Arial" w:hAnsi="Arial" w:cs="Arial"/>
          <w:b/>
          <w:bCs/>
          <w:sz w:val="18"/>
          <w:szCs w:val="18"/>
          <w:lang w:val="en-US"/>
        </w:rPr>
        <w:t>Obchodné</w:t>
      </w:r>
      <w:proofErr w:type="spellEnd"/>
      <w:r w:rsidRPr="00771CD0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 w:rsidRPr="00771CD0">
        <w:rPr>
          <w:rFonts w:ascii="Arial" w:hAnsi="Arial" w:cs="Arial"/>
          <w:b/>
          <w:bCs/>
          <w:sz w:val="18"/>
          <w:szCs w:val="18"/>
          <w:lang w:val="en-US"/>
        </w:rPr>
        <w:t>meno</w:t>
      </w:r>
      <w:proofErr w:type="spellEnd"/>
      <w:r w:rsidRPr="00771CD0">
        <w:rPr>
          <w:rFonts w:ascii="Arial" w:hAnsi="Arial" w:cs="Arial"/>
          <w:b/>
          <w:bCs/>
          <w:sz w:val="18"/>
          <w:szCs w:val="18"/>
          <w:lang w:val="en-US"/>
        </w:rPr>
        <w:t xml:space="preserve"> ú</w:t>
      </w:r>
      <w:proofErr w:type="spellStart"/>
      <w:r w:rsidRPr="00771CD0">
        <w:rPr>
          <w:rFonts w:ascii="Arial" w:hAnsi="Arial" w:cs="Arial"/>
          <w:b/>
          <w:bCs/>
          <w:sz w:val="18"/>
          <w:szCs w:val="18"/>
        </w:rPr>
        <w:t>čtovnej</w:t>
      </w:r>
      <w:proofErr w:type="spellEnd"/>
      <w:r w:rsidRPr="00771CD0">
        <w:rPr>
          <w:rFonts w:ascii="Arial" w:hAnsi="Arial" w:cs="Arial"/>
          <w:b/>
          <w:bCs/>
          <w:sz w:val="18"/>
          <w:szCs w:val="18"/>
        </w:rPr>
        <w:t xml:space="preserve"> jednotky: </w:t>
      </w:r>
      <w:r w:rsidR="00572F1E">
        <w:rPr>
          <w:rFonts w:ascii="Arial" w:hAnsi="Arial" w:cs="Arial"/>
          <w:b/>
          <w:bCs/>
          <w:sz w:val="18"/>
          <w:szCs w:val="18"/>
        </w:rPr>
        <w:t>RMD ENGINEERING</w:t>
      </w:r>
      <w:r w:rsidR="00771CD0">
        <w:rPr>
          <w:rFonts w:ascii="Arial" w:hAnsi="Arial" w:cs="Arial"/>
          <w:b/>
          <w:bCs/>
          <w:sz w:val="18"/>
          <w:szCs w:val="18"/>
        </w:rPr>
        <w:t xml:space="preserve"> s</w:t>
      </w:r>
      <w:r w:rsidR="00572F1E">
        <w:rPr>
          <w:rFonts w:ascii="Arial" w:hAnsi="Arial" w:cs="Arial"/>
          <w:b/>
          <w:bCs/>
          <w:sz w:val="18"/>
          <w:szCs w:val="18"/>
        </w:rPr>
        <w:t>.</w:t>
      </w:r>
      <w:r w:rsidR="00771CD0">
        <w:rPr>
          <w:rFonts w:ascii="Arial" w:hAnsi="Arial" w:cs="Arial"/>
          <w:b/>
          <w:bCs/>
          <w:sz w:val="18"/>
          <w:szCs w:val="18"/>
        </w:rPr>
        <w:t> r.o.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970" w:hanging="735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Sídlo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ú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čtovnej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jednotky: </w:t>
      </w:r>
      <w:r w:rsidR="00572F1E">
        <w:rPr>
          <w:rFonts w:ascii="Arial" w:hAnsi="Arial" w:cs="Arial"/>
          <w:b/>
          <w:bCs/>
          <w:sz w:val="18"/>
          <w:szCs w:val="18"/>
        </w:rPr>
        <w:t>Pivovarská 1934/131, 019 01 Ilava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970" w:hanging="735"/>
        <w:rPr>
          <w:rFonts w:ascii="Arial" w:hAnsi="Arial" w:cs="Arial"/>
          <w:b/>
          <w:bCs/>
          <w:sz w:val="18"/>
          <w:szCs w:val="18"/>
          <w:lang w:val="en-US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Dátum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založenia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: </w:t>
      </w:r>
      <w:r w:rsidR="00572F1E">
        <w:rPr>
          <w:rFonts w:ascii="Arial" w:hAnsi="Arial" w:cs="Arial"/>
          <w:b/>
          <w:bCs/>
          <w:sz w:val="18"/>
          <w:szCs w:val="18"/>
          <w:lang w:val="en-US"/>
        </w:rPr>
        <w:t>12.12.2017</w:t>
      </w:r>
    </w:p>
    <w:p w:rsidR="002D3876" w:rsidRDefault="002D3876">
      <w:pPr>
        <w:widowControl w:val="0"/>
        <w:autoSpaceDE w:val="0"/>
        <w:autoSpaceDN w:val="0"/>
        <w:adjustRightInd w:val="0"/>
        <w:spacing w:after="119" w:line="240" w:lineRule="auto"/>
        <w:rPr>
          <w:rFonts w:ascii="Calibri" w:hAnsi="Calibri" w:cs="Calibri"/>
          <w:lang w:val="en-US"/>
        </w:rPr>
      </w:pP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Opis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hospodárskej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činnosti: spoločnosť nevykonávala v účtovnom období žiadnu činnosť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Priemerný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po</w:t>
      </w:r>
      <w:r>
        <w:rPr>
          <w:rFonts w:ascii="Arial" w:hAnsi="Arial" w:cs="Arial"/>
          <w:b/>
          <w:bCs/>
          <w:sz w:val="18"/>
          <w:szCs w:val="18"/>
        </w:rPr>
        <w:t>čet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zamestnancov: 0</w:t>
      </w:r>
    </w:p>
    <w:p w:rsidR="002D3876" w:rsidRDefault="002D387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2D3876" w:rsidRDefault="00205E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en-US"/>
        </w:rPr>
        <w:t xml:space="preserve">       1.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Informácie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k 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prílohe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č. 3 časti A. písm. c) o počte zamestnancov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4"/>
        <w:gridCol w:w="2691"/>
        <w:gridCol w:w="2926"/>
      </w:tblGrid>
      <w:tr w:rsidR="002D3876">
        <w:trPr>
          <w:trHeight w:val="1"/>
        </w:trPr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Názov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ú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čtovné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obdobie</w:t>
            </w:r>
          </w:p>
        </w:tc>
        <w:tc>
          <w:tcPr>
            <w:tcW w:w="292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Bezprostredne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predchádzajúce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ú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čtovné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obdobie</w:t>
            </w:r>
          </w:p>
        </w:tc>
      </w:tr>
      <w:tr w:rsidR="002D3876">
        <w:trPr>
          <w:trHeight w:val="1"/>
        </w:trPr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Priemerný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prepo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čítaný počet zamestnancov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92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  <w:tr w:rsidR="002D3876">
        <w:trPr>
          <w:trHeight w:val="285"/>
        </w:trPr>
        <w:tc>
          <w:tcPr>
            <w:tcW w:w="3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Stav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zamestnancov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ku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ňu, ku ktorému sa zostavuje účtovná závierka, z toho:</w:t>
            </w:r>
          </w:p>
        </w:tc>
        <w:tc>
          <w:tcPr>
            <w:tcW w:w="269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9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  <w:tr w:rsidR="002D3876">
        <w:trPr>
          <w:trHeight w:val="285"/>
        </w:trPr>
        <w:tc>
          <w:tcPr>
            <w:tcW w:w="366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po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čet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vedúcich zamestnancov</w:t>
            </w:r>
          </w:p>
        </w:tc>
        <w:tc>
          <w:tcPr>
            <w:tcW w:w="26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92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</w:tbl>
    <w:p w:rsidR="002D3876" w:rsidRDefault="002D387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635" w:hanging="615"/>
        <w:rPr>
          <w:rFonts w:ascii="Calibri" w:hAnsi="Calibri" w:cs="Calibri"/>
          <w:lang w:val="en-US"/>
        </w:rPr>
      </w:pP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en-US"/>
        </w:rPr>
        <w:t>Ú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čtovná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jednotka nie je neobmedzene ručiacim spoločníkom v iných účtovných jednotkách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právny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dôvod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na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zostavenie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ú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čtovnej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závierky :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en-US"/>
        </w:rPr>
        <w:t>ú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čtovná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jednotka je právnickou osobou a zostavuje účtovnú závierku k poslednému dňu účtovného obdobia (riadna)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Dátum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schválenia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ú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čtovnej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závierky za bezprostredne predchádzajúce obdobie : </w:t>
      </w:r>
    </w:p>
    <w:p w:rsidR="002D3876" w:rsidRDefault="002D387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2D3876" w:rsidRDefault="002D387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2D3876" w:rsidRDefault="002D387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395" w:hanging="792"/>
        <w:rPr>
          <w:rFonts w:ascii="Arial" w:hAnsi="Arial" w:cs="Arial"/>
          <w:b/>
          <w:bCs/>
          <w:caps/>
          <w:sz w:val="28"/>
          <w:szCs w:val="28"/>
          <w:highlight w:val="lightGray"/>
        </w:rPr>
      </w:pPr>
      <w:r>
        <w:rPr>
          <w:rFonts w:ascii="Arial" w:hAnsi="Arial" w:cs="Arial"/>
          <w:b/>
          <w:bCs/>
          <w:caps/>
          <w:sz w:val="28"/>
          <w:szCs w:val="28"/>
          <w:highlight w:val="lightGray"/>
        </w:rPr>
        <w:t>Členovia orgánov spoločnosti</w:t>
      </w:r>
    </w:p>
    <w:p w:rsidR="002D3876" w:rsidRDefault="002D387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  <w:lang w:val="en-US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Štatutárny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orgán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:</w:t>
      </w:r>
    </w:p>
    <w:p w:rsidR="002D3876" w:rsidRDefault="00205E16">
      <w:pPr>
        <w:widowControl w:val="0"/>
        <w:autoSpaceDE w:val="0"/>
        <w:autoSpaceDN w:val="0"/>
        <w:adjustRightInd w:val="0"/>
        <w:spacing w:after="119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lang w:val="en-US"/>
        </w:rPr>
        <w:tab/>
      </w:r>
      <w:r>
        <w:rPr>
          <w:rFonts w:ascii="Arial" w:hAnsi="Arial" w:cs="Arial"/>
          <w:sz w:val="18"/>
          <w:szCs w:val="18"/>
          <w:lang w:val="en-US"/>
        </w:rPr>
        <w:tab/>
      </w:r>
      <w:r>
        <w:rPr>
          <w:rFonts w:ascii="Arial" w:hAnsi="Arial" w:cs="Arial"/>
          <w:sz w:val="18"/>
          <w:szCs w:val="18"/>
          <w:lang w:val="en-US"/>
        </w:rPr>
        <w:tab/>
      </w:r>
      <w:r>
        <w:rPr>
          <w:rFonts w:ascii="Arial" w:hAnsi="Arial" w:cs="Arial"/>
          <w:sz w:val="18"/>
          <w:szCs w:val="18"/>
          <w:lang w:val="en-US"/>
        </w:rPr>
        <w:tab/>
      </w:r>
      <w:r>
        <w:rPr>
          <w:rFonts w:ascii="Arial" w:hAnsi="Arial" w:cs="Arial"/>
          <w:sz w:val="18"/>
          <w:szCs w:val="18"/>
          <w:lang w:val="en-US"/>
        </w:rPr>
        <w:tab/>
      </w:r>
      <w:proofErr w:type="spellStart"/>
      <w:r>
        <w:rPr>
          <w:rFonts w:ascii="Arial" w:hAnsi="Arial" w:cs="Arial"/>
          <w:sz w:val="18"/>
          <w:szCs w:val="18"/>
          <w:lang w:val="en-US"/>
        </w:rPr>
        <w:t>Konatelia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: </w:t>
      </w:r>
      <w:r w:rsidR="00771CD0">
        <w:rPr>
          <w:rFonts w:ascii="Arial" w:hAnsi="Arial" w:cs="Arial"/>
          <w:sz w:val="18"/>
          <w:szCs w:val="18"/>
          <w:lang w:val="en-US"/>
        </w:rPr>
        <w:t xml:space="preserve">Roman </w:t>
      </w:r>
      <w:proofErr w:type="spellStart"/>
      <w:r w:rsidR="00771CD0">
        <w:rPr>
          <w:rFonts w:ascii="Arial" w:hAnsi="Arial" w:cs="Arial"/>
          <w:sz w:val="18"/>
          <w:szCs w:val="18"/>
          <w:lang w:val="en-US"/>
        </w:rPr>
        <w:t>Čúz</w:t>
      </w:r>
      <w:proofErr w:type="spellEnd"/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</w:p>
    <w:p w:rsidR="002D3876" w:rsidRDefault="00205E16">
      <w:pPr>
        <w:widowControl w:val="0"/>
        <w:autoSpaceDE w:val="0"/>
        <w:autoSpaceDN w:val="0"/>
        <w:adjustRightInd w:val="0"/>
        <w:spacing w:after="119" w:line="240" w:lineRule="auto"/>
        <w:rPr>
          <w:rFonts w:ascii="Arial" w:hAnsi="Arial" w:cs="Arial"/>
          <w:sz w:val="18"/>
          <w:szCs w:val="18"/>
          <w:lang w:val="en-US"/>
        </w:rPr>
      </w:pPr>
      <w:r>
        <w:rPr>
          <w:rFonts w:ascii="Arial" w:hAnsi="Arial" w:cs="Arial"/>
          <w:sz w:val="18"/>
          <w:szCs w:val="18"/>
          <w:lang w:val="en-US"/>
        </w:rPr>
        <w:tab/>
      </w:r>
      <w:r>
        <w:rPr>
          <w:rFonts w:ascii="Arial" w:hAnsi="Arial" w:cs="Arial"/>
          <w:sz w:val="18"/>
          <w:szCs w:val="18"/>
          <w:lang w:val="en-US"/>
        </w:rPr>
        <w:tab/>
      </w:r>
      <w:r>
        <w:rPr>
          <w:rFonts w:ascii="Arial" w:hAnsi="Arial" w:cs="Arial"/>
          <w:sz w:val="18"/>
          <w:szCs w:val="18"/>
          <w:lang w:val="en-US"/>
        </w:rPr>
        <w:tab/>
      </w:r>
      <w:r>
        <w:rPr>
          <w:rFonts w:ascii="Arial" w:hAnsi="Arial" w:cs="Arial"/>
          <w:sz w:val="18"/>
          <w:szCs w:val="18"/>
          <w:lang w:val="en-US"/>
        </w:rPr>
        <w:tab/>
      </w:r>
      <w:r>
        <w:rPr>
          <w:rFonts w:ascii="Arial" w:hAnsi="Arial" w:cs="Arial"/>
          <w:sz w:val="18"/>
          <w:szCs w:val="18"/>
          <w:lang w:val="en-US"/>
        </w:rPr>
        <w:tab/>
      </w:r>
    </w:p>
    <w:p w:rsidR="002D3876" w:rsidRDefault="002D387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395" w:hanging="792"/>
        <w:rPr>
          <w:rFonts w:ascii="Arial" w:hAnsi="Arial" w:cs="Arial"/>
          <w:b/>
          <w:bCs/>
          <w:caps/>
          <w:sz w:val="28"/>
          <w:szCs w:val="28"/>
          <w:highlight w:val="lightGray"/>
        </w:rPr>
      </w:pPr>
      <w:r>
        <w:rPr>
          <w:rFonts w:ascii="Arial" w:hAnsi="Arial" w:cs="Arial"/>
          <w:b/>
          <w:bCs/>
          <w:caps/>
          <w:sz w:val="28"/>
          <w:szCs w:val="28"/>
          <w:highlight w:val="lightGray"/>
          <w:lang w:val="en-US"/>
        </w:rPr>
        <w:t>Ú</w:t>
      </w:r>
      <w:r>
        <w:rPr>
          <w:rFonts w:ascii="Arial" w:hAnsi="Arial" w:cs="Arial"/>
          <w:b/>
          <w:bCs/>
          <w:caps/>
          <w:sz w:val="28"/>
          <w:szCs w:val="28"/>
          <w:highlight w:val="lightGray"/>
        </w:rPr>
        <w:t>čtovná jednotka nie je súčasťou konsolidovaného celku</w:t>
      </w:r>
    </w:p>
    <w:p w:rsidR="002D3876" w:rsidRDefault="002D3876">
      <w:pPr>
        <w:widowControl w:val="0"/>
        <w:autoSpaceDE w:val="0"/>
        <w:autoSpaceDN w:val="0"/>
        <w:adjustRightInd w:val="0"/>
        <w:spacing w:after="119" w:line="240" w:lineRule="auto"/>
        <w:rPr>
          <w:rFonts w:ascii="Calibri" w:hAnsi="Calibri" w:cs="Calibri"/>
          <w:lang w:val="en-US"/>
        </w:rPr>
      </w:pP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395" w:hanging="792"/>
        <w:rPr>
          <w:rFonts w:ascii="Arial" w:hAnsi="Arial" w:cs="Arial"/>
          <w:b/>
          <w:bCs/>
          <w:caps/>
          <w:sz w:val="28"/>
          <w:szCs w:val="28"/>
          <w:highlight w:val="lightGray"/>
          <w:lang w:val="en-US"/>
        </w:rPr>
      </w:pPr>
      <w:r>
        <w:rPr>
          <w:rFonts w:ascii="Arial" w:hAnsi="Arial" w:cs="Arial"/>
          <w:b/>
          <w:bCs/>
          <w:caps/>
          <w:sz w:val="28"/>
          <w:szCs w:val="28"/>
          <w:highlight w:val="lightGray"/>
          <w:lang w:val="en-US"/>
        </w:rPr>
        <w:t>OBSAH POZNÁMOK</w:t>
      </w:r>
    </w:p>
    <w:p w:rsidR="002D3876" w:rsidRDefault="002D387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použité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ú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čtovné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zásady a metódy / časť E /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údaje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vykázané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na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strane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aktív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súvahy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/ </w:t>
      </w:r>
      <w:r>
        <w:rPr>
          <w:rFonts w:ascii="Arial" w:hAnsi="Arial" w:cs="Arial"/>
          <w:b/>
          <w:bCs/>
          <w:sz w:val="18"/>
          <w:szCs w:val="18"/>
        </w:rPr>
        <w:t>časť F /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údaje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vykázané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na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strane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pasív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súvahy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/ </w:t>
      </w:r>
      <w:r>
        <w:rPr>
          <w:rFonts w:ascii="Arial" w:hAnsi="Arial" w:cs="Arial"/>
          <w:b/>
          <w:bCs/>
          <w:sz w:val="18"/>
          <w:szCs w:val="18"/>
        </w:rPr>
        <w:t>časť  G /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výnosy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/ </w:t>
      </w:r>
      <w:r>
        <w:rPr>
          <w:rFonts w:ascii="Arial" w:hAnsi="Arial" w:cs="Arial"/>
          <w:b/>
          <w:bCs/>
          <w:sz w:val="18"/>
          <w:szCs w:val="18"/>
        </w:rPr>
        <w:t>časť H /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náklady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/ </w:t>
      </w:r>
      <w:r>
        <w:rPr>
          <w:rFonts w:ascii="Arial" w:hAnsi="Arial" w:cs="Arial"/>
          <w:b/>
          <w:bCs/>
          <w:sz w:val="18"/>
          <w:szCs w:val="18"/>
        </w:rPr>
        <w:t>časť I /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daniach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z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príjmov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/ </w:t>
      </w:r>
      <w:r>
        <w:rPr>
          <w:rFonts w:ascii="Arial" w:hAnsi="Arial" w:cs="Arial"/>
          <w:b/>
          <w:bCs/>
          <w:sz w:val="18"/>
          <w:szCs w:val="18"/>
        </w:rPr>
        <w:t>časť J /</w:t>
      </w:r>
    </w:p>
    <w:p w:rsidR="002D3876" w:rsidRDefault="002D387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2D3876" w:rsidRDefault="00205E16">
      <w:pPr>
        <w:widowControl w:val="0"/>
        <w:autoSpaceDE w:val="0"/>
        <w:autoSpaceDN w:val="0"/>
        <w:adjustRightInd w:val="0"/>
        <w:spacing w:after="0" w:line="240" w:lineRule="auto"/>
        <w:ind w:left="675" w:hanging="432"/>
        <w:rPr>
          <w:rFonts w:ascii="Arial" w:hAnsi="Arial" w:cs="Arial"/>
          <w:b/>
          <w:bCs/>
          <w:caps/>
          <w:sz w:val="28"/>
          <w:szCs w:val="28"/>
          <w:highlight w:val="lightGray"/>
        </w:rPr>
      </w:pPr>
      <w:r>
        <w:rPr>
          <w:rFonts w:ascii="Arial" w:hAnsi="Arial" w:cs="Arial"/>
          <w:b/>
          <w:bCs/>
          <w:caps/>
          <w:sz w:val="28"/>
          <w:szCs w:val="28"/>
          <w:highlight w:val="lightGray"/>
          <w:lang w:val="en-US"/>
        </w:rPr>
        <w:t>POUŽITÉ Ú</w:t>
      </w:r>
      <w:r>
        <w:rPr>
          <w:rFonts w:ascii="Arial" w:hAnsi="Arial" w:cs="Arial"/>
          <w:b/>
          <w:bCs/>
          <w:caps/>
          <w:sz w:val="28"/>
          <w:szCs w:val="28"/>
          <w:highlight w:val="lightGray"/>
        </w:rPr>
        <w:t>ČTOVNÉ METÓDY A ZÁSADY</w:t>
      </w:r>
    </w:p>
    <w:p w:rsidR="002D3876" w:rsidRDefault="002D3876">
      <w:pPr>
        <w:widowControl w:val="0"/>
        <w:autoSpaceDE w:val="0"/>
        <w:autoSpaceDN w:val="0"/>
        <w:adjustRightInd w:val="0"/>
        <w:spacing w:after="119" w:line="240" w:lineRule="auto"/>
        <w:rPr>
          <w:rFonts w:ascii="Calibri" w:hAnsi="Calibri" w:cs="Calibri"/>
          <w:lang w:val="en-US"/>
        </w:rPr>
      </w:pP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Spolo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čnosť zostavila účtovnú závierku za predpokladu nepretržitého pokračovania vo </w:t>
      </w:r>
      <w:r>
        <w:rPr>
          <w:rFonts w:ascii="Arial" w:hAnsi="Arial" w:cs="Arial"/>
          <w:b/>
          <w:bCs/>
          <w:sz w:val="18"/>
          <w:szCs w:val="18"/>
        </w:rPr>
        <w:lastRenderedPageBreak/>
        <w:t>svojej činnosti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en-US"/>
        </w:rPr>
        <w:t>ú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čtovná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jednotka v priebehu účtovného obdobia nemenila účtovné zásady a účtovné metódy</w:t>
      </w:r>
    </w:p>
    <w:p w:rsidR="002D3876" w:rsidRDefault="002D3876">
      <w:pPr>
        <w:widowControl w:val="0"/>
        <w:autoSpaceDE w:val="0"/>
        <w:autoSpaceDN w:val="0"/>
        <w:adjustRightInd w:val="0"/>
        <w:spacing w:after="119" w:line="240" w:lineRule="auto"/>
        <w:rPr>
          <w:rFonts w:ascii="Calibri" w:hAnsi="Calibri" w:cs="Calibri"/>
          <w:lang w:val="en-US"/>
        </w:rPr>
      </w:pP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354"/>
        <w:gridCol w:w="2421"/>
      </w:tblGrid>
      <w:tr w:rsidR="002D3876">
        <w:trPr>
          <w:trHeight w:val="232"/>
        </w:trPr>
        <w:tc>
          <w:tcPr>
            <w:tcW w:w="535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Text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Hodnota</w:t>
            </w:r>
            <w:proofErr w:type="spellEnd"/>
          </w:p>
        </w:tc>
      </w:tr>
      <w:tr w:rsidR="002D3876">
        <w:trPr>
          <w:trHeight w:val="247"/>
        </w:trPr>
        <w:tc>
          <w:tcPr>
            <w:tcW w:w="5354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val="en-US"/>
              </w:rPr>
              <w:t>Da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ň z príjmov z bežnej činnosti splatná</w:t>
            </w:r>
          </w:p>
        </w:tc>
        <w:tc>
          <w:tcPr>
            <w:tcW w:w="2421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480</w:t>
            </w:r>
          </w:p>
        </w:tc>
      </w:tr>
      <w:tr w:rsidR="002D3876">
        <w:trPr>
          <w:trHeight w:val="247"/>
        </w:trPr>
        <w:tc>
          <w:tcPr>
            <w:tcW w:w="5354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val="en-US"/>
              </w:rPr>
              <w:t>Da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ň z príjmov z mimoriadnej činnosti splatná</w:t>
            </w:r>
          </w:p>
        </w:tc>
        <w:tc>
          <w:tcPr>
            <w:tcW w:w="2421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  <w:tr w:rsidR="002D3876">
        <w:trPr>
          <w:trHeight w:val="247"/>
        </w:trPr>
        <w:tc>
          <w:tcPr>
            <w:tcW w:w="5354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val="en-US"/>
              </w:rPr>
              <w:t>Da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ň z príjmov z bežnej činnosti odložená</w:t>
            </w:r>
          </w:p>
        </w:tc>
        <w:tc>
          <w:tcPr>
            <w:tcW w:w="2421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  <w:tr w:rsidR="002D3876">
        <w:trPr>
          <w:trHeight w:val="247"/>
        </w:trPr>
        <w:tc>
          <w:tcPr>
            <w:tcW w:w="5354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val="en-US"/>
              </w:rPr>
              <w:t>Da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ň z príjmov z mimoriadnej činnosti odložená</w:t>
            </w:r>
          </w:p>
        </w:tc>
        <w:tc>
          <w:tcPr>
            <w:tcW w:w="2421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2D3876" w:rsidRDefault="00205E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</w:tbl>
    <w:p w:rsidR="002D3876" w:rsidRDefault="002D387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  <w:lang w:val="en-US"/>
        </w:rPr>
      </w:pP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Tvorba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odpisového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plánu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pre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dlhodobý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majetok</w:t>
      </w:r>
      <w:proofErr w:type="spellEnd"/>
    </w:p>
    <w:p w:rsidR="002D3876" w:rsidRDefault="002D387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2D3876" w:rsidRDefault="00205E16">
      <w:pPr>
        <w:widowControl w:val="0"/>
        <w:autoSpaceDE w:val="0"/>
        <w:autoSpaceDN w:val="0"/>
        <w:adjustRightInd w:val="0"/>
        <w:spacing w:after="119" w:line="240" w:lineRule="auto"/>
        <w:ind w:left="945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lang w:val="en-US"/>
        </w:rPr>
        <w:t>Ú</w:t>
      </w:r>
      <w:proofErr w:type="spellStart"/>
      <w:r>
        <w:rPr>
          <w:rFonts w:ascii="Arial" w:hAnsi="Arial" w:cs="Arial"/>
          <w:sz w:val="18"/>
          <w:szCs w:val="18"/>
        </w:rPr>
        <w:t>čtovná</w:t>
      </w:r>
      <w:proofErr w:type="spellEnd"/>
      <w:r>
        <w:rPr>
          <w:rFonts w:ascii="Arial" w:hAnsi="Arial" w:cs="Arial"/>
          <w:sz w:val="18"/>
          <w:szCs w:val="18"/>
        </w:rPr>
        <w:t xml:space="preserve"> jednotka stanovila interným predpisom pravidlá pre účtovanie dlhodobého majetku: Nehmotný majetok, ktorého ocenenie sa rovná </w:t>
      </w:r>
      <w:proofErr w:type="gramStart"/>
      <w:r>
        <w:rPr>
          <w:rFonts w:ascii="Arial" w:hAnsi="Arial" w:cs="Arial"/>
          <w:sz w:val="18"/>
          <w:szCs w:val="18"/>
        </w:rPr>
        <w:t xml:space="preserve">sume  </w:t>
      </w:r>
      <w:r>
        <w:rPr>
          <w:rFonts w:ascii="Arial" w:hAnsi="Arial" w:cs="Arial"/>
          <w:b/>
          <w:bCs/>
          <w:sz w:val="18"/>
          <w:szCs w:val="18"/>
        </w:rPr>
        <w:t>2400</w:t>
      </w:r>
      <w:proofErr w:type="gramEnd"/>
      <w:r>
        <w:rPr>
          <w:rFonts w:ascii="Arial" w:hAnsi="Arial" w:cs="Arial"/>
          <w:b/>
          <w:bCs/>
          <w:sz w:val="18"/>
          <w:szCs w:val="18"/>
        </w:rPr>
        <w:t>,-</w:t>
      </w:r>
      <w:r>
        <w:rPr>
          <w:rFonts w:ascii="Arial" w:hAnsi="Arial" w:cs="Arial"/>
          <w:sz w:val="18"/>
          <w:szCs w:val="18"/>
        </w:rPr>
        <w:t xml:space="preserve"> EUR alebo nižšie sa účtuje na ťarchu účtu </w:t>
      </w:r>
      <w:r>
        <w:rPr>
          <w:rFonts w:ascii="Arial" w:hAnsi="Arial" w:cs="Arial"/>
          <w:b/>
          <w:bCs/>
          <w:sz w:val="18"/>
          <w:szCs w:val="18"/>
        </w:rPr>
        <w:t>518 - ostatné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služby</w:t>
      </w:r>
      <w:r>
        <w:rPr>
          <w:rFonts w:ascii="Arial" w:hAnsi="Arial" w:cs="Arial"/>
          <w:sz w:val="18"/>
          <w:szCs w:val="18"/>
        </w:rPr>
        <w:t xml:space="preserve">. Nehmotný majetok, ktorého ocenenie je vyššie, zaradila účtovná jednotka do dlhodobého nehmotného majetku. Hmotný majetok, ktorého ocenenie sa rovná sume </w:t>
      </w:r>
      <w:r>
        <w:rPr>
          <w:rFonts w:ascii="Arial" w:hAnsi="Arial" w:cs="Arial"/>
          <w:b/>
          <w:bCs/>
          <w:sz w:val="18"/>
          <w:szCs w:val="18"/>
        </w:rPr>
        <w:t>1700,-</w:t>
      </w:r>
      <w:r>
        <w:rPr>
          <w:rFonts w:ascii="Arial" w:hAnsi="Arial" w:cs="Arial"/>
          <w:sz w:val="18"/>
          <w:szCs w:val="18"/>
        </w:rPr>
        <w:t xml:space="preserve"> EUR alebo nižšie účtuje účtovná jednotka na ťarchu účtu </w:t>
      </w:r>
      <w:r>
        <w:rPr>
          <w:rFonts w:ascii="Arial" w:hAnsi="Arial" w:cs="Arial"/>
          <w:b/>
          <w:bCs/>
          <w:sz w:val="18"/>
          <w:szCs w:val="18"/>
        </w:rPr>
        <w:t>501 - spotreba materiálu</w:t>
      </w:r>
      <w:r>
        <w:rPr>
          <w:rFonts w:ascii="Arial" w:hAnsi="Arial" w:cs="Arial"/>
          <w:sz w:val="18"/>
          <w:szCs w:val="18"/>
        </w:rPr>
        <w:t>. Hmotný majetok, ktorého ocenenie je vyššie, zaradila účtovná jednotka do dlhodobého hmotného majetku. Účtovná jednotka stanovila interným predpisom, že účtovné odpisy dlhodobého majetku sa rovnajú daňovým odpisom.</w:t>
      </w:r>
    </w:p>
    <w:p w:rsidR="002D3876" w:rsidRDefault="00205E16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lang w:val="en-US"/>
        </w:rPr>
        <w:t>ú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čtovnej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jednotke neboli poskytnuté žiadne dotácie na obstaranie majetku</w:t>
      </w:r>
    </w:p>
    <w:p w:rsidR="00572F1E" w:rsidRDefault="00572F1E" w:rsidP="00771CD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995" w:hanging="615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účtovná jednotka v roku 2017 nevykonávala žiadnu činnosť</w:t>
      </w:r>
    </w:p>
    <w:p w:rsidR="00205E16" w:rsidRDefault="00205E16">
      <w:pPr>
        <w:widowControl w:val="0"/>
        <w:autoSpaceDE w:val="0"/>
        <w:autoSpaceDN w:val="0"/>
        <w:adjustRightInd w:val="0"/>
        <w:spacing w:after="119" w:line="240" w:lineRule="auto"/>
        <w:rPr>
          <w:rFonts w:ascii="Calibri" w:hAnsi="Calibri" w:cs="Calibri"/>
          <w:lang w:val="en-US"/>
        </w:rPr>
      </w:pPr>
    </w:p>
    <w:sectPr w:rsidR="00205E16" w:rsidSect="002D387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2AF8F4DE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771CD0"/>
    <w:rsid w:val="00205E16"/>
    <w:rsid w:val="002D3876"/>
    <w:rsid w:val="00572F1E"/>
    <w:rsid w:val="006D1306"/>
    <w:rsid w:val="00771C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8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Baky</dc:creator>
  <cp:lastModifiedBy>Baky</cp:lastModifiedBy>
  <cp:revision>3</cp:revision>
  <dcterms:created xsi:type="dcterms:W3CDTF">2018-06-25T17:52:00Z</dcterms:created>
  <dcterms:modified xsi:type="dcterms:W3CDTF">2018-06-25T17:54:00Z</dcterms:modified>
</cp:coreProperties>
</file>