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/>
      </w:pPr>
      <w:r>
        <w:rPr>
          <w:rFonts w:cs="Times New Roman" w:ascii="Times New Roman" w:hAnsi="Times New Roman"/>
          <w:b/>
        </w:rPr>
        <w:t>Poznámky k Účtovnej závierke 2017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Čl. I </w:t>
        <w:tab/>
        <w:t>Všeobecné informácie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I.1 </w:t>
        <w:tab/>
        <w:t>Obchodné meno účtovnej jednotky: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  <w:b/>
        </w:rPr>
        <w:t>Strivex, s. r. o.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Sídlo účtovnej jednotky: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  <w:b/>
        </w:rPr>
        <w:t>Dolný Moštenec 259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01701 Považská Bystrica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  <w:b/>
        </w:rPr>
        <w:t>Obchodný register: Okresný súd Trenčín, Oddiel: Sro, vložka č. 3</w:t>
      </w:r>
      <w:r>
        <w:rPr>
          <w:rFonts w:cs="Times New Roman" w:ascii="Times New Roman" w:hAnsi="Times New Roman"/>
          <w:b/>
        </w:rPr>
        <w:t>4347</w:t>
      </w:r>
      <w:r>
        <w:rPr>
          <w:rFonts w:cs="Times New Roman" w:ascii="Times New Roman" w:hAnsi="Times New Roman"/>
          <w:b/>
        </w:rPr>
        <w:t>/R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Opis hospodárskej činnosti účtovnej jednotky:</w:t>
      </w:r>
    </w:p>
    <w:p>
      <w:pPr>
        <w:pStyle w:val="Normal"/>
        <w:tabs>
          <w:tab w:val="left" w:pos="6521" w:leader="none"/>
        </w:tabs>
        <w:spacing w:lineRule="auto" w:line="240" w:before="0" w:after="160"/>
        <w:contextualSpacing/>
        <w:jc w:val="both"/>
        <w:rPr/>
      </w:pPr>
      <w:r>
        <w:rPr/>
        <w:t xml:space="preserve">                </w:t>
      </w:r>
      <w:r>
        <w:rPr/>
        <w:t xml:space="preserve">- </w:t>
      </w:r>
      <w:r>
        <w:rPr/>
        <w:t>poradenské služby v oblasti podnikania a riadenia</w:t>
      </w:r>
    </w:p>
    <w:p>
      <w:pPr>
        <w:pStyle w:val="Normal"/>
        <w:tabs>
          <w:tab w:val="left" w:pos="6521" w:leader="none"/>
        </w:tabs>
        <w:spacing w:lineRule="auto" w:line="240" w:before="0" w:after="160"/>
        <w:contextualSpacing/>
        <w:jc w:val="both"/>
        <w:rPr>
          <w:rFonts w:ascii="Times New Roman" w:hAnsi="Times New Roman" w:cs="Times New Roman"/>
          <w:b/>
          <w:b/>
        </w:rPr>
      </w:pPr>
      <w:r>
        <w:rPr/>
        <w:t xml:space="preserve">               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I.2</w:t>
        <w:tab/>
        <w:t>Dátum schválenia účtovnej závierky za bezprostredne predchádzajúce účtovné obdobie: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</w:rPr>
        <w:t>Účtovná závierka za rok 201</w:t>
      </w:r>
      <w:r>
        <w:rPr>
          <w:rFonts w:cs="Times New Roman" w:ascii="Times New Roman" w:hAnsi="Times New Roman"/>
        </w:rPr>
        <w:t>6</w:t>
      </w:r>
      <w:r>
        <w:rPr>
          <w:rFonts w:cs="Times New Roman" w:ascii="Times New Roman" w:hAnsi="Times New Roman"/>
        </w:rPr>
        <w:t xml:space="preserve"> nebola schválená. Spoločnosť vznikla v roku 201</w:t>
      </w:r>
      <w:r>
        <w:rPr>
          <w:rFonts w:cs="Times New Roman" w:ascii="Times New Roman" w:hAnsi="Times New Roman"/>
        </w:rPr>
        <w:t>7</w:t>
      </w:r>
      <w:r>
        <w:rPr>
          <w:rFonts w:cs="Times New Roman" w:ascii="Times New Roman" w:hAnsi="Times New Roman"/>
        </w:rPr>
        <w:t>.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tabs>
          <w:tab w:val="left" w:pos="1604" w:leader="none"/>
          <w:tab w:val="left" w:pos="2815" w:leader="none"/>
        </w:tabs>
        <w:spacing w:lineRule="auto" w:line="240"/>
        <w:ind w:left="0" w:hanging="0"/>
        <w:jc w:val="both"/>
        <w:rPr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Riadna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Dôvod na zostavenie mimoriadnej účtovnej závierky: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ListParagraph"/>
        <w:tabs>
          <w:tab w:val="left" w:pos="1429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8051" w:leader="none"/>
        </w:tabs>
        <w:spacing w:lineRule="auto" w:line="240"/>
        <w:ind w:left="0" w:hanging="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rozdelenie</w:t>
        <w:tab/>
        <w:t xml:space="preserve">          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ab/>
        <w:t xml:space="preserve">   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>
      <w:pPr>
        <w:pStyle w:val="ListParagraph"/>
        <w:tabs>
          <w:tab w:val="left" w:pos="1429" w:leader="none"/>
        </w:tabs>
        <w:spacing w:lineRule="auto" w:line="240"/>
        <w:ind w:left="0" w:hanging="0"/>
        <w:rPr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začiatok likvidácie 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I.4 </w:t>
        <w:tab/>
        <w:t>Informácie o skupine účtovných jednotiek, ak je účtovná jednotka jej súčasťou: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</w:t>
      </w:r>
      <w:r>
        <w:rPr>
          <w:rFonts w:cs="Times New Roman" w:ascii="Times New Roman" w:hAnsi="Times New Roman"/>
        </w:rPr>
        <w:tab/>
        <w:t xml:space="preserve">Obchodné meno a sídlo účtovnej jednotky, ktorá zostavuje konsolidovanú účtovnú závierku za najväčšiu skupinu, ktorej súčasťou je účtovná jednotka ako dcérska účtovná jednotka: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" wp14:anchorId="5D67D1D8">
                <wp:simplePos x="0" y="0"/>
                <wp:positionH relativeFrom="column">
                  <wp:posOffset>433705</wp:posOffset>
                </wp:positionH>
                <wp:positionV relativeFrom="paragraph">
                  <wp:posOffset>193675</wp:posOffset>
                </wp:positionV>
                <wp:extent cx="5345430" cy="11430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92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9pt" to="454.95pt,15.6pt" ID="Rovná spojnica 1" stroked="t" style="position:absolute" wp14:anchorId="5D67D1D8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</w:rPr>
        <w:tab/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mc:AlternateContent>
          <mc:Choice Requires="wps">
            <w:drawing>
              <wp:anchor behindDoc="0" distT="0" distB="0" distL="114300" distR="114300" simplePos="0" locked="0" layoutInCell="1" allowOverlap="1" relativeHeight="3" wp14:anchorId="7FEFD1B2">
                <wp:simplePos x="0" y="0"/>
                <wp:positionH relativeFrom="column">
                  <wp:posOffset>429260</wp:posOffset>
                </wp:positionH>
                <wp:positionV relativeFrom="paragraph">
                  <wp:posOffset>187325</wp:posOffset>
                </wp:positionV>
                <wp:extent cx="5345430" cy="11430"/>
                <wp:effectExtent l="0" t="0" r="28575" b="28575"/>
                <wp:wrapNone/>
                <wp:docPr id="2" name="Rovná spojnica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92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8pt,14.4pt" to="454.6pt,15.1pt" ID="Rovná spojnica 3" stroked="t" style="position:absolute" wp14:anchorId="7FEFD1B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I.5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324" w:type="dxa"/>
        <w:jc w:val="left"/>
        <w:tblInd w:w="62" w:type="dxa"/>
        <w:tblCellMar>
          <w:top w:w="0" w:type="dxa"/>
          <w:left w:w="3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4"/>
        <w:gridCol w:w="2412"/>
        <w:gridCol w:w="2788"/>
      </w:tblGrid>
      <w:tr>
        <w:trPr/>
        <w:tc>
          <w:tcPr>
            <w:tcW w:w="412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Názov položky</w:t>
            </w:r>
          </w:p>
        </w:tc>
        <w:tc>
          <w:tcPr>
            <w:tcW w:w="241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/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Čl. II</w:t>
        <w:tab/>
        <w:t>Informácie o orgánoch spoločnosti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II.</w:t>
        <w:tab/>
        <w:t>Informácie o orgánoch účtovnej jednotky</w: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Čl. III</w:t>
        <w:tab/>
        <w:t>Informácie o prijatých postupoch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1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2</w:t>
        <w:tab/>
        <w:t>Zmeny účtovných zásad a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 xml:space="preserve">Účtovné metódy a zásady boli aplikované v rámci platného Zákona o účtovníctve. 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  <w:tab/>
        <w:t>Informácie o charaktere a účele transakcií, ktoré sa neuvádzajú v súvahe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812"/>
        <w:gridCol w:w="2694"/>
        <w:gridCol w:w="2835"/>
      </w:tblGrid>
      <w:tr>
        <w:trPr>
          <w:trHeight w:val="705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Druh majetku / záväzkov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DNM obstaraný kúpou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5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DNM obstaraný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DNM obstaraný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6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DHM obstaraný kúpou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6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DHM obstaraný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8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DHM obstaraný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Dlhodobý finančný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76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Zásoby obstarané kúpou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66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Zásoby vytvorené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14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Zásoby obstarané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Zákazková výroba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Zákazková výstav. nehnuteľ. určenej na predaj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Pohľadávky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47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Krátkodobý finančný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6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Časové rozlíšenie na strane aktív súvahy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8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Záväzky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Časové rozlíšenie na strane pasív súvahy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121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Deriváty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Majetok a záväzky zabezpečené derivátmi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0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Prenajatý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Majetok obstar. zmluvou o kúpe prenajatej veci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14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Majetok obstaraný v privatizácii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430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Splatná daň z príjmov a odložená daň z príjmov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c)   Ocenenie záväzkov a stanovenie odhadu ocenenia rezerv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sa oceňujú v očakávanej výške záväzku.</w:t>
      </w:r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d)     Spôsob zostavenia odpisového plánu dlhodobého 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</w:r>
    </w:p>
    <w:tbl>
      <w:tblPr>
        <w:tblStyle w:val="Mriekatabuky"/>
        <w:tblW w:w="9356" w:type="dxa"/>
        <w:jc w:val="left"/>
        <w:tblInd w:w="-2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264"/>
        <w:gridCol w:w="1986"/>
        <w:gridCol w:w="2266"/>
      </w:tblGrid>
      <w:tr>
        <w:trPr/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26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 rok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y</w:t>
            </w:r>
          </w:p>
        </w:tc>
        <w:tc>
          <w:tcPr>
            <w:tcW w:w="1986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 %</w:t>
            </w:r>
          </w:p>
        </w:tc>
        <w:tc>
          <w:tcPr>
            <w:tcW w:w="2266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</w:pPr>
            <w:r>
              <w:rPr>
                <w:rFonts w:cs="Times New Roman" w:ascii="Times New Roman" w:hAnsi="Times New Roman"/>
                <w:sz w:val="32"/>
                <w:szCs w:val="32"/>
                <w:vertAlign w:val="subscript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</w:pPr>
            <w:r>
              <w:rPr>
                <w:rFonts w:cs="Times New Roman" w:ascii="Times New Roman" w:hAnsi="Times New Roman"/>
                <w:sz w:val="32"/>
                <w:szCs w:val="32"/>
                <w:vertAlign w:val="subscript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</w:pPr>
            <w:r>
              <w:rPr>
                <w:rFonts w:cs="Times New Roman" w:ascii="Times New Roman" w:hAnsi="Times New Roman"/>
                <w:sz w:val="32"/>
                <w:szCs w:val="32"/>
                <w:vertAlign w:val="subscript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interným predpisom, v ktorom vychádzal z predpokladaného opotrebenia zaraďovaného majetku zodpovedajúceho bežným podmienkam jeho používania. Odpisové sadzby pre </w:t>
        <w:tab/>
        <w:t xml:space="preserve">účtovné a daňové odpisy podnikateľa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e</w:t>
      </w:r>
      <w:bookmarkStart w:id="0" w:name="_GoBack"/>
      <w:bookmarkEnd w:id="0"/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  <w:tab/>
        <w:t>Dotácie poskytnuté na obstaranie majetku: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  <w:tab/>
        <w:t>Oprava významných a nevýznamných chýb minulých účtovných období vykonaných v bežnom účtovnom období:</w:t>
      </w:r>
    </w:p>
    <w:tbl>
      <w:tblPr>
        <w:tblStyle w:val="Mriekatabuky"/>
        <w:tblW w:w="9341" w:type="dxa"/>
        <w:jc w:val="left"/>
        <w:tblInd w:w="-10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104"/>
        <w:gridCol w:w="2921"/>
        <w:gridCol w:w="3316"/>
      </w:tblGrid>
      <w:tr>
        <w:trPr/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104" w:type="dxa"/>
            <w:tcBorders>
              <w:top w:val="single" w:sz="18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1" w:type="dxa"/>
            <w:tcBorders>
              <w:top w:val="single" w:sz="18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316" w:type="dxa"/>
            <w:tcBorders>
              <w:top w:val="single" w:sz="18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31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Čl. IV</w:t>
        <w:tab/>
        <w:t>Informácie, ktoré vysvetľujú a dopĺňajú položky výkazu ziskov a strát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  <w:tab/>
        <w:t>Charakteristika Goodwilu: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  <w:tab/>
        <w:t>Informácie o významných položkách derivátov za bežné účtovné obdobie: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  <w:tab/>
        <w:t xml:space="preserve">Informácie o záväzkoch </w:t>
      </w:r>
    </w:p>
    <w:tbl>
      <w:tblPr>
        <w:tblW w:w="9341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245"/>
        <w:gridCol w:w="2977"/>
        <w:gridCol w:w="3119"/>
      </w:tblGrid>
      <w:tr>
        <w:trPr>
          <w:trHeight w:val="330" w:hRule="atLeast"/>
        </w:trPr>
        <w:tc>
          <w:tcPr>
            <w:tcW w:w="324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PO</w:t>
            </w:r>
          </w:p>
        </w:tc>
      </w:tr>
      <w:tr>
        <w:trPr>
          <w:trHeight w:val="580" w:hRule="atLeast"/>
        </w:trPr>
        <w:tc>
          <w:tcPr>
            <w:tcW w:w="324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Záväzky so zostatkovou dobou splatnosti nad päť rokov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  <w:tab/>
        <w:t>Hodnota záväzkov zabezpečená záložným právom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  <w:tab/>
        <w:t>Informácie o vlastných akciách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  <w:tab/>
        <w:t>Informácie o výnosoch a nákladoch, ktoré majú výnimočný rozsah alebo výskyt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V účtovnom období nevznikli žiadne položky, ktoré by mali výnimočný rozsah alebo výskyt.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Čl. V</w:t>
        <w:tab/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  <w:tab/>
        <w:t>Informácie o podmienenom majetku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  <w:tab/>
        <w:t>Informácie o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  <w:tab/>
        <w:t>Informácie o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  <w:tab/>
        <w:t>Informácie o údajoch na podsúvahových účtoch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Čl. VI</w:t>
        <w:tab/>
        <w:t> Udalosti, ktoré nastali po dni, ku ktorému sa zostavuje účtovná závierka</w: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 žiadne udalosti, ktoré by mali vplyv na zostavenú účtovnú závierku.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133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1"/>
    <w:family w:val="swiss"/>
    <w:pitch w:val="default"/>
  </w:font>
  <w:font w:name="Segoe UI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Times New Roman">
    <w:charset w:val="01"/>
    <w:family w:val="swiss"/>
    <w:pitch w:val="default"/>
  </w:font>
  <w:font w:name="MS Gothic">
    <w:charset w:val="01"/>
    <w:family w:val="swiss"/>
    <w:pitch w:val="default"/>
  </w:font>
  <w:font w:name="Segoe UI Symbol">
    <w:charset w:val="01"/>
    <w:family w:val="swiss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4</w:t>
    </w:r>
    <w:r>
      <w:fldChar w:fldCharType="end"/>
    </w:r>
    <w:r>
      <w:rPr/>
      <w:t xml:space="preserve"> z </w:t>
    </w:r>
    <w:r>
      <w:rPr/>
      <w:fldChar w:fldCharType="begin"/>
    </w:r>
    <w:r>
      <w:instrText> NUMPAGES </w:instrText>
    </w:r>
    <w:r>
      <w:fldChar w:fldCharType="separate"/>
    </w:r>
    <w:r>
      <w:t>4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1"/>
      <w:gridCol w:w="620"/>
      <w:gridCol w:w="279"/>
      <w:gridCol w:w="280"/>
      <w:gridCol w:w="280"/>
      <w:gridCol w:w="280"/>
      <w:gridCol w:w="277"/>
      <w:gridCol w:w="280"/>
      <w:gridCol w:w="280"/>
      <w:gridCol w:w="280"/>
      <w:gridCol w:w="280"/>
      <w:gridCol w:w="560"/>
      <w:gridCol w:w="280"/>
      <w:gridCol w:w="280"/>
      <w:gridCol w:w="277"/>
      <w:gridCol w:w="280"/>
      <w:gridCol w:w="280"/>
      <w:gridCol w:w="280"/>
      <w:gridCol w:w="279"/>
      <w:gridCol w:w="278"/>
      <w:gridCol w:w="280"/>
      <w:gridCol w:w="286"/>
    </w:tblGrid>
    <w:tr>
      <w:trPr>
        <w:trHeight w:val="315" w:hRule="atLeast"/>
      </w:trPr>
      <w:tc>
        <w:tcPr>
          <w:tcW w:w="2921" w:type="dxa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PODV 3 – 01 </w:t>
          </w:r>
        </w:p>
      </w:tc>
      <w:tc>
        <w:tcPr>
          <w:tcW w:w="620" w:type="dxa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Calibri" w:hAnsi="Calibri" w:eastAsia="Times New Roman" w:cs="Times New Roman"/>
              <w:color w:val="000000"/>
              <w:lang w:eastAsia="sk-SK"/>
            </w:rPr>
          </w:pPr>
          <w:r>
            <w:rPr>
              <w:rFonts w:eastAsia="Times New Roman" w:cs="Times New Roman"/>
              <w:color w:val="000000"/>
              <w:lang w:eastAsia="sk-SK"/>
            </w:rPr>
          </w:r>
        </w:p>
      </w:tc>
      <w:tc>
        <w:tcPr>
          <w:tcW w:w="560" w:type="dxa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/>
            <w:t>7</w:t>
          </w:r>
        </w:p>
      </w:tc>
    </w:tr>
  </w:tbl>
  <w:p>
    <w:pPr>
      <w:pStyle w:val="Hlavika"/>
      <w:tabs>
        <w:tab w:val="left" w:pos="3765" w:leader="none"/>
        <w:tab w:val="left" w:pos="4335" w:leader="none"/>
        <w:tab w:val="center" w:pos="4536" w:leader="none"/>
        <w:tab w:val="left" w:pos="5400" w:leader="none"/>
        <w:tab w:val="right" w:pos="9072" w:leader="none"/>
        <w:tab w:val="right" w:pos="9356" w:leader="none"/>
      </w:tabs>
      <w:spacing w:before="80" w:after="0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2521d6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DC2F5D-B61F-489E-B62D-662600ED0D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LibreOffice/5.3.6.1$Windows_x86 LibreOffice_project/686f202eff87ef707079aeb7f485847613344eb7</Application>
  <Pages>4</Pages>
  <Words>807</Words>
  <Characters>4776</Characters>
  <CharactersWithSpaces>5611</CharactersWithSpaces>
  <Paragraphs>187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2017-03-27T18:22:00Z</dcterms:created>
  <dc:creator>Martin T</dc:creator>
  <dc:description/>
  <dc:language>sk-SK</dc:language>
  <cp:lastModifiedBy/>
  <cp:lastPrinted>2017-03-14T19:05:00Z</cp:lastPrinted>
  <dcterms:modified xsi:type="dcterms:W3CDTF">2018-06-27T00:33:43Z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