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prepočítaný počet zamestnancov – </w:t>
      </w:r>
      <w:r w:rsidR="00C502C6">
        <w:rPr>
          <w:sz w:val="23"/>
          <w:szCs w:val="23"/>
        </w:rPr>
        <w:t>1</w:t>
      </w: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31.12.201</w:t>
      </w:r>
      <w:r w:rsidR="00BB60D3">
        <w:rPr>
          <w:sz w:val="23"/>
          <w:szCs w:val="23"/>
        </w:rPr>
        <w:t>6</w:t>
      </w:r>
      <w:r>
        <w:rPr>
          <w:sz w:val="23"/>
          <w:szCs w:val="23"/>
        </w:rPr>
        <w:t xml:space="preserve"> určeným ECB.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III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Informácie, ktoré vysvetľujú a dopĺňajú súvahu a výkaz ziskov a strát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výnosov: </w:t>
      </w:r>
    </w:p>
    <w:p w:rsidR="000B6C17" w:rsidRDefault="000B6C17" w:rsidP="000B6C17">
      <w:pPr>
        <w:pStyle w:val="Default"/>
        <w:rPr>
          <w:sz w:val="23"/>
          <w:szCs w:val="23"/>
        </w:rPr>
      </w:pP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Opravná položka k pohľ</w:t>
      </w:r>
      <w:r w:rsidR="00F9501A">
        <w:rPr>
          <w:sz w:val="23"/>
          <w:szCs w:val="23"/>
        </w:rPr>
        <w:t>adávkam –evidujeme po lehote splatnosti nad 360 pohľadávky vo výške  5033,89 – tvorba 20% vo výške 1006,77 a nad 1080-tvorba 100%</w:t>
      </w:r>
      <w:bookmarkStart w:id="0" w:name="_GoBack"/>
      <w:bookmarkEnd w:id="0"/>
      <w:r w:rsidR="00F9501A">
        <w:rPr>
          <w:sz w:val="23"/>
          <w:szCs w:val="23"/>
        </w:rPr>
        <w:t xml:space="preserve"> dní 3 417,92 €</w:t>
      </w:r>
      <w:r w:rsidR="00BB60D3">
        <w:rPr>
          <w:sz w:val="23"/>
          <w:szCs w:val="23"/>
        </w:rPr>
        <w:t>.</w:t>
      </w:r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A47E2E"/>
    <w:rsid w:val="00BB60D3"/>
    <w:rsid w:val="00C47577"/>
    <w:rsid w:val="00C502C6"/>
    <w:rsid w:val="00F225A1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Hajkova</cp:lastModifiedBy>
  <cp:revision>2</cp:revision>
  <dcterms:created xsi:type="dcterms:W3CDTF">2018-06-28T11:05:00Z</dcterms:created>
  <dcterms:modified xsi:type="dcterms:W3CDTF">2018-06-28T11:05:00Z</dcterms:modified>
</cp:coreProperties>
</file>