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2B06" w:rsidRPr="009E6B72" w:rsidRDefault="00722B06" w:rsidP="009E6B72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  <w:r w:rsidRPr="009E6B72">
        <w:rPr>
          <w:rFonts w:ascii="Times New Roman" w:hAnsi="Times New Roman"/>
          <w:b/>
          <w:sz w:val="20"/>
          <w:szCs w:val="20"/>
        </w:rPr>
        <w:t>Čl. I</w:t>
      </w:r>
    </w:p>
    <w:p w:rsidR="00722B06" w:rsidRPr="009E6B72" w:rsidRDefault="00722B06" w:rsidP="009E6B72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  <w:r w:rsidRPr="009E6B72">
        <w:rPr>
          <w:rFonts w:ascii="Times New Roman" w:hAnsi="Times New Roman"/>
          <w:b/>
          <w:sz w:val="20"/>
          <w:szCs w:val="20"/>
        </w:rPr>
        <w:t>Všeobecné informácie</w:t>
      </w:r>
    </w:p>
    <w:p w:rsidR="00722B06" w:rsidRPr="009E6B72" w:rsidRDefault="00722B06" w:rsidP="002911C8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</w:p>
    <w:p w:rsidR="00722B06" w:rsidRPr="009E6B72" w:rsidRDefault="00722B06" w:rsidP="002911C8">
      <w:pPr>
        <w:pStyle w:val="Odsekzoznamu"/>
        <w:numPr>
          <w:ilvl w:val="0"/>
          <w:numId w:val="3"/>
        </w:numPr>
        <w:spacing w:after="0"/>
        <w:ind w:hanging="72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Spoločnosť </w:t>
      </w:r>
      <w:proofErr w:type="spellStart"/>
      <w:r>
        <w:rPr>
          <w:rFonts w:ascii="Times New Roman" w:hAnsi="Times New Roman"/>
          <w:sz w:val="20"/>
          <w:szCs w:val="20"/>
        </w:rPr>
        <w:t>Fin</w:t>
      </w:r>
      <w:proofErr w:type="spellEnd"/>
      <w:r>
        <w:rPr>
          <w:rFonts w:ascii="Times New Roman" w:hAnsi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/>
          <w:sz w:val="20"/>
          <w:szCs w:val="20"/>
        </w:rPr>
        <w:t>Succes</w:t>
      </w:r>
      <w:proofErr w:type="spellEnd"/>
      <w:r>
        <w:rPr>
          <w:rFonts w:ascii="Times New Roman" w:hAnsi="Times New Roman"/>
          <w:sz w:val="20"/>
          <w:szCs w:val="20"/>
        </w:rPr>
        <w:t xml:space="preserve">, </w:t>
      </w:r>
      <w:r w:rsidRPr="000A7928">
        <w:rPr>
          <w:rFonts w:ascii="Times New Roman" w:hAnsi="Times New Roman"/>
          <w:sz w:val="20"/>
          <w:szCs w:val="20"/>
        </w:rPr>
        <w:t>s.r.o.</w:t>
      </w:r>
      <w:r w:rsidRPr="009E6B72">
        <w:rPr>
          <w:rFonts w:ascii="Times New Roman" w:hAnsi="Times New Roman"/>
          <w:sz w:val="20"/>
          <w:szCs w:val="20"/>
        </w:rPr>
        <w:t xml:space="preserve"> (ďalej len Spoločnosť), bola založená</w:t>
      </w:r>
      <w:r>
        <w:rPr>
          <w:rFonts w:ascii="Times New Roman" w:hAnsi="Times New Roman"/>
          <w:sz w:val="20"/>
          <w:szCs w:val="20"/>
        </w:rPr>
        <w:t xml:space="preserve"> 23</w:t>
      </w:r>
      <w:r w:rsidRPr="009E6B72">
        <w:rPr>
          <w:rFonts w:ascii="Times New Roman" w:hAnsi="Times New Roman"/>
          <w:sz w:val="20"/>
          <w:szCs w:val="20"/>
        </w:rPr>
        <w:t>.</w:t>
      </w:r>
      <w:r>
        <w:rPr>
          <w:rFonts w:ascii="Times New Roman" w:hAnsi="Times New Roman"/>
          <w:sz w:val="20"/>
          <w:szCs w:val="20"/>
        </w:rPr>
        <w:t xml:space="preserve"> apríla </w:t>
      </w:r>
      <w:smartTag w:uri="urn:schemas-microsoft-com:office:smarttags" w:element="metricconverter">
        <w:smartTagPr>
          <w:attr w:name="ProductID" w:val="2015 a"/>
        </w:smartTagPr>
        <w:r w:rsidRPr="009E6B72">
          <w:rPr>
            <w:rFonts w:ascii="Times New Roman" w:hAnsi="Times New Roman"/>
            <w:sz w:val="20"/>
            <w:szCs w:val="20"/>
          </w:rPr>
          <w:t>20</w:t>
        </w:r>
        <w:r>
          <w:rPr>
            <w:rFonts w:ascii="Times New Roman" w:hAnsi="Times New Roman"/>
            <w:sz w:val="20"/>
            <w:szCs w:val="20"/>
          </w:rPr>
          <w:t>15</w:t>
        </w:r>
        <w:r w:rsidRPr="009E6B72">
          <w:rPr>
            <w:rFonts w:ascii="Times New Roman" w:hAnsi="Times New Roman"/>
            <w:sz w:val="20"/>
            <w:szCs w:val="20"/>
          </w:rPr>
          <w:t xml:space="preserve"> a</w:t>
        </w:r>
      </w:smartTag>
      <w:r w:rsidRPr="009E6B72">
        <w:rPr>
          <w:rFonts w:ascii="Times New Roman" w:hAnsi="Times New Roman"/>
          <w:sz w:val="20"/>
          <w:szCs w:val="20"/>
        </w:rPr>
        <w:t xml:space="preserve"> do obchodného registra bola zapísaná </w:t>
      </w:r>
      <w:r>
        <w:rPr>
          <w:rFonts w:ascii="Times New Roman" w:hAnsi="Times New Roman"/>
          <w:sz w:val="20"/>
          <w:szCs w:val="20"/>
        </w:rPr>
        <w:t>14</w:t>
      </w:r>
      <w:r w:rsidRPr="000A7928">
        <w:rPr>
          <w:rFonts w:ascii="Times New Roman" w:hAnsi="Times New Roman"/>
          <w:sz w:val="20"/>
          <w:szCs w:val="20"/>
        </w:rPr>
        <w:t xml:space="preserve">. </w:t>
      </w:r>
      <w:r>
        <w:rPr>
          <w:rFonts w:ascii="Times New Roman" w:hAnsi="Times New Roman"/>
          <w:sz w:val="20"/>
          <w:szCs w:val="20"/>
        </w:rPr>
        <w:t xml:space="preserve">apríla </w:t>
      </w:r>
      <w:r w:rsidRPr="000A7928">
        <w:rPr>
          <w:rFonts w:ascii="Times New Roman" w:hAnsi="Times New Roman"/>
          <w:sz w:val="20"/>
          <w:szCs w:val="20"/>
        </w:rPr>
        <w:t>20</w:t>
      </w:r>
      <w:r>
        <w:rPr>
          <w:rFonts w:ascii="Times New Roman" w:hAnsi="Times New Roman"/>
          <w:sz w:val="20"/>
          <w:szCs w:val="20"/>
        </w:rPr>
        <w:t>15</w:t>
      </w:r>
      <w:r w:rsidRPr="000A7928">
        <w:rPr>
          <w:rFonts w:ascii="Times New Roman" w:hAnsi="Times New Roman"/>
          <w:sz w:val="20"/>
          <w:szCs w:val="20"/>
        </w:rPr>
        <w:t xml:space="preserve"> (</w:t>
      </w:r>
      <w:r w:rsidRPr="009E6B72">
        <w:rPr>
          <w:rFonts w:ascii="Times New Roman" w:hAnsi="Times New Roman"/>
          <w:sz w:val="20"/>
          <w:szCs w:val="20"/>
        </w:rPr>
        <w:t>Obchodný register</w:t>
      </w:r>
      <w:r w:rsidRPr="000A7928">
        <w:rPr>
          <w:rFonts w:ascii="Times New Roman" w:hAnsi="Times New Roman"/>
          <w:sz w:val="20"/>
          <w:szCs w:val="20"/>
        </w:rPr>
        <w:t xml:space="preserve"> Okresného súdu Bratislav</w:t>
      </w:r>
      <w:r>
        <w:rPr>
          <w:rFonts w:ascii="Times New Roman" w:hAnsi="Times New Roman"/>
          <w:sz w:val="20"/>
          <w:szCs w:val="20"/>
        </w:rPr>
        <w:t xml:space="preserve">a I. v Bratislave, oddiel </w:t>
      </w:r>
      <w:proofErr w:type="spellStart"/>
      <w:r>
        <w:rPr>
          <w:rFonts w:ascii="Times New Roman" w:hAnsi="Times New Roman"/>
          <w:sz w:val="20"/>
          <w:szCs w:val="20"/>
        </w:rPr>
        <w:t>Sro</w:t>
      </w:r>
      <w:proofErr w:type="spellEnd"/>
      <w:r w:rsidRPr="000A7928">
        <w:rPr>
          <w:rFonts w:ascii="Times New Roman" w:hAnsi="Times New Roman"/>
          <w:sz w:val="20"/>
          <w:szCs w:val="20"/>
        </w:rPr>
        <w:t xml:space="preserve">, vložka </w:t>
      </w:r>
      <w:r>
        <w:rPr>
          <w:rFonts w:ascii="Times New Roman" w:hAnsi="Times New Roman"/>
          <w:sz w:val="20"/>
          <w:szCs w:val="20"/>
        </w:rPr>
        <w:t>103661/B</w:t>
      </w:r>
      <w:r w:rsidRPr="000A7928">
        <w:rPr>
          <w:rFonts w:ascii="Times New Roman" w:hAnsi="Times New Roman"/>
          <w:sz w:val="20"/>
          <w:szCs w:val="20"/>
        </w:rPr>
        <w:t>)</w:t>
      </w:r>
      <w:r>
        <w:rPr>
          <w:rFonts w:ascii="Times New Roman" w:hAnsi="Times New Roman"/>
          <w:sz w:val="20"/>
          <w:szCs w:val="20"/>
        </w:rPr>
        <w:t>.</w:t>
      </w:r>
      <w:r w:rsidRPr="009E6B72">
        <w:rPr>
          <w:rFonts w:ascii="Times New Roman" w:hAnsi="Times New Roman"/>
          <w:sz w:val="20"/>
          <w:szCs w:val="20"/>
        </w:rPr>
        <w:t xml:space="preserve"> </w:t>
      </w:r>
    </w:p>
    <w:p w:rsidR="00722B06" w:rsidRPr="009E6B72" w:rsidRDefault="00722B06" w:rsidP="002911C8">
      <w:pPr>
        <w:spacing w:after="0"/>
        <w:ind w:firstLine="708"/>
        <w:jc w:val="both"/>
        <w:rPr>
          <w:rFonts w:ascii="Times New Roman" w:hAnsi="Times New Roman"/>
          <w:sz w:val="20"/>
          <w:szCs w:val="20"/>
        </w:rPr>
      </w:pPr>
      <w:r w:rsidRPr="009E6B72">
        <w:rPr>
          <w:rFonts w:ascii="Times New Roman" w:hAnsi="Times New Roman"/>
          <w:sz w:val="20"/>
          <w:szCs w:val="20"/>
        </w:rPr>
        <w:t>Hlavnými činnosťami Spoločnosti sú:</w:t>
      </w:r>
    </w:p>
    <w:p w:rsidR="00722B06" w:rsidRPr="000A7928" w:rsidRDefault="00722B06" w:rsidP="000A7928">
      <w:pPr>
        <w:pStyle w:val="Odsekzoznamu"/>
        <w:numPr>
          <w:ilvl w:val="0"/>
          <w:numId w:val="11"/>
        </w:numPr>
        <w:tabs>
          <w:tab w:val="num" w:pos="709"/>
        </w:tabs>
        <w:spacing w:after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sprostredkovateľská činnosť</w:t>
      </w:r>
      <w:r w:rsidRPr="000A7928">
        <w:rPr>
          <w:rFonts w:ascii="Times New Roman" w:hAnsi="Times New Roman"/>
          <w:sz w:val="20"/>
          <w:szCs w:val="20"/>
        </w:rPr>
        <w:t>.</w:t>
      </w:r>
    </w:p>
    <w:p w:rsidR="00722B06" w:rsidRPr="009E6B72" w:rsidRDefault="00722B06" w:rsidP="000A7928">
      <w:pPr>
        <w:spacing w:after="0"/>
        <w:rPr>
          <w:rFonts w:ascii="Times New Roman" w:hAnsi="Times New Roman"/>
          <w:sz w:val="20"/>
          <w:szCs w:val="20"/>
        </w:rPr>
      </w:pPr>
      <w:r w:rsidRPr="009E6B72">
        <w:rPr>
          <w:rFonts w:ascii="Times New Roman" w:hAnsi="Times New Roman"/>
          <w:sz w:val="20"/>
          <w:szCs w:val="20"/>
        </w:rPr>
        <w:t xml:space="preserve"> (2) </w:t>
      </w:r>
      <w:r w:rsidRPr="009E6B72">
        <w:rPr>
          <w:rFonts w:ascii="Times New Roman" w:hAnsi="Times New Roman"/>
          <w:sz w:val="20"/>
          <w:szCs w:val="20"/>
        </w:rPr>
        <w:tab/>
        <w:t xml:space="preserve">Dátum schválenia účtovnej závierky za predchádzajúce účtovné obdobie bol </w:t>
      </w:r>
      <w:r>
        <w:rPr>
          <w:rFonts w:ascii="Times New Roman" w:hAnsi="Times New Roman"/>
          <w:sz w:val="20"/>
          <w:szCs w:val="20"/>
        </w:rPr>
        <w:t>27</w:t>
      </w:r>
      <w:r w:rsidRPr="009E6B72">
        <w:rPr>
          <w:rFonts w:ascii="Times New Roman" w:hAnsi="Times New Roman"/>
          <w:sz w:val="20"/>
          <w:szCs w:val="20"/>
        </w:rPr>
        <w:t>.</w:t>
      </w:r>
      <w:r>
        <w:rPr>
          <w:rFonts w:ascii="Times New Roman" w:hAnsi="Times New Roman"/>
          <w:sz w:val="20"/>
          <w:szCs w:val="20"/>
        </w:rPr>
        <w:t>júna</w:t>
      </w:r>
      <w:r w:rsidRPr="009E6B72">
        <w:rPr>
          <w:rFonts w:ascii="Times New Roman" w:hAnsi="Times New Roman"/>
          <w:sz w:val="20"/>
          <w:szCs w:val="20"/>
        </w:rPr>
        <w:t xml:space="preserve"> 201</w:t>
      </w:r>
      <w:r w:rsidR="00F131B5">
        <w:rPr>
          <w:rFonts w:ascii="Times New Roman" w:hAnsi="Times New Roman"/>
          <w:sz w:val="20"/>
          <w:szCs w:val="20"/>
        </w:rPr>
        <w:t>7</w:t>
      </w:r>
      <w:r w:rsidRPr="009E6B72">
        <w:rPr>
          <w:rFonts w:ascii="Times New Roman" w:hAnsi="Times New Roman"/>
          <w:sz w:val="20"/>
          <w:szCs w:val="20"/>
        </w:rPr>
        <w:t>.</w:t>
      </w:r>
    </w:p>
    <w:p w:rsidR="00722B06" w:rsidRPr="009E6B72" w:rsidRDefault="00722B06" w:rsidP="002911C8">
      <w:pPr>
        <w:spacing w:after="120"/>
        <w:ind w:left="709" w:hanging="709"/>
        <w:rPr>
          <w:rFonts w:ascii="Times New Roman" w:hAnsi="Times New Roman"/>
          <w:sz w:val="20"/>
          <w:szCs w:val="20"/>
        </w:rPr>
      </w:pPr>
      <w:r w:rsidRPr="009E6B72">
        <w:rPr>
          <w:rFonts w:ascii="Times New Roman" w:hAnsi="Times New Roman"/>
          <w:sz w:val="20"/>
          <w:szCs w:val="20"/>
        </w:rPr>
        <w:t xml:space="preserve">(3) </w:t>
      </w:r>
      <w:r w:rsidRPr="009E6B72">
        <w:rPr>
          <w:rFonts w:ascii="Times New Roman" w:hAnsi="Times New Roman"/>
          <w:sz w:val="20"/>
          <w:szCs w:val="20"/>
        </w:rPr>
        <w:tab/>
        <w:t>Právny dôvod na zostavenie účtovnej závierky.  Účtovná závierk</w:t>
      </w:r>
      <w:r>
        <w:rPr>
          <w:rFonts w:ascii="Times New Roman" w:hAnsi="Times New Roman"/>
          <w:sz w:val="20"/>
          <w:szCs w:val="20"/>
        </w:rPr>
        <w:t>a Spoločnosti k 31.</w:t>
      </w:r>
      <w:r w:rsidR="00F131B5">
        <w:rPr>
          <w:rFonts w:ascii="Times New Roman" w:hAnsi="Times New Roman"/>
          <w:sz w:val="20"/>
          <w:szCs w:val="20"/>
        </w:rPr>
        <w:t xml:space="preserve"> decembru 2017</w:t>
      </w:r>
      <w:r>
        <w:rPr>
          <w:rFonts w:ascii="Times New Roman" w:hAnsi="Times New Roman"/>
          <w:sz w:val="20"/>
          <w:szCs w:val="20"/>
        </w:rPr>
        <w:t xml:space="preserve"> je</w:t>
      </w:r>
      <w:r w:rsidRPr="009E6B72">
        <w:rPr>
          <w:rFonts w:ascii="Times New Roman" w:hAnsi="Times New Roman"/>
          <w:sz w:val="20"/>
          <w:szCs w:val="20"/>
        </w:rPr>
        <w:t xml:space="preserve"> zostavená ako riadna účtovná závierka podľa § 17 ods. 6 zákona NR SR č. 431/2002 Z. z. o účtovníctve za účtovné obdobie od 1.januára 201</w:t>
      </w:r>
      <w:r w:rsidR="00F131B5">
        <w:rPr>
          <w:rFonts w:ascii="Times New Roman" w:hAnsi="Times New Roman"/>
          <w:sz w:val="20"/>
          <w:szCs w:val="20"/>
        </w:rPr>
        <w:t>7</w:t>
      </w:r>
      <w:r w:rsidRPr="009E6B72">
        <w:rPr>
          <w:rFonts w:ascii="Times New Roman" w:hAnsi="Times New Roman"/>
          <w:sz w:val="20"/>
          <w:szCs w:val="20"/>
        </w:rPr>
        <w:t xml:space="preserve"> do 31. decembra 201</w:t>
      </w:r>
      <w:r w:rsidR="00F131B5">
        <w:rPr>
          <w:rFonts w:ascii="Times New Roman" w:hAnsi="Times New Roman"/>
          <w:sz w:val="20"/>
          <w:szCs w:val="20"/>
        </w:rPr>
        <w:t>7</w:t>
      </w:r>
      <w:r w:rsidRPr="009E6B72">
        <w:rPr>
          <w:rFonts w:ascii="Times New Roman" w:hAnsi="Times New Roman"/>
          <w:sz w:val="20"/>
          <w:szCs w:val="20"/>
        </w:rPr>
        <w:t>.</w:t>
      </w:r>
    </w:p>
    <w:p w:rsidR="00722B06" w:rsidRPr="009E6B72" w:rsidRDefault="00722B06" w:rsidP="002911C8">
      <w:pPr>
        <w:spacing w:after="120"/>
        <w:ind w:left="708" w:hanging="708"/>
        <w:jc w:val="both"/>
        <w:rPr>
          <w:rFonts w:ascii="Times New Roman" w:hAnsi="Times New Roman"/>
          <w:sz w:val="20"/>
          <w:szCs w:val="20"/>
        </w:rPr>
      </w:pPr>
      <w:r w:rsidRPr="009E6B72">
        <w:rPr>
          <w:rFonts w:ascii="Times New Roman" w:hAnsi="Times New Roman"/>
          <w:sz w:val="20"/>
          <w:szCs w:val="20"/>
        </w:rPr>
        <w:t>(4)</w:t>
      </w:r>
      <w:r w:rsidRPr="009E6B72">
        <w:rPr>
          <w:rFonts w:ascii="Times New Roman" w:hAnsi="Times New Roman"/>
          <w:sz w:val="20"/>
          <w:szCs w:val="20"/>
        </w:rPr>
        <w:tab/>
        <w:t>Informácie o konsolidovanom celku. Spoločnosť sa nezahŕňa do žiadnej konsolidovanej účtovnej závierky.</w:t>
      </w:r>
    </w:p>
    <w:p w:rsidR="00722B06" w:rsidRPr="000C47B7" w:rsidRDefault="00722B06" w:rsidP="000C47B7">
      <w:pPr>
        <w:pStyle w:val="Zkladntext"/>
        <w:ind w:left="709" w:hanging="709"/>
        <w:rPr>
          <w:sz w:val="20"/>
        </w:rPr>
      </w:pPr>
      <w:r w:rsidRPr="009E6B72">
        <w:rPr>
          <w:sz w:val="20"/>
        </w:rPr>
        <w:t>(5)</w:t>
      </w:r>
      <w:r w:rsidRPr="009E6B72">
        <w:rPr>
          <w:sz w:val="20"/>
        </w:rPr>
        <w:tab/>
      </w:r>
      <w:r w:rsidR="00F131B5">
        <w:rPr>
          <w:sz w:val="20"/>
        </w:rPr>
        <w:t>Spoločnosť v roku 2017</w:t>
      </w:r>
      <w:r>
        <w:rPr>
          <w:sz w:val="20"/>
        </w:rPr>
        <w:t xml:space="preserve"> </w:t>
      </w:r>
      <w:r w:rsidR="00F131B5">
        <w:rPr>
          <w:sz w:val="20"/>
        </w:rPr>
        <w:t xml:space="preserve">evidovala jedného </w:t>
      </w:r>
      <w:r>
        <w:rPr>
          <w:sz w:val="20"/>
        </w:rPr>
        <w:t>zamestnanc</w:t>
      </w:r>
      <w:r w:rsidR="00F131B5">
        <w:rPr>
          <w:sz w:val="20"/>
        </w:rPr>
        <w:t>a</w:t>
      </w:r>
      <w:r>
        <w:rPr>
          <w:sz w:val="20"/>
        </w:rPr>
        <w:t xml:space="preserve">. </w:t>
      </w:r>
      <w:r w:rsidR="00F131B5">
        <w:rPr>
          <w:sz w:val="20"/>
        </w:rPr>
        <w:t>V</w:t>
      </w:r>
      <w:r>
        <w:rPr>
          <w:sz w:val="20"/>
        </w:rPr>
        <w:t> roku 201</w:t>
      </w:r>
      <w:r w:rsidR="00F131B5">
        <w:rPr>
          <w:sz w:val="20"/>
        </w:rPr>
        <w:t>6</w:t>
      </w:r>
      <w:r>
        <w:rPr>
          <w:sz w:val="20"/>
        </w:rPr>
        <w:t xml:space="preserve"> neevidovala žiadnych zamestnancov</w:t>
      </w:r>
      <w:r w:rsidRPr="000C47B7">
        <w:rPr>
          <w:sz w:val="20"/>
        </w:rPr>
        <w:t xml:space="preserve">. </w:t>
      </w:r>
    </w:p>
    <w:p w:rsidR="00722B06" w:rsidRDefault="00722B06" w:rsidP="000C47B7">
      <w:pPr>
        <w:spacing w:after="0"/>
        <w:jc w:val="both"/>
        <w:rPr>
          <w:rFonts w:ascii="Times New Roman" w:hAnsi="Times New Roman"/>
          <w:b/>
          <w:sz w:val="20"/>
          <w:szCs w:val="20"/>
        </w:rPr>
      </w:pPr>
    </w:p>
    <w:p w:rsidR="00722B06" w:rsidRPr="009E6B72" w:rsidRDefault="00722B06" w:rsidP="002911C8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</w:p>
    <w:p w:rsidR="00722B06" w:rsidRPr="009E6B72" w:rsidRDefault="00722B06" w:rsidP="009E6B72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  <w:r w:rsidRPr="009E6B72">
        <w:rPr>
          <w:rFonts w:ascii="Times New Roman" w:hAnsi="Times New Roman"/>
          <w:b/>
          <w:sz w:val="20"/>
          <w:szCs w:val="20"/>
        </w:rPr>
        <w:t>Čl. IL</w:t>
      </w:r>
    </w:p>
    <w:p w:rsidR="00722B06" w:rsidRPr="009E6B72" w:rsidRDefault="00722B06" w:rsidP="009E6B72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  <w:r w:rsidRPr="009E6B72">
        <w:rPr>
          <w:rFonts w:ascii="Times New Roman" w:hAnsi="Times New Roman"/>
          <w:b/>
          <w:sz w:val="20"/>
          <w:szCs w:val="20"/>
        </w:rPr>
        <w:t>Informácie o orgánoch spoločnosti</w:t>
      </w:r>
    </w:p>
    <w:p w:rsidR="00722B06" w:rsidRPr="009E6B72" w:rsidRDefault="00722B06" w:rsidP="009E6B72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</w:p>
    <w:p w:rsidR="00722B06" w:rsidRDefault="00722B06" w:rsidP="000A7928">
      <w:pPr>
        <w:pStyle w:val="Odsekzoznamu"/>
        <w:numPr>
          <w:ilvl w:val="0"/>
          <w:numId w:val="2"/>
        </w:numPr>
        <w:spacing w:after="120"/>
        <w:ind w:hanging="72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Spoločníci:</w:t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 w:rsidRPr="00151D46">
        <w:rPr>
          <w:rFonts w:ascii="Times New Roman" w:hAnsi="Times New Roman"/>
          <w:sz w:val="20"/>
          <w:szCs w:val="20"/>
        </w:rPr>
        <w:t xml:space="preserve">Ing. </w:t>
      </w:r>
      <w:r>
        <w:rPr>
          <w:rFonts w:ascii="Times New Roman" w:hAnsi="Times New Roman"/>
          <w:sz w:val="20"/>
          <w:szCs w:val="20"/>
        </w:rPr>
        <w:t xml:space="preserve">Marian </w:t>
      </w:r>
      <w:proofErr w:type="spellStart"/>
      <w:r>
        <w:rPr>
          <w:rFonts w:ascii="Times New Roman" w:hAnsi="Times New Roman"/>
          <w:sz w:val="20"/>
          <w:szCs w:val="20"/>
        </w:rPr>
        <w:t>Sedílek</w:t>
      </w:r>
      <w:proofErr w:type="spellEnd"/>
      <w:r>
        <w:rPr>
          <w:rFonts w:ascii="Times New Roman" w:hAnsi="Times New Roman"/>
          <w:sz w:val="20"/>
          <w:szCs w:val="20"/>
        </w:rPr>
        <w:t xml:space="preserve"> - konateľ</w:t>
      </w:r>
    </w:p>
    <w:p w:rsidR="00722B06" w:rsidRPr="009E6B72" w:rsidRDefault="00722B06" w:rsidP="002911C8">
      <w:pPr>
        <w:pStyle w:val="Odsekzoznamu"/>
        <w:numPr>
          <w:ilvl w:val="0"/>
          <w:numId w:val="2"/>
        </w:numPr>
        <w:spacing w:after="120"/>
        <w:ind w:hanging="720"/>
        <w:jc w:val="both"/>
        <w:rPr>
          <w:rFonts w:ascii="Times New Roman" w:hAnsi="Times New Roman"/>
          <w:sz w:val="20"/>
          <w:szCs w:val="20"/>
        </w:rPr>
      </w:pPr>
      <w:r w:rsidRPr="009E6B72">
        <w:rPr>
          <w:rFonts w:ascii="Times New Roman" w:hAnsi="Times New Roman"/>
          <w:sz w:val="20"/>
          <w:szCs w:val="20"/>
        </w:rPr>
        <w:t>Štatutárnemu orgánu spoločnosti neboli poskytnuté žiadne pôžičky, záruky alebo iné zabezpečenia.</w:t>
      </w:r>
    </w:p>
    <w:p w:rsidR="00722B06" w:rsidRPr="009E6B72" w:rsidRDefault="00722B06" w:rsidP="009A119A">
      <w:pPr>
        <w:jc w:val="both"/>
        <w:rPr>
          <w:rFonts w:ascii="Times New Roman" w:hAnsi="Times New Roman"/>
          <w:sz w:val="20"/>
          <w:szCs w:val="20"/>
        </w:rPr>
      </w:pPr>
    </w:p>
    <w:p w:rsidR="00722B06" w:rsidRPr="009E6B72" w:rsidRDefault="00722B06" w:rsidP="009E6B72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  <w:r w:rsidRPr="009E6B72">
        <w:rPr>
          <w:rFonts w:ascii="Times New Roman" w:hAnsi="Times New Roman"/>
          <w:b/>
          <w:sz w:val="20"/>
          <w:szCs w:val="20"/>
        </w:rPr>
        <w:t>Čl. IL</w:t>
      </w:r>
    </w:p>
    <w:p w:rsidR="00722B06" w:rsidRPr="009E6B72" w:rsidRDefault="00722B06" w:rsidP="009E6B72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  <w:r w:rsidRPr="009E6B72">
        <w:rPr>
          <w:rFonts w:ascii="Times New Roman" w:hAnsi="Times New Roman"/>
          <w:b/>
          <w:sz w:val="20"/>
          <w:szCs w:val="20"/>
        </w:rPr>
        <w:t>Informácie o prijatých postupoch</w:t>
      </w:r>
    </w:p>
    <w:p w:rsidR="00722B06" w:rsidRPr="009E6B72" w:rsidRDefault="00722B06" w:rsidP="009E6B72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</w:p>
    <w:p w:rsidR="00722B06" w:rsidRPr="009E6B72" w:rsidRDefault="00722B06" w:rsidP="009E6B72">
      <w:pPr>
        <w:pStyle w:val="Zkladntext"/>
        <w:numPr>
          <w:ilvl w:val="0"/>
          <w:numId w:val="7"/>
        </w:numPr>
        <w:spacing w:after="120"/>
        <w:ind w:left="709" w:hanging="709"/>
        <w:rPr>
          <w:sz w:val="20"/>
        </w:rPr>
      </w:pPr>
      <w:r w:rsidRPr="009E6B72">
        <w:rPr>
          <w:sz w:val="20"/>
        </w:rPr>
        <w:t>Účtovná závierka bola zostavená za predpokladu nepretržitého trvania Spoločnosti (</w:t>
      </w:r>
      <w:proofErr w:type="spellStart"/>
      <w:r w:rsidRPr="009E6B72">
        <w:rPr>
          <w:sz w:val="20"/>
        </w:rPr>
        <w:t>going</w:t>
      </w:r>
      <w:proofErr w:type="spellEnd"/>
      <w:r w:rsidRPr="009E6B72">
        <w:rPr>
          <w:sz w:val="20"/>
        </w:rPr>
        <w:t xml:space="preserve"> </w:t>
      </w:r>
      <w:proofErr w:type="spellStart"/>
      <w:r w:rsidRPr="009E6B72">
        <w:rPr>
          <w:sz w:val="20"/>
        </w:rPr>
        <w:t>concern</w:t>
      </w:r>
      <w:proofErr w:type="spellEnd"/>
      <w:r w:rsidRPr="009E6B72">
        <w:rPr>
          <w:sz w:val="20"/>
        </w:rPr>
        <w:t xml:space="preserve">). </w:t>
      </w:r>
    </w:p>
    <w:p w:rsidR="00722B06" w:rsidRPr="009E6B72" w:rsidRDefault="00722B06" w:rsidP="009E6B72">
      <w:pPr>
        <w:pStyle w:val="Zkladntext"/>
        <w:numPr>
          <w:ilvl w:val="0"/>
          <w:numId w:val="7"/>
        </w:numPr>
        <w:spacing w:after="120"/>
        <w:ind w:left="709" w:hanging="709"/>
        <w:rPr>
          <w:sz w:val="20"/>
        </w:rPr>
      </w:pPr>
      <w:r w:rsidRPr="009E6B72">
        <w:rPr>
          <w:sz w:val="20"/>
        </w:rPr>
        <w:t>Spôsob oceňovania jednotlivých položiek majetku a záväzkov a spôsob zostavenia odpisového plánu:</w:t>
      </w:r>
    </w:p>
    <w:p w:rsidR="00722B06" w:rsidRPr="009E6B72" w:rsidRDefault="00722B06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Dlhodobý nehmotný majetok a dlhodobý hmotný majetok</w:t>
      </w:r>
    </w:p>
    <w:p w:rsidR="00722B06" w:rsidRPr="009E6B72" w:rsidRDefault="00722B06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722B06" w:rsidRPr="009E6B72" w:rsidRDefault="00722B06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 xml:space="preserve">Dlhodobý majetok vlastnou činnosťou Spoločnosť nevytvárala. </w:t>
      </w:r>
    </w:p>
    <w:p w:rsidR="00722B06" w:rsidRPr="009E6B72" w:rsidRDefault="00722B06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Cenné papiere a podiely</w:t>
      </w:r>
    </w:p>
    <w:p w:rsidR="00722B06" w:rsidRPr="009E6B72" w:rsidRDefault="00722B06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 xml:space="preserve">Spoločnosť nevlastní žiadne cenné papiere a podiely. </w:t>
      </w:r>
    </w:p>
    <w:p w:rsidR="00722B06" w:rsidRPr="009E6B72" w:rsidRDefault="00722B06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 xml:space="preserve">Zásoby </w:t>
      </w:r>
    </w:p>
    <w:p w:rsidR="00722B06" w:rsidRPr="009E6B72" w:rsidRDefault="00722B06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>Zásoby nakupované sa oceňujú cenou obstarania a osobitne sa účtujú náklady súvisiace s obstaraním (clo, preprava, poistné, provízie, skonto ap.). Nakupované zásoby sa pri výdaji zo skladu oceňujú váženým aritmetickým priemerom cien obstarania.</w:t>
      </w:r>
    </w:p>
    <w:p w:rsidR="00722B06" w:rsidRPr="009E6B72" w:rsidRDefault="00722B06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>Spoločnosť zásoby vlastnou činnosťou netvorila.</w:t>
      </w:r>
    </w:p>
    <w:p w:rsidR="00722B06" w:rsidRPr="009E6B72" w:rsidRDefault="00722B06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Zníženie hodnoty zásob sa upravuje vytvorením opravnej položky.</w:t>
      </w:r>
    </w:p>
    <w:p w:rsidR="00722B06" w:rsidRPr="009E6B72" w:rsidRDefault="00722B06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Zákazková výroba</w:t>
      </w:r>
    </w:p>
    <w:p w:rsidR="00722B06" w:rsidRPr="009E6B72" w:rsidRDefault="00722B06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Spoločnosť neuskutočňovala zákazkovú výrobu.</w:t>
      </w:r>
    </w:p>
    <w:p w:rsidR="00722B06" w:rsidRPr="009E6B72" w:rsidRDefault="00722B06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Zákazková výstavba nehnuteľnosti</w:t>
      </w:r>
    </w:p>
    <w:p w:rsidR="00722B06" w:rsidRPr="009E6B72" w:rsidRDefault="00722B06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Spoločnosť neuskutočňovala zákazkovú výstavbu nehnuteľností.</w:t>
      </w:r>
    </w:p>
    <w:p w:rsidR="00722B06" w:rsidRPr="009E6B72" w:rsidRDefault="00722B06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Pohľadávky</w:t>
      </w:r>
    </w:p>
    <w:p w:rsidR="00722B06" w:rsidRDefault="00722B06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Pohľadávky pri ich vzniku sa oceňujú ich menovitou hodnotou. Toto ocenenie sa znižuje o pochybné a nevymožiteľné pohľadávky tvorbou opravnej položky k pohľadávkam.</w:t>
      </w:r>
    </w:p>
    <w:p w:rsidR="00722B06" w:rsidRPr="009E6B72" w:rsidRDefault="00722B06" w:rsidP="009E6B72">
      <w:pPr>
        <w:pStyle w:val="Zkladntext"/>
        <w:spacing w:after="120"/>
        <w:ind w:left="709"/>
        <w:rPr>
          <w:sz w:val="20"/>
        </w:rPr>
      </w:pPr>
      <w:bookmarkStart w:id="0" w:name="_GoBack"/>
      <w:bookmarkEnd w:id="0"/>
    </w:p>
    <w:p w:rsidR="00722B06" w:rsidRPr="009E6B72" w:rsidRDefault="00722B06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lastRenderedPageBreak/>
        <w:t>Peňažné prostriedky a ceniny</w:t>
      </w:r>
    </w:p>
    <w:p w:rsidR="00722B06" w:rsidRPr="009E6B72" w:rsidRDefault="00722B06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 xml:space="preserve">Peňažné prostriedky a ceniny sa oceňujú ich menovitou hodnotou. </w:t>
      </w:r>
    </w:p>
    <w:p w:rsidR="00722B06" w:rsidRPr="009E6B72" w:rsidRDefault="00722B06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Náklady budúcich období a príjmy budúcich období</w:t>
      </w:r>
    </w:p>
    <w:p w:rsidR="00722B06" w:rsidRPr="009E6B72" w:rsidRDefault="00722B06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722B06" w:rsidRPr="009E6B72" w:rsidRDefault="00722B06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Rezervy</w:t>
      </w:r>
    </w:p>
    <w:p w:rsidR="00722B06" w:rsidRPr="009E6B72" w:rsidRDefault="00722B06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722B06" w:rsidRPr="009E6B72" w:rsidRDefault="00722B06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Záväzky</w:t>
      </w:r>
    </w:p>
    <w:p w:rsidR="00722B06" w:rsidRPr="009E6B72" w:rsidRDefault="00722B06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Záväzky pri ich vzniku sa oceňujú menovitou hodnotou.</w:t>
      </w:r>
    </w:p>
    <w:p w:rsidR="00722B06" w:rsidRPr="009E6B72" w:rsidRDefault="00722B06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Odložené dane</w:t>
      </w:r>
    </w:p>
    <w:p w:rsidR="00722B06" w:rsidRPr="009E6B72" w:rsidRDefault="00722B06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 xml:space="preserve">Odložené dane (odložená daňová pohľadávka a odložený daňový záväzok) sa vzťahujú na: </w:t>
      </w:r>
    </w:p>
    <w:p w:rsidR="00722B06" w:rsidRPr="009E6B72" w:rsidRDefault="00722B06" w:rsidP="009E6B72">
      <w:pPr>
        <w:pStyle w:val="Zkladntext"/>
        <w:numPr>
          <w:ilvl w:val="0"/>
          <w:numId w:val="5"/>
        </w:numPr>
        <w:ind w:left="709" w:firstLine="0"/>
        <w:rPr>
          <w:sz w:val="20"/>
        </w:rPr>
      </w:pPr>
      <w:r w:rsidRPr="009E6B72">
        <w:rPr>
          <w:sz w:val="20"/>
        </w:rPr>
        <w:t>tvorbu opravnej položky k zásobám a pohľadávkam,</w:t>
      </w:r>
    </w:p>
    <w:p w:rsidR="00722B06" w:rsidRPr="009E6B72" w:rsidRDefault="00722B06" w:rsidP="009E6B72">
      <w:pPr>
        <w:pStyle w:val="Zkladntext"/>
        <w:numPr>
          <w:ilvl w:val="0"/>
          <w:numId w:val="5"/>
        </w:numPr>
        <w:ind w:left="709" w:firstLine="0"/>
        <w:rPr>
          <w:sz w:val="20"/>
        </w:rPr>
      </w:pPr>
      <w:r w:rsidRPr="009E6B72">
        <w:rPr>
          <w:sz w:val="20"/>
        </w:rPr>
        <w:t>nezaplatené zmluvné pokuty,</w:t>
      </w:r>
    </w:p>
    <w:p w:rsidR="00722B06" w:rsidRPr="009E6B72" w:rsidRDefault="00722B06" w:rsidP="009E6B72">
      <w:pPr>
        <w:pStyle w:val="Zkladntext"/>
        <w:numPr>
          <w:ilvl w:val="0"/>
          <w:numId w:val="5"/>
        </w:numPr>
        <w:spacing w:after="120"/>
        <w:ind w:left="709" w:firstLine="0"/>
        <w:rPr>
          <w:sz w:val="20"/>
        </w:rPr>
      </w:pPr>
      <w:r w:rsidRPr="009E6B72">
        <w:rPr>
          <w:sz w:val="20"/>
        </w:rPr>
        <w:t>vytvorené rezervy na trovy exekúcie.</w:t>
      </w:r>
    </w:p>
    <w:p w:rsidR="00722B06" w:rsidRPr="009E6B72" w:rsidRDefault="00722B06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Výdavky budúcich období a výnosy budúcich období</w:t>
      </w:r>
    </w:p>
    <w:p w:rsidR="00722B06" w:rsidRPr="009E6B72" w:rsidRDefault="00722B06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722B06" w:rsidRPr="009E6B72" w:rsidRDefault="00722B06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Emisné kvóty</w:t>
      </w:r>
    </w:p>
    <w:p w:rsidR="00722B06" w:rsidRPr="009E6B72" w:rsidRDefault="00722B06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 xml:space="preserve">Spoločnosť nemá povinnosť evidovať emisné kvóty. </w:t>
      </w:r>
    </w:p>
    <w:p w:rsidR="00722B06" w:rsidRPr="009E6B72" w:rsidRDefault="00722B06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Dotácie zo štátneho rozpočtu</w:t>
      </w:r>
    </w:p>
    <w:p w:rsidR="00722B06" w:rsidRPr="009E6B72" w:rsidRDefault="00722B06" w:rsidP="009E6B72">
      <w:pPr>
        <w:spacing w:after="120" w:line="240" w:lineRule="auto"/>
        <w:ind w:left="709"/>
        <w:jc w:val="both"/>
        <w:rPr>
          <w:rFonts w:ascii="Times New Roman" w:hAnsi="Times New Roman"/>
          <w:sz w:val="20"/>
          <w:szCs w:val="20"/>
        </w:rPr>
      </w:pPr>
      <w:r w:rsidRPr="009E6B72">
        <w:rPr>
          <w:rFonts w:ascii="Times New Roman" w:hAnsi="Times New Roman"/>
          <w:sz w:val="20"/>
          <w:szCs w:val="20"/>
        </w:rPr>
        <w:t>Spoločnosť nedostáva dotácie zo štátneho rozpočtu.</w:t>
      </w:r>
    </w:p>
    <w:p w:rsidR="00722B06" w:rsidRPr="009E6B72" w:rsidRDefault="00722B06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Prenájom (lízing)</w:t>
      </w:r>
    </w:p>
    <w:p w:rsidR="00722B06" w:rsidRPr="009E6B72" w:rsidRDefault="00722B06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Operatívny prenájom. Majetok prenajatý na základe operatívneho prenájmu vykazuje ako svoj majetok jeho vlastník, nie nájomca.</w:t>
      </w:r>
    </w:p>
    <w:p w:rsidR="00722B06" w:rsidRPr="009E6B72" w:rsidRDefault="00722B06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Deriváty</w:t>
      </w:r>
    </w:p>
    <w:p w:rsidR="00722B06" w:rsidRPr="009E6B72" w:rsidRDefault="00722B06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Spoločnosť o derivátoch neúčtuje.</w:t>
      </w:r>
    </w:p>
    <w:p w:rsidR="00722B06" w:rsidRPr="009E6B72" w:rsidRDefault="00722B06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Majetok a záväzky zabezpečené derivátmi</w:t>
      </w:r>
    </w:p>
    <w:p w:rsidR="00722B06" w:rsidRPr="009E6B72" w:rsidRDefault="00722B06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 xml:space="preserve">Spoločnosť nevlastní majetok ani neeviduje záväzky zabezpečené derivátmi. </w:t>
      </w:r>
    </w:p>
    <w:p w:rsidR="00722B06" w:rsidRPr="009E6B72" w:rsidRDefault="00722B06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Cudzia mena</w:t>
      </w:r>
    </w:p>
    <w:p w:rsidR="00722B06" w:rsidRPr="009E6B72" w:rsidRDefault="00722B06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22B06" w:rsidRPr="009E6B72" w:rsidRDefault="00722B06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22B06" w:rsidRPr="009E6B72" w:rsidRDefault="00722B06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Prijaté a poskytnuté preddavky sa ku dňu, ku ktorému sa zostavuje účtovná závierka, na menu euro už neprepočítavajú. </w:t>
      </w:r>
    </w:p>
    <w:p w:rsidR="00722B06" w:rsidRPr="009E6B72" w:rsidRDefault="00722B06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Výnosy</w:t>
      </w:r>
    </w:p>
    <w:p w:rsidR="00722B06" w:rsidRPr="009E6B72" w:rsidRDefault="00722B06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722B06" w:rsidRPr="009E6B72" w:rsidRDefault="00722B06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722B06" w:rsidRPr="009E6B72" w:rsidRDefault="00722B06" w:rsidP="009E6B72">
      <w:pPr>
        <w:pStyle w:val="Zkladntext"/>
        <w:spacing w:after="120"/>
        <w:ind w:left="709"/>
        <w:rPr>
          <w:sz w:val="20"/>
        </w:rPr>
      </w:pPr>
    </w:p>
    <w:p w:rsidR="00722B06" w:rsidRDefault="00722B06" w:rsidP="009E6B72">
      <w:pPr>
        <w:pStyle w:val="Zkladntext"/>
        <w:spacing w:after="120"/>
        <w:ind w:left="709"/>
        <w:rPr>
          <w:sz w:val="20"/>
        </w:rPr>
      </w:pPr>
    </w:p>
    <w:p w:rsidR="00722B06" w:rsidRDefault="00722B06" w:rsidP="009E6B72">
      <w:pPr>
        <w:pStyle w:val="Zkladntext"/>
        <w:spacing w:after="120"/>
        <w:ind w:left="709"/>
        <w:rPr>
          <w:sz w:val="20"/>
        </w:rPr>
      </w:pPr>
    </w:p>
    <w:p w:rsidR="00722B06" w:rsidRPr="009E6B72" w:rsidRDefault="00722B06" w:rsidP="009E6B72">
      <w:pPr>
        <w:pStyle w:val="Zkladntext"/>
        <w:spacing w:after="120"/>
        <w:ind w:left="709"/>
        <w:rPr>
          <w:sz w:val="20"/>
        </w:rPr>
      </w:pPr>
    </w:p>
    <w:p w:rsidR="00722B06" w:rsidRPr="009E6B72" w:rsidRDefault="00722B06" w:rsidP="009E6B72">
      <w:pPr>
        <w:pStyle w:val="Zkladntext"/>
        <w:numPr>
          <w:ilvl w:val="0"/>
          <w:numId w:val="7"/>
        </w:numPr>
        <w:spacing w:after="120"/>
        <w:ind w:hanging="644"/>
        <w:rPr>
          <w:sz w:val="20"/>
        </w:rPr>
      </w:pPr>
      <w:r w:rsidRPr="009E6B72">
        <w:rPr>
          <w:sz w:val="20"/>
        </w:rPr>
        <w:lastRenderedPageBreak/>
        <w:t>Spôsob zostavenia odpisového plánu</w:t>
      </w:r>
    </w:p>
    <w:p w:rsidR="00722B06" w:rsidRPr="009E6B72" w:rsidRDefault="00722B06" w:rsidP="0099553C">
      <w:pPr>
        <w:pStyle w:val="Zkladntext"/>
        <w:ind w:left="644"/>
        <w:rPr>
          <w:sz w:val="20"/>
        </w:rPr>
      </w:pPr>
      <w:r w:rsidRPr="009E6B72">
        <w:rPr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 a Spoločnosť ho účtuje priamo pri obstaraní do nákladov na účet 518. Predpokladaná doba používania, metóda odpisovania a odpisová sadzba sú uvedené v nasledujúcej tabuľke:</w:t>
      </w:r>
    </w:p>
    <w:tbl>
      <w:tblPr>
        <w:tblW w:w="8890" w:type="dxa"/>
        <w:tblInd w:w="456" w:type="dxa"/>
        <w:tblCellMar>
          <w:left w:w="30" w:type="dxa"/>
          <w:right w:w="30" w:type="dxa"/>
        </w:tblCellMar>
        <w:tblLook w:val="0000"/>
      </w:tblPr>
      <w:tblGrid>
        <w:gridCol w:w="2786"/>
        <w:gridCol w:w="400"/>
        <w:gridCol w:w="1825"/>
        <w:gridCol w:w="214"/>
        <w:gridCol w:w="1790"/>
        <w:gridCol w:w="214"/>
        <w:gridCol w:w="1661"/>
      </w:tblGrid>
      <w:tr w:rsidR="00722B06" w:rsidRPr="008506A8" w:rsidTr="0099553C">
        <w:trPr>
          <w:trHeight w:val="195"/>
        </w:trPr>
        <w:tc>
          <w:tcPr>
            <w:tcW w:w="3186" w:type="dxa"/>
            <w:gridSpan w:val="2"/>
          </w:tcPr>
          <w:p w:rsidR="00722B06" w:rsidRPr="009E6B72" w:rsidRDefault="00722B06" w:rsidP="0099553C">
            <w:pPr>
              <w:pStyle w:val="Tabulka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br w:type="page"/>
            </w:r>
          </w:p>
        </w:tc>
        <w:tc>
          <w:tcPr>
            <w:tcW w:w="1825" w:type="dxa"/>
          </w:tcPr>
          <w:p w:rsidR="00722B06" w:rsidRPr="009E6B72" w:rsidRDefault="00722B06" w:rsidP="0099553C">
            <w:pPr>
              <w:pStyle w:val="Tabulka"/>
              <w:ind w:left="709" w:hanging="523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Predpokladaná</w:t>
            </w:r>
          </w:p>
        </w:tc>
        <w:tc>
          <w:tcPr>
            <w:tcW w:w="214" w:type="dxa"/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90" w:type="dxa"/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Metóda</w:t>
            </w:r>
          </w:p>
        </w:tc>
        <w:tc>
          <w:tcPr>
            <w:tcW w:w="214" w:type="dxa"/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61" w:type="dxa"/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Ročná odpisová</w:t>
            </w:r>
          </w:p>
        </w:tc>
      </w:tr>
      <w:tr w:rsidR="00722B06" w:rsidRPr="008506A8" w:rsidTr="0099553C">
        <w:trPr>
          <w:trHeight w:val="250"/>
        </w:trPr>
        <w:tc>
          <w:tcPr>
            <w:tcW w:w="2786" w:type="dxa"/>
            <w:tcBorders>
              <w:bottom w:val="single" w:sz="4" w:space="0" w:color="auto"/>
            </w:tcBorders>
          </w:tcPr>
          <w:p w:rsidR="00722B06" w:rsidRPr="009E6B72" w:rsidRDefault="00722B06" w:rsidP="0099553C">
            <w:pPr>
              <w:pStyle w:val="Tabulka"/>
              <w:rPr>
                <w:sz w:val="20"/>
              </w:rPr>
            </w:pPr>
          </w:p>
        </w:tc>
        <w:tc>
          <w:tcPr>
            <w:tcW w:w="400" w:type="dxa"/>
            <w:tcBorders>
              <w:bottom w:val="single" w:sz="4" w:space="0" w:color="auto"/>
            </w:tcBorders>
          </w:tcPr>
          <w:p w:rsidR="00722B06" w:rsidRPr="009E6B72" w:rsidRDefault="00722B06" w:rsidP="0099553C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825" w:type="dxa"/>
            <w:tcBorders>
              <w:bottom w:val="single" w:sz="4" w:space="0" w:color="auto"/>
            </w:tcBorders>
          </w:tcPr>
          <w:p w:rsidR="00722B06" w:rsidRPr="009E6B72" w:rsidRDefault="00722B06" w:rsidP="0099553C">
            <w:pPr>
              <w:pStyle w:val="Tabulka"/>
              <w:ind w:left="611" w:hanging="327"/>
              <w:rPr>
                <w:sz w:val="20"/>
              </w:rPr>
            </w:pPr>
            <w:r>
              <w:rPr>
                <w:sz w:val="20"/>
              </w:rPr>
              <w:t xml:space="preserve">doba  </w:t>
            </w:r>
            <w:r w:rsidRPr="009E6B72">
              <w:rPr>
                <w:sz w:val="20"/>
              </w:rPr>
              <w:t>používania</w:t>
            </w:r>
            <w:r w:rsidRPr="009E6B72">
              <w:rPr>
                <w:sz w:val="20"/>
              </w:rPr>
              <w:br/>
              <w:t>v rokoch</w:t>
            </w:r>
          </w:p>
        </w:tc>
        <w:tc>
          <w:tcPr>
            <w:tcW w:w="214" w:type="dxa"/>
            <w:tcBorders>
              <w:bottom w:val="single" w:sz="4" w:space="0" w:color="auto"/>
            </w:tcBorders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90" w:type="dxa"/>
            <w:tcBorders>
              <w:bottom w:val="single" w:sz="4" w:space="0" w:color="auto"/>
            </w:tcBorders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odpisovania</w:t>
            </w:r>
          </w:p>
        </w:tc>
        <w:tc>
          <w:tcPr>
            <w:tcW w:w="214" w:type="dxa"/>
            <w:tcBorders>
              <w:bottom w:val="single" w:sz="4" w:space="0" w:color="auto"/>
            </w:tcBorders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61" w:type="dxa"/>
            <w:tcBorders>
              <w:bottom w:val="single" w:sz="4" w:space="0" w:color="auto"/>
            </w:tcBorders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sadzba v %</w:t>
            </w:r>
          </w:p>
        </w:tc>
      </w:tr>
      <w:tr w:rsidR="00722B06" w:rsidRPr="008506A8" w:rsidTr="0099553C">
        <w:trPr>
          <w:trHeight w:val="314"/>
        </w:trPr>
        <w:tc>
          <w:tcPr>
            <w:tcW w:w="3186" w:type="dxa"/>
            <w:gridSpan w:val="2"/>
          </w:tcPr>
          <w:p w:rsidR="00722B06" w:rsidRPr="009E6B72" w:rsidRDefault="00722B06" w:rsidP="009E6B72">
            <w:pPr>
              <w:pStyle w:val="Tabulka"/>
              <w:spacing w:after="120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t>Softvér</w:t>
            </w:r>
          </w:p>
        </w:tc>
        <w:tc>
          <w:tcPr>
            <w:tcW w:w="1825" w:type="dxa"/>
          </w:tcPr>
          <w:p w:rsidR="00722B06" w:rsidRPr="009E6B72" w:rsidRDefault="00722B06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4</w:t>
            </w:r>
          </w:p>
        </w:tc>
        <w:tc>
          <w:tcPr>
            <w:tcW w:w="214" w:type="dxa"/>
          </w:tcPr>
          <w:p w:rsidR="00722B06" w:rsidRPr="009E6B72" w:rsidRDefault="00722B06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90" w:type="dxa"/>
          </w:tcPr>
          <w:p w:rsidR="00722B06" w:rsidRPr="009E6B72" w:rsidRDefault="00722B06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lineárna</w:t>
            </w:r>
          </w:p>
        </w:tc>
        <w:tc>
          <w:tcPr>
            <w:tcW w:w="214" w:type="dxa"/>
          </w:tcPr>
          <w:p w:rsidR="00722B06" w:rsidRPr="009E6B72" w:rsidRDefault="00722B06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61" w:type="dxa"/>
          </w:tcPr>
          <w:p w:rsidR="00722B06" w:rsidRPr="009E6B72" w:rsidRDefault="00722B06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1/4</w:t>
            </w:r>
          </w:p>
        </w:tc>
      </w:tr>
    </w:tbl>
    <w:p w:rsidR="00722B06" w:rsidRPr="009E6B72" w:rsidRDefault="00722B06" w:rsidP="0099553C">
      <w:pPr>
        <w:pStyle w:val="Zkladntext"/>
        <w:ind w:left="644"/>
        <w:rPr>
          <w:sz w:val="20"/>
        </w:rPr>
      </w:pPr>
      <w:r w:rsidRPr="009E6B72">
        <w:rPr>
          <w:sz w:val="20"/>
        </w:rPr>
        <w:t>Odpisy dlhodobého hmotného majetku sú stanovené vychádzajúc z predpokladanej doby jeho používania a predpokladaného priebehu jeho opotrebenia. Drobný dlhodobý hmotný majetok, ktorého obstarávacia cena (resp. vlastné náklady) je 1 700 EUR a nižšia, sa odpisuje jednorazovo pri uvedení do používania a Spoločnosť ho účtuje pri obstaraní na účet materiálu na sklade 112 a následne na účet 501. Predpokladaná doba používania, metóda odpisovania a odpisová sadzba sú uvedené v nasledujúcej tabuľke: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22B06" w:rsidRPr="008506A8" w:rsidTr="009E6B72">
        <w:trPr>
          <w:trHeight w:val="250"/>
        </w:trPr>
        <w:tc>
          <w:tcPr>
            <w:tcW w:w="3118" w:type="dxa"/>
            <w:gridSpan w:val="2"/>
          </w:tcPr>
          <w:p w:rsidR="00722B06" w:rsidRPr="009E6B72" w:rsidRDefault="00722B06" w:rsidP="0099553C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985" w:type="dxa"/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Ročná odpisová</w:t>
            </w:r>
          </w:p>
        </w:tc>
      </w:tr>
      <w:tr w:rsidR="00722B06" w:rsidRPr="008506A8" w:rsidTr="009E6B7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22B06" w:rsidRPr="009E6B72" w:rsidRDefault="00722B06" w:rsidP="0099553C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22B06" w:rsidRPr="009E6B72" w:rsidRDefault="00722B06" w:rsidP="0099553C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22B06" w:rsidRPr="009E6B72" w:rsidRDefault="00722B06" w:rsidP="0099553C">
            <w:pPr>
              <w:pStyle w:val="Tabulka"/>
              <w:ind w:left="254" w:firstLine="30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sadzba v %</w:t>
            </w:r>
          </w:p>
        </w:tc>
      </w:tr>
      <w:tr w:rsidR="00722B06" w:rsidRPr="008506A8" w:rsidTr="009E6B7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22B06" w:rsidRPr="009E6B72" w:rsidRDefault="00722B06" w:rsidP="009E6B72">
            <w:pPr>
              <w:pStyle w:val="Tabulka"/>
              <w:spacing w:after="120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1/20</w:t>
            </w:r>
          </w:p>
        </w:tc>
      </w:tr>
      <w:tr w:rsidR="00722B06" w:rsidRPr="008506A8" w:rsidTr="009E6B72">
        <w:trPr>
          <w:trHeight w:val="250"/>
        </w:trPr>
        <w:tc>
          <w:tcPr>
            <w:tcW w:w="3118" w:type="dxa"/>
            <w:gridSpan w:val="2"/>
          </w:tcPr>
          <w:p w:rsidR="00722B06" w:rsidRPr="009E6B72" w:rsidRDefault="00722B06" w:rsidP="009E6B72">
            <w:pPr>
              <w:pStyle w:val="Tabulka"/>
              <w:spacing w:after="120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¼</w:t>
            </w:r>
            <w:r w:rsidRPr="009E6B72">
              <w:rPr>
                <w:sz w:val="20"/>
              </w:rPr>
              <w:t xml:space="preserve"> a 1/6</w:t>
            </w:r>
          </w:p>
        </w:tc>
      </w:tr>
      <w:tr w:rsidR="00722B06" w:rsidRPr="008506A8" w:rsidTr="009E6B72">
        <w:trPr>
          <w:trHeight w:val="250"/>
        </w:trPr>
        <w:tc>
          <w:tcPr>
            <w:tcW w:w="3118" w:type="dxa"/>
            <w:gridSpan w:val="2"/>
          </w:tcPr>
          <w:p w:rsidR="00722B06" w:rsidRPr="009E6B72" w:rsidRDefault="00722B06" w:rsidP="009E6B72">
            <w:pPr>
              <w:pStyle w:val="Tabulka"/>
              <w:spacing w:after="120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¼</w:t>
            </w:r>
            <w:r w:rsidRPr="009E6B72">
              <w:rPr>
                <w:sz w:val="20"/>
              </w:rPr>
              <w:t xml:space="preserve"> a 1/6</w:t>
            </w:r>
          </w:p>
          <w:p w:rsidR="00722B06" w:rsidRPr="009E6B72" w:rsidRDefault="00722B06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</w:tr>
    </w:tbl>
    <w:p w:rsidR="00722B06" w:rsidRPr="009E6B72" w:rsidRDefault="00722B06" w:rsidP="009E6B72">
      <w:pPr>
        <w:pStyle w:val="Zkladntext"/>
        <w:numPr>
          <w:ilvl w:val="0"/>
          <w:numId w:val="7"/>
        </w:numPr>
        <w:spacing w:after="120"/>
        <w:ind w:hanging="644"/>
        <w:rPr>
          <w:sz w:val="20"/>
        </w:rPr>
      </w:pPr>
      <w:r w:rsidRPr="009E6B72">
        <w:rPr>
          <w:sz w:val="20"/>
        </w:rPr>
        <w:t>Účtovné metódy a všeobecné účtovné zásady boli účtovnou jednotkou konzistentne aplikované.</w:t>
      </w:r>
    </w:p>
    <w:p w:rsidR="00722B06" w:rsidRPr="009E6B72" w:rsidRDefault="00722B06" w:rsidP="009E6B72">
      <w:pPr>
        <w:pStyle w:val="Zkladntext"/>
        <w:numPr>
          <w:ilvl w:val="0"/>
          <w:numId w:val="7"/>
        </w:numPr>
        <w:spacing w:after="120"/>
        <w:ind w:hanging="644"/>
        <w:rPr>
          <w:sz w:val="20"/>
        </w:rPr>
      </w:pPr>
      <w:r>
        <w:rPr>
          <w:sz w:val="20"/>
        </w:rPr>
        <w:t>Spoloč</w:t>
      </w:r>
      <w:r w:rsidRPr="009E6B72">
        <w:rPr>
          <w:sz w:val="20"/>
        </w:rPr>
        <w:t>nosti neboli poskytnuté žiadne dotácie.</w:t>
      </w:r>
    </w:p>
    <w:p w:rsidR="00722B06" w:rsidRPr="009E6B72" w:rsidRDefault="00722B06" w:rsidP="009E6B72">
      <w:pPr>
        <w:pStyle w:val="Zkladntext"/>
        <w:numPr>
          <w:ilvl w:val="0"/>
          <w:numId w:val="7"/>
        </w:numPr>
        <w:spacing w:after="120"/>
        <w:ind w:hanging="644"/>
        <w:rPr>
          <w:sz w:val="20"/>
        </w:rPr>
      </w:pPr>
      <w:r w:rsidRPr="009E6B72">
        <w:rPr>
          <w:sz w:val="20"/>
        </w:rPr>
        <w:t>Spoločnosti nevznikli žiadne opravy chýb minulých účtovných období.</w:t>
      </w:r>
    </w:p>
    <w:p w:rsidR="00722B06" w:rsidRPr="009E6B72" w:rsidRDefault="00722B06" w:rsidP="009E6B72">
      <w:pPr>
        <w:pStyle w:val="Odsekzoznamu"/>
        <w:spacing w:after="120"/>
        <w:rPr>
          <w:rFonts w:ascii="Times New Roman" w:hAnsi="Times New Roman"/>
          <w:sz w:val="20"/>
          <w:szCs w:val="20"/>
        </w:rPr>
      </w:pPr>
    </w:p>
    <w:p w:rsidR="00722B06" w:rsidRPr="009E6B72" w:rsidRDefault="00722B06" w:rsidP="009E6B72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  <w:r w:rsidRPr="009E6B72">
        <w:rPr>
          <w:rFonts w:ascii="Times New Roman" w:hAnsi="Times New Roman"/>
          <w:b/>
          <w:sz w:val="20"/>
          <w:szCs w:val="20"/>
        </w:rPr>
        <w:t>Čl. IIL</w:t>
      </w:r>
    </w:p>
    <w:p w:rsidR="00722B06" w:rsidRPr="009E6B72" w:rsidRDefault="00722B06" w:rsidP="009E6B72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  <w:r w:rsidRPr="009E6B72">
        <w:rPr>
          <w:rFonts w:ascii="Times New Roman" w:hAnsi="Times New Roman"/>
          <w:b/>
          <w:sz w:val="20"/>
          <w:szCs w:val="20"/>
        </w:rPr>
        <w:t>Informácie, ktoré vysvetľujú a dopĺňajú súvahu a výkaz ziskov a strát</w:t>
      </w:r>
    </w:p>
    <w:p w:rsidR="00722B06" w:rsidRPr="009E6B72" w:rsidRDefault="00722B06" w:rsidP="009E6B72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</w:p>
    <w:p w:rsidR="00722B06" w:rsidRPr="009E6B72" w:rsidRDefault="00722B06" w:rsidP="009E6B72">
      <w:pPr>
        <w:pStyle w:val="Odsekzoznamu"/>
        <w:numPr>
          <w:ilvl w:val="0"/>
          <w:numId w:val="8"/>
        </w:numPr>
        <w:spacing w:after="120"/>
        <w:ind w:hanging="720"/>
        <w:jc w:val="both"/>
        <w:rPr>
          <w:rFonts w:ascii="Times New Roman" w:hAnsi="Times New Roman"/>
          <w:sz w:val="20"/>
          <w:szCs w:val="20"/>
        </w:rPr>
      </w:pPr>
      <w:r w:rsidRPr="009E6B72">
        <w:rPr>
          <w:rFonts w:ascii="Times New Roman" w:hAnsi="Times New Roman"/>
          <w:sz w:val="20"/>
          <w:szCs w:val="20"/>
        </w:rPr>
        <w:t>Spoločnosti nevznikli žiadne položky nákladov alebo výnosov, ktoré majú výnimočný rozsah alebo výskyt.</w:t>
      </w:r>
    </w:p>
    <w:p w:rsidR="00722B06" w:rsidRPr="009E6B72" w:rsidRDefault="00722B06" w:rsidP="009E6B72">
      <w:pPr>
        <w:pStyle w:val="Odsekzoznamu"/>
        <w:numPr>
          <w:ilvl w:val="0"/>
          <w:numId w:val="8"/>
        </w:numPr>
        <w:spacing w:after="120"/>
        <w:ind w:hanging="720"/>
        <w:jc w:val="both"/>
        <w:rPr>
          <w:rFonts w:ascii="Times New Roman" w:hAnsi="Times New Roman"/>
          <w:sz w:val="20"/>
          <w:szCs w:val="20"/>
        </w:rPr>
      </w:pPr>
      <w:r w:rsidRPr="009E6B72">
        <w:rPr>
          <w:rFonts w:ascii="Times New Roman" w:hAnsi="Times New Roman"/>
          <w:sz w:val="20"/>
          <w:szCs w:val="20"/>
        </w:rPr>
        <w:t>Spoločnosť neeviduje žiadne záväzky so zostatkovou dobou splatnosti dlhšou ako päť rokov.</w:t>
      </w:r>
    </w:p>
    <w:p w:rsidR="00722B06" w:rsidRPr="009E6B72" w:rsidRDefault="00722B06" w:rsidP="009E6B72">
      <w:pPr>
        <w:pStyle w:val="Odsekzoznamu"/>
        <w:numPr>
          <w:ilvl w:val="0"/>
          <w:numId w:val="8"/>
        </w:numPr>
        <w:spacing w:after="120"/>
        <w:ind w:hanging="720"/>
        <w:jc w:val="both"/>
        <w:rPr>
          <w:rFonts w:ascii="Times New Roman" w:hAnsi="Times New Roman"/>
          <w:sz w:val="20"/>
          <w:szCs w:val="20"/>
        </w:rPr>
      </w:pPr>
      <w:r w:rsidRPr="009E6B72">
        <w:rPr>
          <w:rFonts w:ascii="Times New Roman" w:hAnsi="Times New Roman"/>
          <w:sz w:val="20"/>
          <w:szCs w:val="20"/>
        </w:rPr>
        <w:t>Spoločnosť neeviduje žiadne vlastné akcie.</w:t>
      </w:r>
    </w:p>
    <w:p w:rsidR="00722B06" w:rsidRPr="009E6B72" w:rsidRDefault="00722B06" w:rsidP="009E6B72">
      <w:pPr>
        <w:pStyle w:val="Odsekzoznamu"/>
        <w:numPr>
          <w:ilvl w:val="0"/>
          <w:numId w:val="8"/>
        </w:numPr>
        <w:spacing w:after="120"/>
        <w:ind w:hanging="720"/>
        <w:jc w:val="both"/>
        <w:rPr>
          <w:rFonts w:ascii="Times New Roman" w:hAnsi="Times New Roman"/>
          <w:sz w:val="20"/>
          <w:szCs w:val="20"/>
        </w:rPr>
      </w:pPr>
      <w:r w:rsidRPr="009E6B72">
        <w:rPr>
          <w:rFonts w:ascii="Times New Roman" w:hAnsi="Times New Roman"/>
          <w:sz w:val="20"/>
          <w:szCs w:val="20"/>
        </w:rPr>
        <w:t>Orgánom spoločnosti neboli poskytnuté žiadne pôžičky,  záruky ani iné zábezpeky.</w:t>
      </w:r>
    </w:p>
    <w:p w:rsidR="00722B06" w:rsidRPr="009E6B72" w:rsidRDefault="00722B06" w:rsidP="009E6B72">
      <w:pPr>
        <w:pStyle w:val="Zkladntext"/>
        <w:numPr>
          <w:ilvl w:val="0"/>
          <w:numId w:val="8"/>
        </w:numPr>
        <w:spacing w:after="120"/>
        <w:ind w:hanging="720"/>
        <w:rPr>
          <w:sz w:val="20"/>
        </w:rPr>
      </w:pPr>
      <w:r w:rsidRPr="009E6B72">
        <w:rPr>
          <w:sz w:val="20"/>
        </w:rPr>
        <w:t>Spoločnosť nemá ďalšie finančné povinnosti, ktoré sa nesledujú v bežnom účtovníctve a neuvádzajú v súvahe. Spoločnosť nemá ani ďalšie záväzky, ktoré sa nesledujú v bežnom účtovníctve a neuvádzajú sa v súvahe.</w:t>
      </w:r>
    </w:p>
    <w:p w:rsidR="00722B06" w:rsidRPr="009E6B72" w:rsidRDefault="00722B06" w:rsidP="009E6B72">
      <w:pPr>
        <w:pStyle w:val="Zkladntext"/>
        <w:spacing w:after="120"/>
        <w:ind w:left="720"/>
        <w:rPr>
          <w:sz w:val="20"/>
        </w:rPr>
      </w:pPr>
    </w:p>
    <w:p w:rsidR="00722B06" w:rsidRPr="009E6B72" w:rsidRDefault="00722B06" w:rsidP="009E6B72">
      <w:pPr>
        <w:pStyle w:val="Zkladntext"/>
        <w:spacing w:after="120"/>
        <w:rPr>
          <w:sz w:val="20"/>
        </w:rPr>
      </w:pPr>
    </w:p>
    <w:sectPr w:rsidR="00722B06" w:rsidRPr="009E6B72" w:rsidSect="0079593A">
      <w:headerReference w:type="default" r:id="rId7"/>
      <w:footerReference w:type="default" r:id="rId8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2B06" w:rsidRDefault="00722B06" w:rsidP="003A6B90">
      <w:pPr>
        <w:spacing w:after="0" w:line="240" w:lineRule="auto"/>
      </w:pPr>
      <w:r>
        <w:separator/>
      </w:r>
    </w:p>
  </w:endnote>
  <w:endnote w:type="continuationSeparator" w:id="0">
    <w:p w:rsidR="00722B06" w:rsidRDefault="00722B06" w:rsidP="003A6B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2B06" w:rsidRDefault="009931DE">
    <w:pPr>
      <w:pStyle w:val="Pta"/>
      <w:jc w:val="center"/>
    </w:pPr>
    <w:fldSimple w:instr="PAGE   \* MERGEFORMAT">
      <w:r w:rsidR="00F131B5">
        <w:rPr>
          <w:noProof/>
        </w:rPr>
        <w:t>2</w:t>
      </w:r>
    </w:fldSimple>
  </w:p>
  <w:p w:rsidR="00722B06" w:rsidRDefault="00722B0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2B06" w:rsidRDefault="00722B06" w:rsidP="003A6B90">
      <w:pPr>
        <w:spacing w:after="0" w:line="240" w:lineRule="auto"/>
      </w:pPr>
      <w:r>
        <w:separator/>
      </w:r>
    </w:p>
  </w:footnote>
  <w:footnote w:type="continuationSeparator" w:id="0">
    <w:p w:rsidR="00722B06" w:rsidRDefault="00722B06" w:rsidP="003A6B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2B06" w:rsidRPr="00D73CF5" w:rsidRDefault="00722B06">
    <w:pPr>
      <w:pStyle w:val="Hlavika"/>
      <w:rPr>
        <w:i/>
        <w:sz w:val="18"/>
        <w:szCs w:val="18"/>
      </w:rPr>
    </w:pPr>
    <w:r w:rsidRPr="00B27126">
      <w:rPr>
        <w:noProof/>
        <w:sz w:val="24"/>
        <w:szCs w:val="24"/>
        <w:bdr w:val="single" w:sz="4" w:space="0" w:color="auto"/>
        <w:lang w:eastAsia="sk-SK"/>
      </w:rPr>
      <w:t>Poznámky Úč M</w:t>
    </w:r>
    <w:r>
      <w:rPr>
        <w:noProof/>
        <w:sz w:val="24"/>
        <w:szCs w:val="24"/>
        <w:bdr w:val="single" w:sz="4" w:space="0" w:color="auto"/>
        <w:lang w:eastAsia="sk-SK"/>
      </w:rPr>
      <w:t>Ú</w:t>
    </w:r>
    <w:r w:rsidRPr="00B27126">
      <w:rPr>
        <w:noProof/>
        <w:sz w:val="24"/>
        <w:szCs w:val="24"/>
        <w:bdr w:val="single" w:sz="4" w:space="0" w:color="auto"/>
        <w:lang w:eastAsia="sk-SK"/>
      </w:rPr>
      <w:t>J 3 - 01</w:t>
    </w:r>
    <w:r w:rsidRPr="00D73CF5">
      <w:rPr>
        <w:i/>
        <w:sz w:val="18"/>
        <w:szCs w:val="18"/>
      </w:rPr>
      <w:tab/>
    </w:r>
    <w:proofErr w:type="spellStart"/>
    <w:r>
      <w:rPr>
        <w:i/>
        <w:sz w:val="18"/>
        <w:szCs w:val="18"/>
      </w:rPr>
      <w:t>Fin</w:t>
    </w:r>
    <w:proofErr w:type="spellEnd"/>
    <w:r>
      <w:rPr>
        <w:i/>
        <w:sz w:val="18"/>
        <w:szCs w:val="18"/>
      </w:rPr>
      <w:t xml:space="preserve"> </w:t>
    </w:r>
    <w:proofErr w:type="spellStart"/>
    <w:r>
      <w:rPr>
        <w:i/>
        <w:sz w:val="18"/>
        <w:szCs w:val="18"/>
      </w:rPr>
      <w:t>Success</w:t>
    </w:r>
    <w:proofErr w:type="spellEnd"/>
    <w:r>
      <w:rPr>
        <w:i/>
        <w:sz w:val="18"/>
        <w:szCs w:val="18"/>
      </w:rPr>
      <w:t xml:space="preserve">  s.r.o.</w:t>
    </w:r>
    <w:r w:rsidRPr="00D73CF5">
      <w:rPr>
        <w:i/>
        <w:sz w:val="18"/>
        <w:szCs w:val="18"/>
      </w:rPr>
      <w:tab/>
      <w:t>Príloha k účtovnej závierke</w:t>
    </w:r>
  </w:p>
  <w:p w:rsidR="00F131B5" w:rsidRDefault="00722B06">
    <w:pPr>
      <w:pStyle w:val="Hlavika"/>
      <w:rPr>
        <w:sz w:val="18"/>
        <w:szCs w:val="18"/>
      </w:rPr>
    </w:pPr>
    <w:r w:rsidRPr="00D73CF5">
      <w:rPr>
        <w:i/>
        <w:sz w:val="18"/>
        <w:szCs w:val="18"/>
      </w:rPr>
      <w:tab/>
    </w:r>
    <w:r>
      <w:rPr>
        <w:i/>
        <w:sz w:val="18"/>
        <w:szCs w:val="18"/>
      </w:rPr>
      <w:t>DIČ:2120057181</w:t>
    </w:r>
    <w:r w:rsidRPr="00D73CF5">
      <w:rPr>
        <w:i/>
        <w:sz w:val="18"/>
        <w:szCs w:val="18"/>
      </w:rPr>
      <w:tab/>
      <w:t>k 31.12.201</w:t>
    </w:r>
    <w:r w:rsidR="00F131B5">
      <w:rPr>
        <w:i/>
        <w:sz w:val="18"/>
        <w:szCs w:val="18"/>
      </w:rPr>
      <w:t>7</w:t>
    </w:r>
    <w:r w:rsidRPr="00D73CF5">
      <w:rPr>
        <w:i/>
        <w:sz w:val="18"/>
        <w:szCs w:val="18"/>
      </w:rPr>
      <w:tab/>
    </w:r>
    <w:r>
      <w:rPr>
        <w:sz w:val="18"/>
        <w:szCs w:val="18"/>
      </w:rPr>
      <w:tab/>
    </w:r>
  </w:p>
  <w:p w:rsidR="00722B06" w:rsidRPr="00712710" w:rsidRDefault="00722B06">
    <w:pPr>
      <w:pStyle w:val="Hlavika"/>
      <w:rPr>
        <w:sz w:val="18"/>
        <w:szCs w:val="18"/>
      </w:rPr>
    </w:pPr>
    <w:r>
      <w:rPr>
        <w:sz w:val="18"/>
        <w:szCs w:val="18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0273C"/>
    <w:multiLevelType w:val="hybridMultilevel"/>
    <w:tmpl w:val="C8EEE592"/>
    <w:lvl w:ilvl="0" w:tplc="E024729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6A17E43"/>
    <w:multiLevelType w:val="hybridMultilevel"/>
    <w:tmpl w:val="21562860"/>
    <w:lvl w:ilvl="0" w:tplc="1F2C4A2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A93292B"/>
    <w:multiLevelType w:val="hybridMultilevel"/>
    <w:tmpl w:val="59822BF4"/>
    <w:lvl w:ilvl="0" w:tplc="47063130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B6107CB"/>
    <w:multiLevelType w:val="hybridMultilevel"/>
    <w:tmpl w:val="1DCEB3C6"/>
    <w:lvl w:ilvl="0" w:tplc="DACEC1F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C162C61"/>
    <w:multiLevelType w:val="hybridMultilevel"/>
    <w:tmpl w:val="E042D846"/>
    <w:lvl w:ilvl="0" w:tplc="5CCC572E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212E222B"/>
    <w:multiLevelType w:val="hybridMultilevel"/>
    <w:tmpl w:val="FB186D3E"/>
    <w:lvl w:ilvl="0" w:tplc="5CCC572E"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>
    <w:nsid w:val="246275A7"/>
    <w:multiLevelType w:val="hybridMultilevel"/>
    <w:tmpl w:val="CB32D2E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B38A30A">
      <w:start w:val="900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66A35581"/>
    <w:multiLevelType w:val="hybridMultilevel"/>
    <w:tmpl w:val="E76EF6D0"/>
    <w:lvl w:ilvl="0" w:tplc="C92C184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0"/>
  </w:num>
  <w:num w:numId="2">
    <w:abstractNumId w:val="9"/>
  </w:num>
  <w:num w:numId="3">
    <w:abstractNumId w:val="5"/>
  </w:num>
  <w:num w:numId="4">
    <w:abstractNumId w:val="10"/>
  </w:num>
  <w:num w:numId="5">
    <w:abstractNumId w:val="3"/>
  </w:num>
  <w:num w:numId="6">
    <w:abstractNumId w:val="1"/>
  </w:num>
  <w:num w:numId="7">
    <w:abstractNumId w:val="4"/>
  </w:num>
  <w:num w:numId="8">
    <w:abstractNumId w:val="2"/>
  </w:num>
  <w:num w:numId="9">
    <w:abstractNumId w:val="6"/>
  </w:num>
  <w:num w:numId="10">
    <w:abstractNumId w:val="8"/>
  </w:num>
  <w:num w:numId="11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A119A"/>
    <w:rsid w:val="000A7928"/>
    <w:rsid w:val="000C47B7"/>
    <w:rsid w:val="00151D46"/>
    <w:rsid w:val="00176A7C"/>
    <w:rsid w:val="002911C8"/>
    <w:rsid w:val="00292406"/>
    <w:rsid w:val="002B2333"/>
    <w:rsid w:val="00335FB6"/>
    <w:rsid w:val="003A6B90"/>
    <w:rsid w:val="003C2EDD"/>
    <w:rsid w:val="004E3596"/>
    <w:rsid w:val="005527B1"/>
    <w:rsid w:val="005C421A"/>
    <w:rsid w:val="00641A64"/>
    <w:rsid w:val="006C1DA5"/>
    <w:rsid w:val="00712710"/>
    <w:rsid w:val="00722B06"/>
    <w:rsid w:val="0079593A"/>
    <w:rsid w:val="007A2CC1"/>
    <w:rsid w:val="007F2A58"/>
    <w:rsid w:val="00804BE1"/>
    <w:rsid w:val="008506A8"/>
    <w:rsid w:val="009931DE"/>
    <w:rsid w:val="0099553C"/>
    <w:rsid w:val="009A119A"/>
    <w:rsid w:val="009E6B72"/>
    <w:rsid w:val="00A2604E"/>
    <w:rsid w:val="00A3226F"/>
    <w:rsid w:val="00A4222F"/>
    <w:rsid w:val="00B04BC2"/>
    <w:rsid w:val="00B27126"/>
    <w:rsid w:val="00BB406E"/>
    <w:rsid w:val="00D73CF5"/>
    <w:rsid w:val="00DC3A6D"/>
    <w:rsid w:val="00DC3C22"/>
    <w:rsid w:val="00E821E1"/>
    <w:rsid w:val="00EC64BD"/>
    <w:rsid w:val="00ED18D8"/>
    <w:rsid w:val="00EE5223"/>
    <w:rsid w:val="00F131B5"/>
    <w:rsid w:val="00F65115"/>
    <w:rsid w:val="00F914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421A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9A119A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rsid w:val="00EE5223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E5223"/>
    <w:rPr>
      <w:rFonts w:ascii="Times New Roman" w:hAnsi="Times New Roman" w:cs="Times New Roman"/>
      <w:sz w:val="20"/>
      <w:szCs w:val="20"/>
    </w:rPr>
  </w:style>
  <w:style w:type="paragraph" w:customStyle="1" w:styleId="Tabulka">
    <w:name w:val="Tabulka"/>
    <w:basedOn w:val="Normlny"/>
    <w:uiPriority w:val="99"/>
    <w:rsid w:val="00EE5223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EE5223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3A6B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A6B90"/>
    <w:rPr>
      <w:rFonts w:cs="Times New Roman"/>
    </w:rPr>
  </w:style>
  <w:style w:type="paragraph" w:styleId="Pta">
    <w:name w:val="footer"/>
    <w:basedOn w:val="Normlny"/>
    <w:link w:val="PtaChar"/>
    <w:uiPriority w:val="99"/>
    <w:rsid w:val="003A6B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3A6B90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D73C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73CF5"/>
    <w:rPr>
      <w:rFonts w:ascii="Tahoma" w:hAnsi="Tahoma" w:cs="Tahoma"/>
      <w:sz w:val="16"/>
      <w:szCs w:val="16"/>
    </w:rPr>
  </w:style>
  <w:style w:type="character" w:customStyle="1" w:styleId="ra">
    <w:name w:val="ra"/>
    <w:uiPriority w:val="99"/>
    <w:rsid w:val="000A79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1068</Words>
  <Characters>6438</Characters>
  <Application>Microsoft Office Word</Application>
  <DocSecurity>0</DocSecurity>
  <Lines>53</Lines>
  <Paragraphs>14</Paragraphs>
  <ScaleCrop>false</ScaleCrop>
  <Company>Hewlett-Packard Company</Company>
  <LinksUpToDate>false</LinksUpToDate>
  <CharactersWithSpaces>7492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Vandlíčková</dc:creator>
  <cp:keywords/>
  <dc:description/>
  <cp:lastModifiedBy>user</cp:lastModifiedBy>
  <cp:revision>3</cp:revision>
  <cp:lastPrinted>2015-02-11T10:23:00Z</cp:lastPrinted>
  <dcterms:created xsi:type="dcterms:W3CDTF">2017-06-28T21:50:00Z</dcterms:created>
  <dcterms:modified xsi:type="dcterms:W3CDTF">2018-07-01T17:03:00Z</dcterms:modified>
</cp:coreProperties>
</file>