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2DBB" w:rsidRDefault="00C05649">
      <w:pPr>
        <w:spacing w:after="7" w:line="240" w:lineRule="auto"/>
        <w:ind w:left="48"/>
      </w:pPr>
      <w:r>
        <w:rPr>
          <w:sz w:val="24"/>
        </w:rPr>
        <w:t xml:space="preserve">Poznámky </w:t>
      </w:r>
      <w:proofErr w:type="spellStart"/>
      <w:r>
        <w:rPr>
          <w:sz w:val="24"/>
        </w:rPr>
        <w:t>Úč</w:t>
      </w:r>
      <w:proofErr w:type="spellEnd"/>
      <w:r>
        <w:rPr>
          <w:sz w:val="24"/>
        </w:rPr>
        <w:t xml:space="preserve"> MÚJ 3 - 01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sz w:val="24"/>
        </w:rPr>
        <w:t>IČO: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sz w:val="24"/>
        </w:rPr>
        <w:t>36749893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sz w:val="24"/>
        </w:rPr>
        <w:t>DIČ : 2022351287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18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47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rPr>
          <w:rFonts w:ascii="Times New Roman" w:eastAsia="Times New Roman" w:hAnsi="Times New Roman" w:cs="Times New Roman"/>
          <w:b w:val="0"/>
          <w:color w:val="000000"/>
          <w:sz w:val="37"/>
          <w:vertAlign w:val="subscript"/>
        </w:rPr>
        <w:t xml:space="preserve"> </w:t>
      </w:r>
      <w:r>
        <w:t>Čl. I Všeobecné údaje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numPr>
          <w:ilvl w:val="0"/>
          <w:numId w:val="1"/>
        </w:numPr>
        <w:spacing w:after="93" w:line="228" w:lineRule="auto"/>
        <w:ind w:right="-15" w:hanging="305"/>
      </w:pPr>
      <w:r>
        <w:rPr>
          <w:color w:val="00000A"/>
          <w:sz w:val="24"/>
        </w:rPr>
        <w:t>Názov právnickej osoby a jej sídlo.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3569" w:type="dxa"/>
        <w:tblInd w:w="7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500"/>
        <w:gridCol w:w="2069"/>
      </w:tblGrid>
      <w:tr w:rsidR="000C2DBB">
        <w:trPr>
          <w:trHeight w:val="235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0C2DBB"/>
        </w:tc>
      </w:tr>
      <w:tr w:rsidR="000C2DBB">
        <w:trPr>
          <w:trHeight w:val="431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Názov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jc w:val="both"/>
            </w:pPr>
            <w:r>
              <w:rPr>
                <w:b/>
                <w:color w:val="00000A"/>
                <w:sz w:val="24"/>
              </w:rPr>
              <w:t>GLASSBEADS, S.R.O.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413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Ulica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roofErr w:type="spellStart"/>
            <w:r>
              <w:rPr>
                <w:b/>
                <w:color w:val="00000A"/>
                <w:sz w:val="24"/>
              </w:rPr>
              <w:t>Urbánkova</w:t>
            </w:r>
            <w:proofErr w:type="spellEnd"/>
            <w:r>
              <w:rPr>
                <w:b/>
                <w:color w:val="00000A"/>
                <w:sz w:val="24"/>
              </w:rPr>
              <w:t xml:space="preserve"> 904/27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413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Mesto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Prievidza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413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IČO: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36749893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251"/>
        </w:trPr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DIČ: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06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2022351287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0C2DBB" w:rsidRDefault="00C05649">
      <w:pPr>
        <w:spacing w:after="15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1"/>
        </w:numPr>
        <w:spacing w:after="15" w:line="228" w:lineRule="auto"/>
        <w:ind w:right="-15" w:hanging="305"/>
      </w:pPr>
      <w:r>
        <w:rPr>
          <w:color w:val="00000A"/>
          <w:sz w:val="24"/>
        </w:rPr>
        <w:t>Údaje o konsolidovanom celku, a to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32" w:line="236" w:lineRule="auto"/>
        <w:ind w:left="136" w:right="614" w:hanging="144"/>
        <w:jc w:val="both"/>
      </w:pPr>
      <w:r>
        <w:rPr>
          <w:i/>
          <w:color w:val="00000A"/>
          <w:sz w:val="24"/>
        </w:rPr>
        <w:t xml:space="preserve">Účtovná jednotka nie je súčasťou konsolidovaného celku a nie je ani materskou účtovnou jednotkou 3) </w:t>
      </w:r>
      <w:r>
        <w:rPr>
          <w:color w:val="00000A"/>
          <w:sz w:val="24"/>
        </w:rPr>
        <w:t>Priemerný prepočítaný počet zamestnancov.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32" w:line="236" w:lineRule="auto"/>
        <w:ind w:left="2" w:hanging="10"/>
        <w:jc w:val="both"/>
      </w:pPr>
      <w:r>
        <w:rPr>
          <w:i/>
          <w:color w:val="00000A"/>
          <w:sz w:val="24"/>
        </w:rPr>
        <w:t>Účtovná jednotka zamestnávala v sledovanom období ....2..... zamestnancov.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24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  <w:spacing w:after="122"/>
      </w:pPr>
      <w:r>
        <w:t>Čl. II Informácie o prijatých postupoch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after="22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after="32" w:line="236" w:lineRule="auto"/>
        <w:ind w:hanging="367"/>
      </w:pPr>
      <w:r>
        <w:rPr>
          <w:i/>
          <w:color w:val="00000A"/>
          <w:sz w:val="24"/>
        </w:rPr>
        <w:t>Účtovná závierka účtovnej jednotky k 31. decembru 2017</w:t>
      </w:r>
      <w:r>
        <w:rPr>
          <w:i/>
          <w:color w:val="00000A"/>
          <w:sz w:val="24"/>
        </w:rPr>
        <w:t xml:space="preserve"> je zostavená ako riadna účtovná závierka podľa § 17 ods. 6 zákona NR SR č. 431/2002 Z. z. o účtovníctve, za účtovné obdobie od 1. </w:t>
      </w:r>
    </w:p>
    <w:p w:rsidR="000C2DBB" w:rsidRDefault="00C05649">
      <w:pPr>
        <w:spacing w:after="32" w:line="236" w:lineRule="auto"/>
        <w:ind w:left="2" w:hanging="10"/>
        <w:jc w:val="both"/>
      </w:pPr>
      <w:r>
        <w:rPr>
          <w:i/>
          <w:color w:val="00000A"/>
          <w:sz w:val="37"/>
          <w:vertAlign w:val="subscript"/>
        </w:rPr>
        <w:t xml:space="preserve"> </w:t>
      </w:r>
      <w:r>
        <w:rPr>
          <w:i/>
          <w:color w:val="00000A"/>
          <w:sz w:val="37"/>
          <w:vertAlign w:val="subscript"/>
        </w:rPr>
        <w:tab/>
      </w:r>
      <w:r>
        <w:rPr>
          <w:i/>
          <w:color w:val="00000A"/>
          <w:sz w:val="24"/>
        </w:rPr>
        <w:t>januára 2017 do 31. decembra 2017</w:t>
      </w:r>
      <w:r>
        <w:rPr>
          <w:i/>
          <w:color w:val="00000A"/>
          <w:sz w:val="24"/>
        </w:rPr>
        <w:t xml:space="preserve">.  </w:t>
      </w:r>
    </w:p>
    <w:p w:rsidR="000C2DBB" w:rsidRDefault="00C05649">
      <w:pPr>
        <w:numPr>
          <w:ilvl w:val="0"/>
          <w:numId w:val="2"/>
        </w:numPr>
        <w:spacing w:after="15" w:line="228" w:lineRule="auto"/>
        <w:ind w:hanging="367"/>
      </w:pPr>
      <w:r>
        <w:rPr>
          <w:color w:val="00000A"/>
          <w:sz w:val="24"/>
        </w:rPr>
        <w:t xml:space="preserve">Spôsob oceňovania jednotlivých položiek majetku a záväzkov, a to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after="2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8114" w:type="dxa"/>
        <w:tblInd w:w="7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889"/>
        <w:gridCol w:w="2225"/>
      </w:tblGrid>
      <w:tr w:rsidR="000C2DBB">
        <w:trPr>
          <w:trHeight w:val="438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b/>
                <w:color w:val="00000A"/>
                <w:sz w:val="24"/>
              </w:rPr>
              <w:t>Druh majetku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</w:pPr>
            <w:r>
              <w:rPr>
                <w:b/>
                <w:color w:val="00000A"/>
                <w:sz w:val="23"/>
              </w:rPr>
              <w:t>Spôsob ocenenia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732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6" w:lineRule="auto"/>
              <w:ind w:right="3025"/>
            </w:pPr>
            <w:r>
              <w:rPr>
                <w:color w:val="00000A"/>
                <w:sz w:val="24"/>
              </w:rPr>
              <w:t>Dlhodobý nehmotný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color w:val="00000A"/>
                <w:sz w:val="24"/>
              </w:rPr>
              <w:t>majetok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</w:pPr>
            <w:r>
              <w:rPr>
                <w:i/>
                <w:color w:val="00000A"/>
                <w:sz w:val="23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732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6" w:lineRule="auto"/>
              <w:ind w:right="3270"/>
            </w:pPr>
            <w:r>
              <w:rPr>
                <w:color w:val="00000A"/>
                <w:sz w:val="24"/>
              </w:rPr>
              <w:t>Dlhodobý hmotný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color w:val="00000A"/>
                <w:sz w:val="24"/>
              </w:rPr>
              <w:t>majetok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</w:pPr>
            <w:r>
              <w:rPr>
                <w:i/>
                <w:color w:val="00000A"/>
                <w:sz w:val="23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733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32" w:lineRule="auto"/>
              <w:ind w:right="3491"/>
            </w:pPr>
            <w:r>
              <w:rPr>
                <w:rFonts w:ascii="Times New Roman" w:eastAsia="Times New Roman" w:hAnsi="Times New Roman" w:cs="Times New Roman"/>
                <w:sz w:val="37"/>
                <w:vertAlign w:val="subscript"/>
              </w:rPr>
              <w:t xml:space="preserve"> </w:t>
            </w:r>
            <w:r>
              <w:rPr>
                <w:color w:val="00000A"/>
                <w:sz w:val="24"/>
              </w:rPr>
              <w:t>Zásoby obstarané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color w:val="00000A"/>
                <w:sz w:val="24"/>
              </w:rPr>
              <w:t>kúpou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</w:pPr>
            <w:r>
              <w:rPr>
                <w:i/>
                <w:color w:val="00000A"/>
                <w:sz w:val="23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439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line="240" w:lineRule="auto"/>
            </w:pPr>
            <w:r>
              <w:rPr>
                <w:color w:val="00000A"/>
                <w:sz w:val="24"/>
              </w:rPr>
              <w:t>Pohľadávky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  <w:jc w:val="both"/>
            </w:pPr>
            <w:r>
              <w:rPr>
                <w:i/>
                <w:color w:val="00000A"/>
                <w:sz w:val="24"/>
              </w:rPr>
              <w:t>Menovitou hodnotou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255"/>
        </w:trPr>
        <w:tc>
          <w:tcPr>
            <w:tcW w:w="589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color w:val="00000A"/>
                <w:sz w:val="24"/>
              </w:rPr>
              <w:t>Záväzky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2225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110"/>
              <w:jc w:val="both"/>
            </w:pPr>
            <w:r>
              <w:rPr>
                <w:i/>
                <w:color w:val="00000A"/>
                <w:sz w:val="24"/>
              </w:rPr>
              <w:t>Menovitou hodnotou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</w:tbl>
    <w:p w:rsidR="000C2DBB" w:rsidRDefault="00C05649">
      <w:pPr>
        <w:spacing w:after="24"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line="232" w:lineRule="auto"/>
        <w:ind w:hanging="367"/>
      </w:pPr>
      <w:r>
        <w:rPr>
          <w:color w:val="00000A"/>
          <w:sz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line="240" w:lineRule="auto"/>
        <w:ind w:left="7"/>
      </w:pPr>
      <w:bookmarkStart w:id="0" w:name="_GoBack"/>
      <w:bookmarkEnd w:id="0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32" w:line="236" w:lineRule="auto"/>
        <w:ind w:left="2" w:hanging="10"/>
        <w:jc w:val="both"/>
      </w:pPr>
      <w:r>
        <w:rPr>
          <w:i/>
          <w:color w:val="00000A"/>
          <w:sz w:val="24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</w:t>
      </w:r>
      <w:r>
        <w:rPr>
          <w:i/>
          <w:color w:val="00000A"/>
          <w:sz w:val="24"/>
        </w:rPr>
        <w:t>bý nehmotný majetok, ktorého obstarávacia cena (resp. vlastné náklady) je 2 400 EUR a nižšia, sa odpisuje jednorazovo pri uvedení do používania.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  <w:ind w:left="7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:rsidR="000C2DBB" w:rsidRDefault="00C05649">
      <w:pPr>
        <w:spacing w:line="239" w:lineRule="auto"/>
        <w:ind w:left="7"/>
        <w:jc w:val="both"/>
      </w:pPr>
      <w:r>
        <w:rPr>
          <w:i/>
          <w:sz w:val="24"/>
        </w:rPr>
        <w:t>Odpisy dlhodobého hmotného majetku sú stanovené vychádzajúc z predpokladanej doby jeho používania a predpokl</w:t>
      </w:r>
      <w:r>
        <w:rPr>
          <w:i/>
          <w:sz w:val="24"/>
        </w:rPr>
        <w:t>adaného priebehu jeho opotrebenia. Odpisovať sa začína prvým dňom mesiaca nasledujúceho po uvedení dlhodobého majetku do používania. Drobný dlhodobý hmotný majetok, ktorého obstarávacia cena (resp. vlastné náklady) je 1700 EUR a nižšia sa odpisuje jednoraz</w:t>
      </w:r>
      <w:r>
        <w:rPr>
          <w:i/>
          <w:sz w:val="24"/>
        </w:rPr>
        <w:t>ovo pri uvedení do používania. Pozemky sa neodpisujú.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after="15" w:line="228" w:lineRule="auto"/>
        <w:ind w:hanging="367"/>
      </w:pPr>
      <w:r>
        <w:rPr>
          <w:color w:val="00000A"/>
          <w:sz w:val="24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after="36" w:line="240" w:lineRule="auto"/>
      </w:pPr>
      <w:r>
        <w:rPr>
          <w:i/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after="15" w:line="228" w:lineRule="auto"/>
        <w:ind w:hanging="367"/>
      </w:pPr>
      <w:r>
        <w:rPr>
          <w:color w:val="00000A"/>
          <w:sz w:val="24"/>
        </w:rPr>
        <w:t xml:space="preserve">Informácie o dotáciách a ich oceňovanie v účtovníctve.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after="14" w:line="240" w:lineRule="auto"/>
      </w:pPr>
      <w:r>
        <w:rPr>
          <w:i/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2"/>
        </w:numPr>
        <w:spacing w:after="86" w:line="228" w:lineRule="auto"/>
        <w:ind w:hanging="367"/>
      </w:pPr>
      <w:r>
        <w:rPr>
          <w:color w:val="00000A"/>
          <w:sz w:val="24"/>
        </w:rPr>
        <w:t>Informácie o účtovaní významných opráv chýb minulých účtovných období v bežnom účtovnom období s uvedením vplyvu na nerozdelený zisk minulých rokov alebo neuhradenú stratu minulých rokov; s</w:t>
      </w:r>
      <w:r>
        <w:rPr>
          <w:color w:val="00000A"/>
          <w:sz w:val="24"/>
        </w:rPr>
        <w:t xml:space="preserve">účasne sa môže uviesť aj účtovanie nevýznamných chýb minulých účtovných období v bežnom účtovnom období s uvedením vplyvu na výsledok hospodárenia bežného účtovného obdobia. </w:t>
      </w:r>
      <w:r>
        <w:rPr>
          <w:i/>
          <w:color w:val="00000A"/>
          <w:sz w:val="24"/>
        </w:rPr>
        <w:t xml:space="preserve"> </w:t>
      </w:r>
    </w:p>
    <w:p w:rsidR="000C2DBB" w:rsidRDefault="00C05649">
      <w:pPr>
        <w:spacing w:after="27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t>Oprava chýb MO z roku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  <w:r>
        <w:rPr>
          <w:rFonts w:ascii="Times New Roman" w:eastAsia="Times New Roman" w:hAnsi="Times New Roman" w:cs="Times New Roman"/>
          <w:b w:val="0"/>
          <w:color w:val="000000"/>
        </w:rPr>
        <w:tab/>
      </w:r>
      <w:r>
        <w:t>Popis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      </w:t>
      </w:r>
      <w:r>
        <w:rPr>
          <w:sz w:val="23"/>
        </w:rPr>
        <w:t>Vplyv na HV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10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41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  <w:spacing w:after="122"/>
      </w:pPr>
      <w:r>
        <w:t>Čl. III Informácie, ktoré vysvetľujú a dopĺňajú súvahu a výkaz ziskov a strát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after="22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3"/>
        </w:numPr>
        <w:spacing w:after="15" w:line="228" w:lineRule="auto"/>
        <w:ind w:right="580" w:hanging="329"/>
      </w:pPr>
      <w:r>
        <w:rPr>
          <w:color w:val="00000A"/>
          <w:sz w:val="24"/>
        </w:rPr>
        <w:t>Informácia o sume a dôvodoch vzniku jednotlivých položiek nákladov alebo výnosov, ktoré majú výnimočný rozsah alebo výskyt, napríklad výnosy z predaja podniku alebo časti podn</w:t>
      </w:r>
      <w:r>
        <w:rPr>
          <w:color w:val="00000A"/>
          <w:sz w:val="24"/>
        </w:rPr>
        <w:t xml:space="preserve">iku, náklady z dôvodu predaja podniku alebo časti podniku, škody z dôvodu živelných pohrôm.  </w:t>
      </w:r>
    </w:p>
    <w:p w:rsidR="000C2DBB" w:rsidRDefault="00C05649">
      <w:pPr>
        <w:spacing w:after="38"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3"/>
        </w:numPr>
        <w:spacing w:after="15" w:line="228" w:lineRule="auto"/>
        <w:ind w:right="580" w:hanging="329"/>
      </w:pPr>
      <w:r>
        <w:rPr>
          <w:color w:val="00000A"/>
          <w:sz w:val="24"/>
        </w:rPr>
        <w:t xml:space="preserve">Informácie o záväzkoch, a to  </w:t>
      </w:r>
    </w:p>
    <w:p w:rsidR="000C2DBB" w:rsidRDefault="00C05649">
      <w:pPr>
        <w:spacing w:after="15" w:line="228" w:lineRule="auto"/>
        <w:ind w:left="-5" w:right="-15" w:hanging="3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color w:val="00000A"/>
          <w:sz w:val="24"/>
        </w:rPr>
        <w:t xml:space="preserve">a) celkovej sume záväzkov so zostatkovou dobou splatnosti dlhšou ako päť rokov,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05649" w:rsidRDefault="00C05649">
      <w:pPr>
        <w:pStyle w:val="Nadpis1"/>
        <w:numPr>
          <w:ilvl w:val="0"/>
          <w:numId w:val="0"/>
        </w:numPr>
      </w:pPr>
      <w:r>
        <w:t xml:space="preserve">Záväzky celkom: </w:t>
      </w:r>
      <w:r>
        <w:rPr>
          <w:lang w:val="en-US"/>
        </w:rPr>
        <w:t>20050</w:t>
      </w:r>
      <w:r>
        <w:t xml:space="preserve">  </w:t>
      </w:r>
    </w:p>
    <w:p w:rsidR="00C05649" w:rsidRDefault="00C05649" w:rsidP="00C05649">
      <w:pPr>
        <w:pStyle w:val="Nadpis1"/>
        <w:numPr>
          <w:ilvl w:val="0"/>
          <w:numId w:val="0"/>
        </w:numPr>
      </w:pPr>
      <w:r>
        <w:t>Zostatková doba splatnosti do 1 roka: 9809</w:t>
      </w:r>
    </w:p>
    <w:p w:rsidR="000C2DBB" w:rsidRDefault="00C05649" w:rsidP="00C05649">
      <w:pPr>
        <w:pStyle w:val="Nadpis1"/>
        <w:numPr>
          <w:ilvl w:val="0"/>
          <w:numId w:val="0"/>
        </w:numPr>
      </w:pPr>
      <w:r>
        <w:t>Zostatková doba splatnosti viac ako 5 rokov</w:t>
      </w:r>
      <w:r>
        <w:t>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:rsidR="000C2DBB" w:rsidRDefault="00C05649">
      <w:pPr>
        <w:spacing w:after="38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5" w:line="228" w:lineRule="auto"/>
        <w:ind w:left="-5" w:right="-15" w:hanging="3"/>
      </w:pPr>
      <w:r>
        <w:rPr>
          <w:color w:val="00000A"/>
          <w:sz w:val="24"/>
        </w:rPr>
        <w:t xml:space="preserve">b) celkovej sume zabezpečených záväzkov, opis a spôsoby zabezpečenia záväzkov.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t>Celková suma Opis záväzku Spôsob zabezpečenia zabezpečených záväzkov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2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4"/>
        </w:numPr>
        <w:spacing w:after="15" w:line="228" w:lineRule="auto"/>
        <w:ind w:right="-15" w:hanging="329"/>
      </w:pPr>
      <w:r>
        <w:rPr>
          <w:color w:val="00000A"/>
          <w:sz w:val="24"/>
        </w:rPr>
        <w:t xml:space="preserve">Informácie o vlastných akciách  </w:t>
      </w:r>
    </w:p>
    <w:p w:rsidR="000C2DBB" w:rsidRDefault="00C05649">
      <w:pPr>
        <w:spacing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spacing w:after="24"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4"/>
        </w:numPr>
        <w:spacing w:after="15" w:line="228" w:lineRule="auto"/>
        <w:ind w:right="-15" w:hanging="329"/>
      </w:pPr>
      <w:r>
        <w:rPr>
          <w:color w:val="00000A"/>
          <w:sz w:val="24"/>
        </w:rPr>
        <w:t xml:space="preserve">Informácie o orgánoch účtovnej jednotky, a to 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24" w:lineRule="auto"/>
        <w:ind w:left="7" w:right="339"/>
      </w:pPr>
      <w:r>
        <w:rPr>
          <w:color w:val="00000A"/>
          <w:sz w:val="23"/>
        </w:rPr>
        <w:t>a) výške jednotlivých druhov záruk alebo iných zabezpečení poskytnutých pre členov štatutárneho orgánu, dozorného orgánu a iného orgánu účtovnej jednotky, a to v členení</w:t>
      </w:r>
      <w:r>
        <w:rPr>
          <w:color w:val="00000A"/>
          <w:sz w:val="23"/>
        </w:rPr>
        <w:t xml:space="preserve"> za jednotlivé orgány,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lastRenderedPageBreak/>
        <w:t xml:space="preserve">Poskytnuté záruky                      Druh záruky                   Suma  </w:t>
      </w:r>
    </w:p>
    <w:p w:rsidR="000C2DBB" w:rsidRDefault="00C05649">
      <w:pPr>
        <w:spacing w:after="42" w:line="240" w:lineRule="auto"/>
        <w:ind w:left="7"/>
      </w:pPr>
      <w:r>
        <w:rPr>
          <w:b/>
          <w:color w:val="00000A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t>Konateľom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</w:pPr>
      <w:r>
        <w:t xml:space="preserve">Členom správnej rady </w:t>
      </w:r>
    </w:p>
    <w:p w:rsidR="000C2DBB" w:rsidRDefault="00C05649">
      <w:pPr>
        <w:pStyle w:val="Nadpis1"/>
        <w:numPr>
          <w:ilvl w:val="0"/>
          <w:numId w:val="0"/>
        </w:numPr>
      </w:pPr>
      <w:proofErr w:type="spellStart"/>
      <w:r>
        <w:t>Členomdozornej</w:t>
      </w:r>
      <w:proofErr w:type="spellEnd"/>
      <w:r>
        <w:t xml:space="preserve"> rady </w:t>
      </w:r>
    </w:p>
    <w:p w:rsidR="000C2DBB" w:rsidRDefault="00C05649">
      <w:pPr>
        <w:pStyle w:val="Nadpis1"/>
        <w:numPr>
          <w:ilvl w:val="0"/>
          <w:numId w:val="0"/>
        </w:numPr>
      </w:pPr>
      <w:r>
        <w:t>Spoločníkom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5" w:line="228" w:lineRule="auto"/>
        <w:ind w:left="-5" w:right="500" w:hanging="3"/>
      </w:pPr>
      <w:r>
        <w:rPr>
          <w:color w:val="00000A"/>
          <w:sz w:val="24"/>
        </w:rPr>
        <w:t xml:space="preserve">b) pôžičkách poskytnutých členom štatutárneho orgánu, dozorného orgánu a iného orgánu </w:t>
      </w:r>
      <w:r>
        <w:rPr>
          <w:rFonts w:ascii="Times New Roman" w:eastAsia="Times New Roman" w:hAnsi="Times New Roman" w:cs="Times New Roman"/>
          <w:sz w:val="37"/>
          <w:vertAlign w:val="subscript"/>
        </w:rPr>
        <w:t xml:space="preserve"> </w:t>
      </w:r>
      <w:r>
        <w:rPr>
          <w:color w:val="00000A"/>
          <w:sz w:val="24"/>
        </w:rPr>
        <w:t>účtovnej jednotky a to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8474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448"/>
        <w:gridCol w:w="3480"/>
        <w:gridCol w:w="1546"/>
      </w:tblGrid>
      <w:tr w:rsidR="000C2DBB">
        <w:trPr>
          <w:trHeight w:val="1279"/>
        </w:trPr>
        <w:tc>
          <w:tcPr>
            <w:tcW w:w="344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spacing w:after="69" w:line="240" w:lineRule="auto"/>
            </w:pPr>
            <w:r>
              <w:rPr>
                <w:rFonts w:ascii="Times New Roman" w:eastAsia="Times New Roman" w:hAnsi="Times New Roman" w:cs="Times New Roman"/>
                <w:sz w:val="37"/>
                <w:vertAlign w:val="subscript"/>
              </w:rPr>
              <w:t xml:space="preserve"> </w:t>
            </w:r>
            <w:r>
              <w:rPr>
                <w:b/>
                <w:color w:val="00000A"/>
                <w:sz w:val="24"/>
              </w:rPr>
              <w:t>Poskytnuté pôžičky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pPr>
              <w:spacing w:after="64" w:line="240" w:lineRule="auto"/>
            </w:pPr>
            <w:r>
              <w:rPr>
                <w:rFonts w:ascii="Times New Roman" w:eastAsia="Times New Roman" w:hAnsi="Times New Roman" w:cs="Times New Roman"/>
                <w:sz w:val="37"/>
                <w:vertAlign w:val="subscript"/>
              </w:rPr>
              <w:t xml:space="preserve"> </w:t>
            </w:r>
            <w:r>
              <w:rPr>
                <w:b/>
                <w:color w:val="00000A"/>
                <w:sz w:val="24"/>
              </w:rPr>
              <w:t>Konateľom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  <w:p w:rsidR="000C2DBB" w:rsidRDefault="00C05649">
            <w:pPr>
              <w:spacing w:line="240" w:lineRule="auto"/>
              <w:ind w:left="7"/>
            </w:pPr>
            <w:r>
              <w:rPr>
                <w:b/>
                <w:color w:val="00000A"/>
                <w:sz w:val="24"/>
              </w:rPr>
              <w:t>Členom správnej rady</w:t>
            </w:r>
          </w:p>
          <w:p w:rsidR="000C2DBB" w:rsidRDefault="00C05649">
            <w:pPr>
              <w:spacing w:after="19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ab/>
              <w:t xml:space="preserve"> </w:t>
            </w:r>
          </w:p>
          <w:p w:rsidR="000C2DBB" w:rsidRDefault="00C05649">
            <w:r>
              <w:rPr>
                <w:rFonts w:ascii="Times New Roman" w:eastAsia="Times New Roman" w:hAnsi="Times New Roman" w:cs="Times New Roman"/>
                <w:sz w:val="37"/>
                <w:vertAlign w:val="subscript"/>
              </w:rPr>
              <w:t xml:space="preserve"> </w:t>
            </w:r>
            <w:r>
              <w:rPr>
                <w:b/>
                <w:color w:val="00000A"/>
                <w:sz w:val="24"/>
              </w:rPr>
              <w:t>Členom dozornej rady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b/>
                <w:color w:val="00000A"/>
                <w:sz w:val="24"/>
              </w:rPr>
              <w:t>Celková suma k 31.12.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jc w:val="both"/>
            </w:pPr>
            <w:r>
              <w:rPr>
                <w:b/>
                <w:color w:val="00000A"/>
                <w:sz w:val="23"/>
              </w:rPr>
              <w:t>Z toho splatené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</w:tr>
      <w:tr w:rsidR="000C2DBB">
        <w:trPr>
          <w:trHeight w:val="240"/>
        </w:trPr>
        <w:tc>
          <w:tcPr>
            <w:tcW w:w="3449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pPr>
              <w:ind w:left="7"/>
            </w:pPr>
            <w:r>
              <w:rPr>
                <w:b/>
                <w:color w:val="00000A"/>
                <w:sz w:val="24"/>
              </w:rPr>
              <w:t>Spoločníkom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C05649">
            <w:r>
              <w:rPr>
                <w:color w:val="00000A"/>
                <w:sz w:val="24"/>
              </w:rPr>
              <w:t>59949</w:t>
            </w: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</w:tcPr>
          <w:p w:rsidR="000C2DBB" w:rsidRDefault="000C2DBB"/>
        </w:tc>
      </w:tr>
    </w:tbl>
    <w:p w:rsidR="00C05649" w:rsidRDefault="00C05649">
      <w:pPr>
        <w:spacing w:after="109" w:line="228" w:lineRule="auto"/>
        <w:ind w:left="-5" w:right="-15" w:hanging="3"/>
        <w:rPr>
          <w:color w:val="00000A"/>
          <w:sz w:val="24"/>
        </w:rPr>
      </w:pPr>
      <w:r>
        <w:rPr>
          <w:color w:val="00000A"/>
          <w:sz w:val="24"/>
        </w:rPr>
        <w:t xml:space="preserve"> </w:t>
      </w:r>
    </w:p>
    <w:p w:rsidR="000C2DBB" w:rsidRDefault="00C05649">
      <w:pPr>
        <w:spacing w:after="109" w:line="228" w:lineRule="auto"/>
        <w:ind w:left="-5" w:right="-15" w:hanging="3"/>
      </w:pPr>
      <w:r>
        <w:rPr>
          <w:color w:val="00000A"/>
          <w:sz w:val="24"/>
        </w:rPr>
        <w:t xml:space="preserve">5) </w:t>
      </w:r>
      <w:r>
        <w:rPr>
          <w:rFonts w:ascii="Arial" w:eastAsia="Arial" w:hAnsi="Arial" w:cs="Arial"/>
          <w:color w:val="00000A"/>
          <w:sz w:val="24"/>
        </w:rPr>
        <w:t xml:space="preserve"> </w:t>
      </w:r>
      <w:r>
        <w:rPr>
          <w:color w:val="00000A"/>
          <w:sz w:val="24"/>
        </w:rPr>
        <w:t xml:space="preserve">Informácie o povinnostiach účtovnej jednotky, a to  </w:t>
      </w:r>
    </w:p>
    <w:p w:rsidR="000C2DBB" w:rsidRDefault="00C05649">
      <w:pPr>
        <w:numPr>
          <w:ilvl w:val="0"/>
          <w:numId w:val="5"/>
        </w:numPr>
        <w:spacing w:after="15" w:line="228" w:lineRule="auto"/>
        <w:ind w:right="-15" w:hanging="250"/>
      </w:pPr>
      <w:r>
        <w:rPr>
          <w:color w:val="00000A"/>
          <w:sz w:val="24"/>
        </w:rPr>
        <w:t xml:space="preserve">celkovej sume finančných povinností, ktoré sa nevykazujú v súvahe, ale sú významné na posúdenie </w:t>
      </w:r>
    </w:p>
    <w:p w:rsidR="000C2DBB" w:rsidRDefault="00C05649">
      <w:pPr>
        <w:spacing w:after="15" w:line="228" w:lineRule="auto"/>
        <w:ind w:left="-5" w:right="-15" w:hanging="3"/>
      </w:pPr>
      <w:r>
        <w:rPr>
          <w:color w:val="00000A"/>
          <w:sz w:val="24"/>
        </w:rPr>
        <w:t>finančnej situácie účtovnej jednotky, napríklad povinnosti nájomcu vyplývajúce z operatívneho prenájm</w:t>
      </w:r>
      <w:r>
        <w:rPr>
          <w:color w:val="00000A"/>
          <w:sz w:val="24"/>
        </w:rPr>
        <w:t xml:space="preserve">u, z uzatvorených zmlúv na poskytnutie úveru alebo pôžičky, ktoré ešte neboli poskytnuté, finančné povinnosti vyplývajúce z licenčných a koncesionárskych zmlúv s uvedením sumy poplatku za </w:t>
      </w:r>
    </w:p>
    <w:p w:rsidR="000C2DBB" w:rsidRDefault="00C05649">
      <w:pPr>
        <w:spacing w:after="15" w:line="228" w:lineRule="auto"/>
        <w:ind w:left="-5" w:right="-15" w:hanging="3"/>
      </w:pPr>
      <w:r>
        <w:rPr>
          <w:color w:val="00000A"/>
          <w:sz w:val="24"/>
        </w:rPr>
        <w:t xml:space="preserve"> celé zostávajúce obdobie platnosti zmluvy,  </w:t>
      </w:r>
    </w:p>
    <w:p w:rsidR="000C2DBB" w:rsidRDefault="00C05649">
      <w:pPr>
        <w:numPr>
          <w:ilvl w:val="0"/>
          <w:numId w:val="5"/>
        </w:numPr>
        <w:spacing w:after="15" w:line="228" w:lineRule="auto"/>
        <w:ind w:right="-15" w:hanging="250"/>
      </w:pPr>
      <w:r>
        <w:rPr>
          <w:color w:val="00000A"/>
          <w:sz w:val="24"/>
        </w:rPr>
        <w:t xml:space="preserve">celkovej sume významných podmienených záväzkov, ktorými sa rozumie 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6"/>
        </w:numPr>
        <w:spacing w:line="232" w:lineRule="auto"/>
        <w:ind w:right="567" w:hanging="247"/>
      </w:pPr>
      <w:r>
        <w:rPr>
          <w:color w:val="00000A"/>
          <w:sz w:val="24"/>
        </w:rPr>
        <w:t>možná povinnosť, ktorá vznikla ako dôsledok minulej udalosti a ktorej existencia závisí od toho, či nastane alebo nenastane jedna alebo viac neistých udalostí v budúcnosti, ktorých vzni</w:t>
      </w:r>
      <w:r>
        <w:rPr>
          <w:color w:val="00000A"/>
          <w:sz w:val="24"/>
        </w:rPr>
        <w:t xml:space="preserve">k nezávisí od účtovnej jednotky, alebo  </w:t>
      </w:r>
    </w:p>
    <w:p w:rsidR="000C2DBB" w:rsidRDefault="00C05649">
      <w:pPr>
        <w:spacing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6"/>
        </w:numPr>
        <w:spacing w:after="15" w:line="228" w:lineRule="auto"/>
        <w:ind w:right="567" w:hanging="247"/>
      </w:pPr>
      <w:r>
        <w:rPr>
          <w:color w:val="00000A"/>
          <w:sz w:val="24"/>
        </w:rPr>
        <w:t xml:space="preserve">existujúca povinnosť, ktorá vznikla ako dôsledok minulej udalosti, ale ktorá sa nevykazuje v </w:t>
      </w:r>
    </w:p>
    <w:p w:rsidR="000C2DBB" w:rsidRDefault="00C05649">
      <w:pPr>
        <w:spacing w:after="15" w:line="228" w:lineRule="auto"/>
        <w:ind w:left="-5" w:right="-15" w:hanging="3"/>
      </w:pPr>
      <w:r>
        <w:rPr>
          <w:color w:val="00000A"/>
          <w:sz w:val="24"/>
        </w:rPr>
        <w:t xml:space="preserve">súvahe, pretože  </w:t>
      </w:r>
    </w:p>
    <w:p w:rsidR="000C2DBB" w:rsidRDefault="00C05649">
      <w:pPr>
        <w:spacing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5" w:line="228" w:lineRule="auto"/>
        <w:ind w:left="-5" w:right="169" w:hanging="3"/>
      </w:pPr>
      <w:r>
        <w:rPr>
          <w:color w:val="00000A"/>
          <w:sz w:val="24"/>
        </w:rPr>
        <w:t xml:space="preserve">2a. nie je pravdepodobné, že na splnenie tejto povinnosti bude potrebný úbytok ekonomických </w:t>
      </w:r>
      <w:r>
        <w:rPr>
          <w:rFonts w:ascii="Times New Roman" w:eastAsia="Times New Roman" w:hAnsi="Times New Roman" w:cs="Times New Roman"/>
          <w:sz w:val="37"/>
          <w:vertAlign w:val="subscript"/>
        </w:rPr>
        <w:t xml:space="preserve"> </w:t>
      </w:r>
      <w:r>
        <w:rPr>
          <w:color w:val="00000A"/>
          <w:sz w:val="24"/>
        </w:rPr>
        <w:t>úžitkov, alebo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spacing w:after="15" w:line="228" w:lineRule="auto"/>
        <w:ind w:left="-5" w:right="-15" w:hanging="3"/>
      </w:pPr>
      <w:r>
        <w:rPr>
          <w:rFonts w:ascii="Times New Roman" w:eastAsia="Times New Roman" w:hAnsi="Times New Roman" w:cs="Times New Roman"/>
          <w:sz w:val="37"/>
          <w:vertAlign w:val="subscript"/>
        </w:rPr>
        <w:t xml:space="preserve"> </w:t>
      </w:r>
      <w:r>
        <w:rPr>
          <w:color w:val="00000A"/>
          <w:sz w:val="24"/>
        </w:rPr>
        <w:t>2b. výška tejto povinnosti sa nedá spoľahlivo oceniť,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numPr>
          <w:ilvl w:val="0"/>
          <w:numId w:val="7"/>
        </w:numPr>
        <w:spacing w:after="15" w:line="228" w:lineRule="auto"/>
        <w:ind w:right="-15" w:hanging="254"/>
      </w:pPr>
      <w:r>
        <w:rPr>
          <w:color w:val="00000A"/>
          <w:sz w:val="24"/>
        </w:rPr>
        <w:t xml:space="preserve">opise významných finančných povinností a významných podmienených záväzkov,  </w:t>
      </w:r>
    </w:p>
    <w:p w:rsidR="000C2DBB" w:rsidRDefault="00C05649">
      <w:pPr>
        <w:spacing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7"/>
        </w:numPr>
        <w:spacing w:after="15" w:line="228" w:lineRule="auto"/>
        <w:ind w:right="-15" w:hanging="254"/>
      </w:pPr>
      <w:r>
        <w:rPr>
          <w:color w:val="00000A"/>
          <w:sz w:val="24"/>
        </w:rPr>
        <w:t>celkovej sume významných finančných povinností a významných podmienených záväzkoch voči dcérskej účtovnej</w:t>
      </w:r>
      <w:r>
        <w:rPr>
          <w:color w:val="00000A"/>
          <w:sz w:val="24"/>
        </w:rPr>
        <w:t xml:space="preserve"> jednotke a účtovnej jednotke s podstatným vplyvom,  </w:t>
      </w:r>
    </w:p>
    <w:p w:rsidR="000C2DBB" w:rsidRDefault="00C05649">
      <w:pPr>
        <w:spacing w:line="240" w:lineRule="auto"/>
      </w:pPr>
      <w:r>
        <w:rPr>
          <w:color w:val="00000A"/>
          <w:sz w:val="24"/>
        </w:rPr>
        <w:t xml:space="preserve"> </w:t>
      </w:r>
    </w:p>
    <w:p w:rsidR="000C2DBB" w:rsidRDefault="00C05649">
      <w:pPr>
        <w:numPr>
          <w:ilvl w:val="0"/>
          <w:numId w:val="7"/>
        </w:numPr>
        <w:spacing w:after="15" w:line="228" w:lineRule="auto"/>
        <w:ind w:right="-15" w:hanging="254"/>
      </w:pPr>
      <w:r>
        <w:rPr>
          <w:color w:val="00000A"/>
          <w:sz w:val="24"/>
        </w:rPr>
        <w:t xml:space="preserve">opise významných povinností účtovnej jednotky vyplývajúcich z dôchodkových programov </w:t>
      </w:r>
    </w:p>
    <w:p w:rsidR="000C2DBB" w:rsidRDefault="00C05649">
      <w:pPr>
        <w:spacing w:after="110" w:line="228" w:lineRule="auto"/>
        <w:ind w:left="-5" w:right="-15" w:hanging="3"/>
      </w:pPr>
      <w:r>
        <w:rPr>
          <w:color w:val="00000A"/>
          <w:sz w:val="24"/>
        </w:rPr>
        <w:t xml:space="preserve">pre zamestnancov.  </w:t>
      </w:r>
    </w:p>
    <w:p w:rsidR="000C2DBB" w:rsidRDefault="00C05649">
      <w:pPr>
        <w:spacing w:after="21" w:line="240" w:lineRule="auto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C2DBB" w:rsidRDefault="00C05649">
      <w:pPr>
        <w:pStyle w:val="Nadpis1"/>
        <w:numPr>
          <w:ilvl w:val="0"/>
          <w:numId w:val="0"/>
        </w:numPr>
        <w:ind w:right="122"/>
      </w:pPr>
      <w:r>
        <w:rPr>
          <w:b w:val="0"/>
        </w:rPr>
        <w:t xml:space="preserve">(6) </w:t>
      </w:r>
      <w:r>
        <w:t>Informácie o udelení výlučného práva alebo osobitného práva, ktorým sa udelilo právo pos</w:t>
      </w:r>
      <w:r>
        <w:t>kytovať</w:t>
      </w:r>
      <w:r>
        <w:rPr>
          <w:b w:val="0"/>
        </w:rPr>
        <w:t xml:space="preserve"> </w:t>
      </w:r>
      <w:r>
        <w:t xml:space="preserve">služby vo verejnom záujme, pričom sa uvádza náhrada za túto činnosť v akejkoľvek </w:t>
      </w:r>
    </w:p>
    <w:p w:rsidR="000C2DBB" w:rsidRDefault="00C05649">
      <w:pPr>
        <w:pStyle w:val="Nadpis1"/>
        <w:numPr>
          <w:ilvl w:val="0"/>
          <w:numId w:val="0"/>
        </w:numPr>
        <w:ind w:right="2315"/>
      </w:pP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  <w:r>
        <w:t xml:space="preserve">forme, a ak sa zároveň vykonávajú aj iné činnosti, uvádzajú sa aj informácie o </w:t>
      </w:r>
      <w:r>
        <w:rPr>
          <w:rFonts w:ascii="Times New Roman" w:eastAsia="Times New Roman" w:hAnsi="Times New Roman" w:cs="Times New Roman"/>
          <w:b w:val="0"/>
          <w:color w:val="000000"/>
        </w:rPr>
        <w:t xml:space="preserve"> </w:t>
      </w:r>
      <w:r>
        <w:t xml:space="preserve"> a)</w:t>
      </w:r>
      <w:r>
        <w:rPr>
          <w:rFonts w:ascii="Arial" w:eastAsia="Arial" w:hAnsi="Arial" w:cs="Arial"/>
        </w:rPr>
        <w:t xml:space="preserve"> </w:t>
      </w:r>
      <w:r>
        <w:t xml:space="preserve">všetkých formách prijatej náhrady,  </w:t>
      </w:r>
    </w:p>
    <w:p w:rsidR="000C2DBB" w:rsidRDefault="00C05649">
      <w:pPr>
        <w:pStyle w:val="Nadpis1"/>
        <w:numPr>
          <w:ilvl w:val="0"/>
          <w:numId w:val="0"/>
        </w:numPr>
      </w:pPr>
      <w:r>
        <w:t xml:space="preserve"> b)</w:t>
      </w:r>
      <w:r>
        <w:rPr>
          <w:rFonts w:ascii="Arial" w:eastAsia="Arial" w:hAnsi="Arial" w:cs="Arial"/>
        </w:rPr>
        <w:t xml:space="preserve"> </w:t>
      </w:r>
      <w:r>
        <w:t>účtovných zásadách použitých pri prideľo</w:t>
      </w:r>
      <w:r>
        <w:t xml:space="preserve">vaní nákladov a výnosov,  </w:t>
      </w:r>
    </w:p>
    <w:p w:rsidR="000C2DBB" w:rsidRDefault="00C05649">
      <w:pPr>
        <w:pStyle w:val="Nadpis1"/>
        <w:ind w:left="220" w:hanging="228"/>
      </w:pPr>
      <w:r>
        <w:t xml:space="preserve">všetkých druhoch činností účtovnej jednotky.  </w:t>
      </w:r>
    </w:p>
    <w:sectPr w:rsidR="000C2DBB">
      <w:pgSz w:w="11900" w:h="16840"/>
      <w:pgMar w:top="1004" w:right="839" w:bottom="103" w:left="79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06B89"/>
    <w:multiLevelType w:val="hybridMultilevel"/>
    <w:tmpl w:val="6E542056"/>
    <w:lvl w:ilvl="0" w:tplc="C7BAC084">
      <w:start w:val="1"/>
      <w:numFmt w:val="decimal"/>
      <w:lvlText w:val="%1)"/>
      <w:lvlJc w:val="left"/>
      <w:pPr>
        <w:ind w:left="451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300CE18">
      <w:start w:val="1"/>
      <w:numFmt w:val="lowerLetter"/>
      <w:lvlText w:val="%2"/>
      <w:lvlJc w:val="left"/>
      <w:pPr>
        <w:ind w:left="122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782402">
      <w:start w:val="1"/>
      <w:numFmt w:val="lowerRoman"/>
      <w:lvlText w:val="%3"/>
      <w:lvlJc w:val="left"/>
      <w:pPr>
        <w:ind w:left="194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7892D2">
      <w:start w:val="1"/>
      <w:numFmt w:val="decimal"/>
      <w:lvlText w:val="%4"/>
      <w:lvlJc w:val="left"/>
      <w:pPr>
        <w:ind w:left="266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9BE4116">
      <w:start w:val="1"/>
      <w:numFmt w:val="lowerLetter"/>
      <w:lvlText w:val="%5"/>
      <w:lvlJc w:val="left"/>
      <w:pPr>
        <w:ind w:left="338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C887B4C">
      <w:start w:val="1"/>
      <w:numFmt w:val="lowerRoman"/>
      <w:lvlText w:val="%6"/>
      <w:lvlJc w:val="left"/>
      <w:pPr>
        <w:ind w:left="410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A9E4580">
      <w:start w:val="1"/>
      <w:numFmt w:val="decimal"/>
      <w:lvlText w:val="%7"/>
      <w:lvlJc w:val="left"/>
      <w:pPr>
        <w:ind w:left="482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824D4C">
      <w:start w:val="1"/>
      <w:numFmt w:val="lowerLetter"/>
      <w:lvlText w:val="%8"/>
      <w:lvlJc w:val="left"/>
      <w:pPr>
        <w:ind w:left="554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C4F1B0">
      <w:start w:val="1"/>
      <w:numFmt w:val="lowerRoman"/>
      <w:lvlText w:val="%9"/>
      <w:lvlJc w:val="left"/>
      <w:pPr>
        <w:ind w:left="6266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C4461F5"/>
    <w:multiLevelType w:val="hybridMultilevel"/>
    <w:tmpl w:val="8A7E7904"/>
    <w:lvl w:ilvl="0" w:tplc="21563588">
      <w:start w:val="1"/>
      <w:numFmt w:val="lowerLetter"/>
      <w:lvlText w:val="%1)"/>
      <w:lvlJc w:val="left"/>
      <w:pPr>
        <w:ind w:left="25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28FE6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E4222B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43E8FC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C8F29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368DB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6A82F9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578A8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3C0B7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DC2335C"/>
    <w:multiLevelType w:val="hybridMultilevel"/>
    <w:tmpl w:val="1A244E9E"/>
    <w:lvl w:ilvl="0" w:tplc="5E542076">
      <w:start w:val="1"/>
      <w:numFmt w:val="decimal"/>
      <w:lvlText w:val="%1."/>
      <w:lvlJc w:val="left"/>
      <w:pPr>
        <w:ind w:left="247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41E5EF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5677E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E4FDA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0C8396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32601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DFEECB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18E638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CEB82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8892081"/>
    <w:multiLevelType w:val="hybridMultilevel"/>
    <w:tmpl w:val="66E60F10"/>
    <w:lvl w:ilvl="0" w:tplc="4714568C">
      <w:start w:val="1"/>
      <w:numFmt w:val="decimal"/>
      <w:lvlText w:val="%1)"/>
      <w:lvlJc w:val="left"/>
      <w:pPr>
        <w:ind w:left="727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6E7EE8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269B3C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14815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9309FA2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6BE043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48F2E6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30B2CC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D26C7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4869275E"/>
    <w:multiLevelType w:val="hybridMultilevel"/>
    <w:tmpl w:val="F24037E4"/>
    <w:lvl w:ilvl="0" w:tplc="9D348442">
      <w:start w:val="3"/>
      <w:numFmt w:val="lowerLetter"/>
      <w:lvlText w:val="%1)"/>
      <w:lvlJc w:val="left"/>
      <w:pPr>
        <w:ind w:left="254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C691D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1EED7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1F632E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53AE12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4BEBCB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496393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44AD0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8E33C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8CC14C9"/>
    <w:multiLevelType w:val="hybridMultilevel"/>
    <w:tmpl w:val="1682CB10"/>
    <w:lvl w:ilvl="0" w:tplc="C4C0B228">
      <w:start w:val="100"/>
      <w:numFmt w:val="lowerRoman"/>
      <w:pStyle w:val="Nadpis1"/>
      <w:lvlText w:val="%1)"/>
      <w:lvlJc w:val="left"/>
      <w:pPr>
        <w:ind w:left="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327AB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2E238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0A69F4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2480DE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1E6E7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2E51E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42AA87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A0EB2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31F4FBE"/>
    <w:multiLevelType w:val="hybridMultilevel"/>
    <w:tmpl w:val="EBF01A10"/>
    <w:lvl w:ilvl="0" w:tplc="6248E35C">
      <w:start w:val="3"/>
      <w:numFmt w:val="decimal"/>
      <w:lvlText w:val="(%1)"/>
      <w:lvlJc w:val="left"/>
      <w:pPr>
        <w:ind w:left="329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02568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8D29F9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BA8CEE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170D51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230CC2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8AA446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3E57E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BA7AB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68947C4"/>
    <w:multiLevelType w:val="hybridMultilevel"/>
    <w:tmpl w:val="C75CB184"/>
    <w:lvl w:ilvl="0" w:tplc="992E0AA6">
      <w:start w:val="1"/>
      <w:numFmt w:val="decimal"/>
      <w:lvlText w:val="(%1)"/>
      <w:lvlJc w:val="left"/>
      <w:pPr>
        <w:ind w:left="329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ADA40E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7C0DE4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569B9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AE045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C6696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9FA07D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B26C2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3ABCA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A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DBB"/>
    <w:rsid w:val="000C2DBB"/>
    <w:rsid w:val="00C05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11D5E6-6CF4-444A-9064-FDFCEF1C6B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76" w:lineRule="auto"/>
    </w:pPr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8"/>
      </w:numPr>
      <w:spacing w:after="36" w:line="238" w:lineRule="auto"/>
      <w:ind w:left="2" w:right="-15" w:hanging="10"/>
      <w:outlineLvl w:val="0"/>
    </w:pPr>
    <w:rPr>
      <w:rFonts w:ascii="Calibri" w:eastAsia="Calibri" w:hAnsi="Calibri" w:cs="Calibri"/>
      <w:b/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A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908</Words>
  <Characters>5181</Characters>
  <Application>Microsoft Office Word</Application>
  <DocSecurity>0</DocSecurity>
  <Lines>43</Lines>
  <Paragraphs>12</Paragraphs>
  <ScaleCrop>false</ScaleCrop>
  <Company/>
  <LinksUpToDate>false</LinksUpToDate>
  <CharactersWithSpaces>6077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peter.kapusta</dc:creator>
  <cp:keywords/>
  <cp:lastModifiedBy>Peter Kapusta</cp:lastModifiedBy>
  <cp:revision>2</cp:revision>
  <dcterms:created xsi:type="dcterms:W3CDTF">2018-07-01T19:30:00Z</dcterms:created>
  <dcterms:modified xsi:type="dcterms:W3CDTF">2018-07-01T19:30:00Z</dcterms:modified>
</cp:coreProperties>
</file>