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 Všeobecné informácie o účtovnej jednotke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 (1) (5) Všeobecné informácie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 (1)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 xml:space="preserve">Sídlo účtovnej jednotky: </w:t>
      </w:r>
    </w:p>
    <w:tbl>
      <w:tblPr>
        <w:tblW w:w="0" w:type="auto"/>
        <w:shd w:val="clear" w:color="auto" w:fill="FAFAFA"/>
        <w:tblCellMar>
          <w:left w:w="0" w:type="dxa"/>
          <w:right w:w="0" w:type="dxa"/>
        </w:tblCellMar>
        <w:tblLook w:val="04A0"/>
      </w:tblPr>
      <w:tblGrid>
        <w:gridCol w:w="3528"/>
        <w:gridCol w:w="676"/>
      </w:tblGrid>
      <w:tr w:rsidR="004E1F46" w:rsidRPr="004E1F46" w:rsidTr="004E1F46">
        <w:trPr>
          <w:gridAfter w:val="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0" w:type="dxa"/>
              <w:left w:w="251" w:type="dxa"/>
              <w:bottom w:w="0" w:type="dxa"/>
              <w:right w:w="419" w:type="dxa"/>
            </w:tcMar>
            <w:vAlign w:val="bottom"/>
            <w:hideMark/>
          </w:tcPr>
          <w:p w:rsidR="009B19F5" w:rsidRDefault="009B19F5">
            <w:r>
              <w:t>SNP 1455/22</w:t>
            </w:r>
          </w:p>
          <w:tbl>
            <w:tblPr>
              <w:tblW w:w="0" w:type="auto"/>
              <w:shd w:val="clear" w:color="auto" w:fill="FAFAFA"/>
              <w:tblCellMar>
                <w:left w:w="0" w:type="dxa"/>
                <w:right w:w="0" w:type="dxa"/>
              </w:tblCellMar>
              <w:tblLook w:val="04A0"/>
            </w:tblPr>
            <w:tblGrid>
              <w:gridCol w:w="945"/>
              <w:gridCol w:w="1913"/>
            </w:tblGrid>
            <w:tr w:rsidR="004E1F46" w:rsidRPr="004E1F46" w:rsidTr="004E1F46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AFAFA"/>
                  <w:tcMar>
                    <w:top w:w="0" w:type="dxa"/>
                    <w:left w:w="225" w:type="dxa"/>
                    <w:bottom w:w="0" w:type="dxa"/>
                    <w:right w:w="375" w:type="dxa"/>
                  </w:tcMar>
                  <w:vAlign w:val="bottom"/>
                  <w:hideMark/>
                </w:tcPr>
                <w:p w:rsidR="004E1F46" w:rsidRPr="004E1F46" w:rsidRDefault="004E1F46" w:rsidP="004E1F46">
                  <w:pPr>
                    <w:spacing w:after="0" w:line="240" w:lineRule="auto"/>
                    <w:rPr>
                      <w:rFonts w:ascii="inherit" w:eastAsia="Times New Roman" w:hAnsi="inherit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E1F46">
                    <w:rPr>
                      <w:rFonts w:ascii="inherit" w:eastAsia="Times New Roman" w:hAnsi="inherit" w:cs="Arial"/>
                      <w:color w:val="000000"/>
                      <w:sz w:val="20"/>
                      <w:szCs w:val="20"/>
                      <w:bdr w:val="none" w:sz="0" w:space="0" w:color="auto" w:frame="1"/>
                      <w:lang w:eastAsia="sk-SK"/>
                    </w:rPr>
                    <w:t>DIČ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AFAFA"/>
                  <w:tcMar>
                    <w:top w:w="0" w:type="dxa"/>
                    <w:left w:w="225" w:type="dxa"/>
                    <w:bottom w:w="0" w:type="dxa"/>
                    <w:right w:w="375" w:type="dxa"/>
                  </w:tcMar>
                  <w:vAlign w:val="bottom"/>
                  <w:hideMark/>
                </w:tcPr>
                <w:p w:rsidR="004E1F46" w:rsidRPr="004E1F46" w:rsidRDefault="009B19F5" w:rsidP="004E1F46">
                  <w:pPr>
                    <w:spacing w:after="0" w:line="240" w:lineRule="auto"/>
                    <w:textAlignment w:val="baseline"/>
                    <w:outlineLvl w:val="5"/>
                    <w:rPr>
                      <w:rFonts w:ascii="inherit" w:eastAsia="Times New Roman" w:hAnsi="inherit" w:cs="Arial"/>
                      <w:b/>
                      <w:bCs/>
                      <w:color w:val="000000"/>
                      <w:sz w:val="25"/>
                      <w:szCs w:val="25"/>
                      <w:lang w:eastAsia="sk-SK"/>
                    </w:rPr>
                  </w:pPr>
                  <w:r>
                    <w:rPr>
                      <w:rFonts w:ascii="inherit" w:eastAsia="Times New Roman" w:hAnsi="inherit" w:cs="Arial"/>
                      <w:b/>
                      <w:bCs/>
                      <w:color w:val="000000"/>
                      <w:sz w:val="25"/>
                      <w:szCs w:val="25"/>
                      <w:lang w:eastAsia="sk-SK"/>
                    </w:rPr>
                    <w:t>2023790109</w:t>
                  </w:r>
                  <w:r w:rsidR="004E1F46" w:rsidRPr="004E1F46">
                    <w:rPr>
                      <w:rFonts w:ascii="inherit" w:eastAsia="Times New Roman" w:hAnsi="inherit" w:cs="Arial"/>
                      <w:b/>
                      <w:bCs/>
                      <w:color w:val="000000"/>
                      <w:sz w:val="25"/>
                      <w:szCs w:val="25"/>
                      <w:lang w:eastAsia="sk-SK"/>
                    </w:rPr>
                    <w:t> </w:t>
                  </w:r>
                </w:p>
              </w:tc>
            </w:tr>
            <w:tr w:rsidR="004E1F46" w:rsidRPr="004E1F46" w:rsidTr="004E1F46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AFAFA"/>
                  <w:tcMar>
                    <w:top w:w="0" w:type="dxa"/>
                    <w:left w:w="225" w:type="dxa"/>
                    <w:bottom w:w="0" w:type="dxa"/>
                    <w:right w:w="375" w:type="dxa"/>
                  </w:tcMar>
                  <w:vAlign w:val="bottom"/>
                  <w:hideMark/>
                </w:tcPr>
                <w:p w:rsidR="004E1F46" w:rsidRPr="004E1F46" w:rsidRDefault="004E1F46" w:rsidP="004E1F46">
                  <w:pPr>
                    <w:spacing w:after="0" w:line="240" w:lineRule="auto"/>
                    <w:rPr>
                      <w:rFonts w:ascii="inherit" w:eastAsia="Times New Roman" w:hAnsi="inherit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E1F46">
                    <w:rPr>
                      <w:rFonts w:ascii="inherit" w:eastAsia="Times New Roman" w:hAnsi="inherit" w:cs="Arial"/>
                      <w:color w:val="000000"/>
                      <w:sz w:val="20"/>
                      <w:szCs w:val="20"/>
                      <w:bdr w:val="none" w:sz="0" w:space="0" w:color="auto" w:frame="1"/>
                      <w:lang w:eastAsia="sk-SK"/>
                    </w:rPr>
                    <w:t>IČO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AFAFA"/>
                  <w:tcMar>
                    <w:top w:w="0" w:type="dxa"/>
                    <w:left w:w="225" w:type="dxa"/>
                    <w:bottom w:w="0" w:type="dxa"/>
                    <w:right w:w="375" w:type="dxa"/>
                  </w:tcMar>
                  <w:vAlign w:val="bottom"/>
                  <w:hideMark/>
                </w:tcPr>
                <w:p w:rsidR="004E1F46" w:rsidRPr="004E1F46" w:rsidRDefault="009B19F5" w:rsidP="004E1F46">
                  <w:pPr>
                    <w:spacing w:after="0" w:line="240" w:lineRule="auto"/>
                    <w:textAlignment w:val="baseline"/>
                    <w:outlineLvl w:val="5"/>
                    <w:rPr>
                      <w:rFonts w:ascii="inherit" w:eastAsia="Times New Roman" w:hAnsi="inherit" w:cs="Arial"/>
                      <w:b/>
                      <w:bCs/>
                      <w:color w:val="000000"/>
                      <w:sz w:val="25"/>
                      <w:szCs w:val="25"/>
                      <w:lang w:eastAsia="sk-SK"/>
                    </w:rPr>
                  </w:pPr>
                  <w:r>
                    <w:rPr>
                      <w:rFonts w:ascii="inherit" w:eastAsia="Times New Roman" w:hAnsi="inherit" w:cs="Arial"/>
                      <w:b/>
                      <w:bCs/>
                      <w:color w:val="000000"/>
                      <w:sz w:val="25"/>
                      <w:szCs w:val="25"/>
                      <w:lang w:eastAsia="sk-SK"/>
                    </w:rPr>
                    <w:t>47166461</w:t>
                  </w:r>
                  <w:r w:rsidR="004E1F46" w:rsidRPr="004E1F46">
                    <w:rPr>
                      <w:rFonts w:ascii="inherit" w:eastAsia="Times New Roman" w:hAnsi="inherit" w:cs="Arial"/>
                      <w:b/>
                      <w:bCs/>
                      <w:color w:val="000000"/>
                      <w:sz w:val="25"/>
                      <w:szCs w:val="25"/>
                      <w:lang w:eastAsia="sk-SK"/>
                    </w:rPr>
                    <w:t> </w:t>
                  </w:r>
                </w:p>
              </w:tc>
            </w:tr>
          </w:tbl>
          <w:p w:rsidR="004E1F46" w:rsidRPr="004E1F46" w:rsidRDefault="004E1F46" w:rsidP="004E1F46">
            <w:pPr>
              <w:spacing w:after="0" w:line="240" w:lineRule="auto"/>
              <w:textAlignment w:val="baseline"/>
              <w:outlineLvl w:val="5"/>
              <w:rPr>
                <w:rFonts w:ascii="inherit" w:eastAsia="Times New Roman" w:hAnsi="inherit" w:cs="Arial"/>
                <w:b/>
                <w:bCs/>
                <w:color w:val="000000"/>
                <w:sz w:val="27"/>
                <w:szCs w:val="27"/>
                <w:lang w:eastAsia="sk-SK"/>
              </w:rPr>
            </w:pPr>
          </w:p>
        </w:tc>
      </w:tr>
      <w:tr w:rsidR="004E1F46" w:rsidRPr="004E1F46" w:rsidTr="004E1F46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0" w:type="dxa"/>
              <w:left w:w="251" w:type="dxa"/>
              <w:bottom w:w="0" w:type="dxa"/>
              <w:right w:w="419" w:type="dxa"/>
            </w:tcMar>
            <w:vAlign w:val="bottom"/>
            <w:hideMark/>
          </w:tcPr>
          <w:p w:rsidR="004E1F46" w:rsidRPr="004E1F46" w:rsidRDefault="004E1F46" w:rsidP="004E1F46">
            <w:pPr>
              <w:spacing w:after="0" w:line="240" w:lineRule="auto"/>
              <w:rPr>
                <w:rFonts w:ascii="inherit" w:eastAsia="Times New Roman" w:hAnsi="inherit" w:cs="Arial"/>
                <w:color w:val="00000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0" w:type="dxa"/>
              <w:left w:w="251" w:type="dxa"/>
              <w:bottom w:w="0" w:type="dxa"/>
              <w:right w:w="419" w:type="dxa"/>
            </w:tcMar>
            <w:vAlign w:val="bottom"/>
            <w:hideMark/>
          </w:tcPr>
          <w:p w:rsidR="004E1F46" w:rsidRPr="004E1F46" w:rsidRDefault="004E1F46" w:rsidP="004E1F46">
            <w:pPr>
              <w:spacing w:after="0" w:line="240" w:lineRule="auto"/>
              <w:textAlignment w:val="baseline"/>
              <w:outlineLvl w:val="5"/>
              <w:rPr>
                <w:rFonts w:ascii="inherit" w:eastAsia="Times New Roman" w:hAnsi="inherit" w:cs="Arial"/>
                <w:b/>
                <w:bCs/>
                <w:color w:val="000000"/>
                <w:sz w:val="27"/>
                <w:szCs w:val="27"/>
                <w:lang w:eastAsia="sk-SK"/>
              </w:rPr>
            </w:pPr>
          </w:p>
        </w:tc>
      </w:tr>
    </w:tbl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 xml:space="preserve">Obchodné meno účtovnej jednotky: </w:t>
      </w:r>
      <w:proofErr w:type="spellStart"/>
      <w:r w:rsidR="009B19F5">
        <w:rPr>
          <w:rFonts w:ascii="Arial" w:hAnsi="Arial" w:cs="Arial"/>
          <w:b/>
          <w:bCs/>
          <w:color w:val="464242"/>
          <w:bdr w:val="none" w:sz="0" w:space="0" w:color="auto" w:frame="1"/>
          <w:shd w:val="clear" w:color="auto" w:fill="FAFAFA"/>
        </w:rPr>
        <w:t>Mizumal</w:t>
      </w:r>
      <w:proofErr w:type="spellEnd"/>
      <w:r w:rsidR="009B19F5">
        <w:rPr>
          <w:rFonts w:ascii="Arial" w:hAnsi="Arial" w:cs="Arial"/>
          <w:b/>
          <w:bCs/>
          <w:color w:val="464242"/>
          <w:bdr w:val="none" w:sz="0" w:space="0" w:color="auto" w:frame="1"/>
          <w:shd w:val="clear" w:color="auto" w:fill="FAFAFA"/>
        </w:rPr>
        <w:t>, s.r.o.</w:t>
      </w:r>
      <w:r>
        <w:rPr>
          <w:rFonts w:ascii="Arial" w:hAnsi="Arial" w:cs="Arial"/>
          <w:b/>
          <w:bCs/>
          <w:color w:val="000000"/>
          <w:shd w:val="clear" w:color="auto" w:fill="FAFAFA"/>
        </w:rPr>
        <w:t> 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Opis hospodárskej činnosti v nadväznosti na predmet podnikania chov koni a </w:t>
      </w:r>
      <w:proofErr w:type="spellStart"/>
      <w:r>
        <w:rPr>
          <w:rFonts w:ascii="Arial" w:hAnsi="Arial" w:cs="Arial"/>
          <w:sz w:val="13"/>
          <w:szCs w:val="13"/>
        </w:rPr>
        <w:t>inych</w:t>
      </w:r>
      <w:proofErr w:type="spellEnd"/>
      <w:r>
        <w:rPr>
          <w:rFonts w:ascii="Arial" w:hAnsi="Arial" w:cs="Arial"/>
          <w:sz w:val="13"/>
          <w:szCs w:val="13"/>
        </w:rPr>
        <w:t xml:space="preserve"> </w:t>
      </w:r>
      <w:proofErr w:type="spellStart"/>
      <w:r>
        <w:rPr>
          <w:rFonts w:ascii="Arial" w:hAnsi="Arial" w:cs="Arial"/>
          <w:sz w:val="13"/>
          <w:szCs w:val="13"/>
        </w:rPr>
        <w:t>konovitých</w:t>
      </w:r>
      <w:proofErr w:type="spellEnd"/>
      <w:r>
        <w:rPr>
          <w:rFonts w:ascii="Arial" w:hAnsi="Arial" w:cs="Arial"/>
          <w:sz w:val="13"/>
          <w:szCs w:val="13"/>
        </w:rPr>
        <w:t xml:space="preserve"> zvierat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Výskum a vývoj v oblasti prírodných a technických vied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Vykonávanie mimoškolskej vzdelávacej činnosti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 xml:space="preserve">Výroba meracích, kontrolovaných, navigačných, </w:t>
      </w:r>
      <w:proofErr w:type="spellStart"/>
      <w:r>
        <w:rPr>
          <w:rFonts w:ascii="Arial" w:hAnsi="Arial" w:cs="Arial"/>
          <w:sz w:val="13"/>
          <w:szCs w:val="13"/>
        </w:rPr>
        <w:t>testovaích</w:t>
      </w:r>
      <w:proofErr w:type="spellEnd"/>
      <w:r>
        <w:rPr>
          <w:rFonts w:ascii="Arial" w:hAnsi="Arial" w:cs="Arial"/>
          <w:sz w:val="13"/>
          <w:szCs w:val="13"/>
        </w:rPr>
        <w:t>, optických a fotografických prístrojov a zariadení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 (5)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Priemerný počet zamestnancov počas účtovného obdobia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Názov položky Bežné účtovné obdobie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Bezprostredne predchádzajúce účtovné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obdobie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Priemerný prepočítaný počet zamestnancov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Stav zamestnancov ku dňu, ku ktorému sa zostavuje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účtovná závierka, z toho: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Počet vedúcich zamestnancov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 (2) (3) Dátum schválenia účtovnej závierky a právny dôvod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CE" w:hAnsi="ArialCE" w:cs="ArialCE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 (2) Dátum schválenia účtovnej zá</w:t>
      </w:r>
      <w:r w:rsidR="009B19F5">
        <w:rPr>
          <w:rFonts w:ascii="Arial" w:hAnsi="Arial" w:cs="Arial"/>
          <w:sz w:val="13"/>
          <w:szCs w:val="13"/>
        </w:rPr>
        <w:t xml:space="preserve">vierky </w:t>
      </w:r>
      <w:r>
        <w:rPr>
          <w:rFonts w:ascii="Arial" w:hAnsi="Arial" w:cs="Arial"/>
          <w:sz w:val="13"/>
          <w:szCs w:val="13"/>
        </w:rPr>
        <w:t xml:space="preserve">: </w:t>
      </w:r>
      <w:r w:rsidR="009B19F5">
        <w:rPr>
          <w:rFonts w:ascii="ArialCE" w:hAnsi="ArialCE" w:cs="ArialCE"/>
          <w:sz w:val="13"/>
          <w:szCs w:val="13"/>
        </w:rPr>
        <w:t>30.06.2018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 (3) Právny dôvod na zostavenie účtovnej závierky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,Bold" w:hAnsi="Arial,Bold" w:cs="Arial,Bold"/>
          <w:b/>
          <w:bCs/>
          <w:sz w:val="12"/>
          <w:szCs w:val="12"/>
        </w:rPr>
        <w:t xml:space="preserve">x </w:t>
      </w:r>
      <w:r>
        <w:rPr>
          <w:rFonts w:ascii="Arial" w:hAnsi="Arial" w:cs="Arial"/>
          <w:sz w:val="13"/>
          <w:szCs w:val="13"/>
        </w:rPr>
        <w:t>riadna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III Informácie o prijatých postupoch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III (1) Nepretržité pokračovanie účtovnej jednotky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III (1) Účtovná jednotka bude nepretržite pokračovať vo svojej činnosti: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,Bold" w:hAnsi="Arial,Bold" w:cs="Arial,Bold"/>
          <w:b/>
          <w:bCs/>
          <w:sz w:val="12"/>
          <w:szCs w:val="12"/>
        </w:rPr>
        <w:t xml:space="preserve">x </w:t>
      </w:r>
      <w:r>
        <w:rPr>
          <w:rFonts w:ascii="Arial" w:hAnsi="Arial" w:cs="Arial"/>
          <w:sz w:val="13"/>
          <w:szCs w:val="13"/>
        </w:rPr>
        <w:t>Áno Nie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III (4) Spôsob a určenie ocenenia majetku a záväzkov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III (4) a) Spôsob oceňovania majetku a záväzkov - obstarávacia cena, vlastné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náklady, menovitá hodnota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III (4) a) Spôsob oceňovania majetku a záväzkov - obstarávacia cena, vlastné náklady, menovitá hodnota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Ocenenie majetku a záväzkov ÚJ má náplň (x) Poznámka k oceneniu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Obstarávacou cenou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1. Hmotný majetok s výnimkou hmotného majetku vytvoreného vlastnou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činnosťou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2. Zásoby s výnimkou zásob vytvorených vlastnou činnosťou x obstarávacia cena vrátane nákladov súvisiacich s obstaraním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3. Podiely na základnom imaní obchodných spoločností, deriváty a cenné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papiere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4. Pohľadávky pri odplatnom nadobudnutí alebo pohľadávky nadobudnuté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vkladom do ZI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5. Nehmotný majetok s výnimkou nehmotného majetku vytvoreného vlastnou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činnosťou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6. Záväzky pri ich prevzatí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Vlastnými nákladmi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1. Hmotný majetok vytvorený vlastnou činnosťou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2. Zásoby vytvorené vlastnou činnosťou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3. Nehmotný majetok vytvorený vlastnou činnosťou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4. Príchovky a prírastky zvierat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Menovitou hodnotou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1. Peňažné prostriedky a ceniny x menovitá hodnota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2. Pohľadávky pri ich vzniku x menovitá hodnota</w:t>
      </w:r>
    </w:p>
    <w:p w:rsidR="00EE57D1" w:rsidRDefault="004E1F46" w:rsidP="004E1F46">
      <w:r>
        <w:rPr>
          <w:rFonts w:ascii="Arial" w:hAnsi="Arial" w:cs="Arial"/>
          <w:sz w:val="11"/>
          <w:szCs w:val="11"/>
        </w:rPr>
        <w:t>3. Záväzky pri ich vzniku x menovitá hodnota</w:t>
      </w:r>
    </w:p>
    <w:sectPr w:rsidR="00EE57D1" w:rsidSect="00BD02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CE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E1F46"/>
    <w:rsid w:val="004E1F46"/>
    <w:rsid w:val="004F5839"/>
    <w:rsid w:val="00905ADC"/>
    <w:rsid w:val="009B19F5"/>
    <w:rsid w:val="009C31D5"/>
    <w:rsid w:val="00BD02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02F3"/>
  </w:style>
  <w:style w:type="paragraph" w:styleId="Nadpis6">
    <w:name w:val="heading 6"/>
    <w:basedOn w:val="Normlny"/>
    <w:link w:val="Nadpis6Char"/>
    <w:uiPriority w:val="9"/>
    <w:qFormat/>
    <w:rsid w:val="004E1F46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4E1F46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337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352</Words>
  <Characters>2007</Characters>
  <Application>Microsoft Office Word</Application>
  <DocSecurity>0</DocSecurity>
  <Lines>16</Lines>
  <Paragraphs>4</Paragraphs>
  <ScaleCrop>false</ScaleCrop>
  <Company/>
  <LinksUpToDate>false</LinksUpToDate>
  <CharactersWithSpaces>2355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Minea</dc:creator>
  <cp:lastModifiedBy>Minea</cp:lastModifiedBy>
  <cp:revision>2</cp:revision>
  <dcterms:created xsi:type="dcterms:W3CDTF">2018-07-02T18:30:00Z</dcterms:created>
  <dcterms:modified xsi:type="dcterms:W3CDTF">2018-07-02T18:30:00Z</dcterms:modified>
</cp:coreProperties>
</file>