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0319" w:rsidRDefault="00E70319" w:rsidP="00C81150">
      <w:pPr>
        <w:rPr>
          <w:u w:val="single"/>
        </w:rPr>
      </w:pPr>
    </w:p>
    <w:p w:rsidR="00C81150" w:rsidRPr="00CF12BA" w:rsidRDefault="00C81150" w:rsidP="00C81150">
      <w:pPr>
        <w:rPr>
          <w:u w:val="single"/>
        </w:rPr>
      </w:pPr>
      <w:r w:rsidRPr="00CF12BA">
        <w:rPr>
          <w:u w:val="single"/>
        </w:rPr>
        <w:t>Poznámka:</w:t>
      </w:r>
    </w:p>
    <w:p w:rsidR="00C81150" w:rsidRPr="00CF12BA" w:rsidRDefault="00C81150" w:rsidP="00C81150">
      <w:pPr>
        <w:rPr>
          <w:snapToGrid w:val="0"/>
          <w:sz w:val="14"/>
          <w:szCs w:val="14"/>
          <w:lang w:eastAsia="sk-SK"/>
        </w:rPr>
      </w:pPr>
    </w:p>
    <w:p w:rsidR="00C81150" w:rsidRPr="00CF12BA" w:rsidRDefault="00615A60" w:rsidP="00C81150">
      <w:pPr>
        <w:rPr>
          <w:snapToGrid w:val="0"/>
          <w:lang w:eastAsia="sk-SK"/>
        </w:rPr>
      </w:pPr>
      <w:r w:rsidRPr="00CF12BA">
        <w:rPr>
          <w:snapToGrid w:val="0"/>
          <w:lang w:eastAsia="sk-SK"/>
        </w:rPr>
        <w:t xml:space="preserve">V poznámkach sa uvádzajú informácie ustanovené </w:t>
      </w:r>
      <w:r w:rsidR="00F875F2" w:rsidRPr="00CF12BA">
        <w:rPr>
          <w:snapToGrid w:val="0"/>
          <w:lang w:eastAsia="sk-SK"/>
        </w:rPr>
        <w:t>opatrením o</w:t>
      </w:r>
      <w:r w:rsidR="004B7838" w:rsidRPr="00CF12BA">
        <w:rPr>
          <w:snapToGrid w:val="0"/>
          <w:lang w:eastAsia="sk-SK"/>
        </w:rPr>
        <w:t> </w:t>
      </w:r>
      <w:r w:rsidR="00F875F2" w:rsidRPr="00CF12BA">
        <w:rPr>
          <w:snapToGrid w:val="0"/>
          <w:lang w:eastAsia="sk-SK"/>
        </w:rPr>
        <w:t>obsahu</w:t>
      </w:r>
      <w:r w:rsidR="004B7838" w:rsidRPr="00CF12BA">
        <w:rPr>
          <w:snapToGrid w:val="0"/>
          <w:lang w:eastAsia="sk-SK"/>
        </w:rPr>
        <w:t xml:space="preserve"> poznámok k</w:t>
      </w:r>
      <w:r w:rsidR="00F875F2" w:rsidRPr="00CF12BA">
        <w:rPr>
          <w:snapToGrid w:val="0"/>
          <w:lang w:eastAsia="sk-SK"/>
        </w:rPr>
        <w:t xml:space="preserve"> individuáln</w:t>
      </w:r>
      <w:r w:rsidR="004B7838" w:rsidRPr="00CF12BA">
        <w:rPr>
          <w:snapToGrid w:val="0"/>
          <w:lang w:eastAsia="sk-SK"/>
        </w:rPr>
        <w:t>ej</w:t>
      </w:r>
      <w:r w:rsidR="00F875F2" w:rsidRPr="00CF12BA">
        <w:rPr>
          <w:snapToGrid w:val="0"/>
          <w:lang w:eastAsia="sk-SK"/>
        </w:rPr>
        <w:t xml:space="preserve"> účtovn</w:t>
      </w:r>
      <w:r w:rsidR="004B7838" w:rsidRPr="00CF12BA">
        <w:rPr>
          <w:snapToGrid w:val="0"/>
          <w:lang w:eastAsia="sk-SK"/>
        </w:rPr>
        <w:t>ej závierke</w:t>
      </w:r>
      <w:r w:rsidR="00F875F2" w:rsidRPr="00CF12BA">
        <w:rPr>
          <w:snapToGrid w:val="0"/>
          <w:lang w:eastAsia="sk-SK"/>
        </w:rPr>
        <w:t>, pre ktoré má účtovná jednotka obsahovú náplň</w:t>
      </w:r>
      <w:r w:rsidRPr="00CF12BA">
        <w:rPr>
          <w:snapToGrid w:val="0"/>
          <w:lang w:eastAsia="sk-SK"/>
        </w:rPr>
        <w:t>.</w:t>
      </w:r>
      <w:r w:rsidR="00C81150" w:rsidRPr="00CF12BA">
        <w:rPr>
          <w:snapToGrid w:val="0"/>
          <w:lang w:eastAsia="sk-SK"/>
        </w:rPr>
        <w:t>Všetky údaje a informácie uvedené v týchto poznámkach vychádzajú z účtovníctva a nadväzujú na</w:t>
      </w:r>
      <w:r w:rsidR="004B7838" w:rsidRPr="00CF12BA">
        <w:rPr>
          <w:snapToGrid w:val="0"/>
          <w:lang w:eastAsia="sk-SK"/>
        </w:rPr>
        <w:t xml:space="preserve"> individ</w:t>
      </w:r>
      <w:r w:rsidR="00837CD1" w:rsidRPr="00CF12BA">
        <w:rPr>
          <w:snapToGrid w:val="0"/>
          <w:lang w:eastAsia="sk-SK"/>
        </w:rPr>
        <w:t>u</w:t>
      </w:r>
      <w:r w:rsidR="004B7838" w:rsidRPr="00CF12BA">
        <w:rPr>
          <w:snapToGrid w:val="0"/>
          <w:lang w:eastAsia="sk-SK"/>
        </w:rPr>
        <w:t>álne</w:t>
      </w:r>
      <w:r w:rsidR="00C81150" w:rsidRPr="00CF12BA">
        <w:rPr>
          <w:snapToGrid w:val="0"/>
          <w:lang w:eastAsia="sk-SK"/>
        </w:rPr>
        <w:t> účtovné výkazy. Hodnotové údaje sú uvedené v</w:t>
      </w:r>
      <w:r w:rsidR="00F875F2" w:rsidRPr="00CF12BA">
        <w:rPr>
          <w:snapToGrid w:val="0"/>
          <w:lang w:eastAsia="sk-SK"/>
        </w:rPr>
        <w:t xml:space="preserve"> celých </w:t>
      </w:r>
      <w:r w:rsidR="00BE09FD" w:rsidRPr="00CF12BA">
        <w:rPr>
          <w:snapToGrid w:val="0"/>
          <w:lang w:eastAsia="sk-SK"/>
        </w:rPr>
        <w:t>eur</w:t>
      </w:r>
      <w:r w:rsidR="00950360" w:rsidRPr="00CF12BA">
        <w:rPr>
          <w:snapToGrid w:val="0"/>
          <w:lang w:eastAsia="sk-SK"/>
        </w:rPr>
        <w:t>ách</w:t>
      </w:r>
      <w:r w:rsidR="003D0811" w:rsidRPr="00CF12BA">
        <w:rPr>
          <w:snapToGrid w:val="0"/>
          <w:lang w:eastAsia="sk-SK"/>
        </w:rPr>
        <w:t xml:space="preserve"> (pokiaľ nie je uvedené inak).</w:t>
      </w:r>
    </w:p>
    <w:p w:rsidR="00C81150" w:rsidRPr="00CF12BA" w:rsidRDefault="00C81150" w:rsidP="00C81150">
      <w:pPr>
        <w:rPr>
          <w:snapToGrid w:val="0"/>
          <w:sz w:val="14"/>
          <w:szCs w:val="14"/>
          <w:lang w:eastAsia="sk-SK"/>
        </w:rPr>
      </w:pPr>
    </w:p>
    <w:p w:rsidR="00C81150" w:rsidRPr="00CF12BA" w:rsidRDefault="00C81150" w:rsidP="00C81150">
      <w:pPr>
        <w:rPr>
          <w:sz w:val="14"/>
          <w:szCs w:val="14"/>
        </w:rPr>
      </w:pPr>
    </w:p>
    <w:p w:rsidR="00C81150" w:rsidRPr="00CF12BA" w:rsidRDefault="00C81150" w:rsidP="00D41691">
      <w:pPr>
        <w:pStyle w:val="Nadpis1"/>
      </w:pPr>
      <w:r w:rsidRPr="00CF12BA">
        <w:t>VŠEOBECNÉ INFORMÁCIE</w:t>
      </w:r>
    </w:p>
    <w:p w:rsidR="00C81150" w:rsidRPr="00CF12BA" w:rsidRDefault="00C81150" w:rsidP="00C81150">
      <w:pPr>
        <w:rPr>
          <w:b/>
          <w:snapToGrid w:val="0"/>
          <w:sz w:val="14"/>
          <w:szCs w:val="14"/>
          <w:u w:val="single"/>
          <w:lang w:eastAsia="sk-SK"/>
        </w:rPr>
      </w:pPr>
    </w:p>
    <w:p w:rsidR="00C81150" w:rsidRPr="00CF12BA" w:rsidRDefault="00C81150" w:rsidP="001871D1">
      <w:pPr>
        <w:pStyle w:val="Nadpis2"/>
        <w:numPr>
          <w:ilvl w:val="1"/>
          <w:numId w:val="16"/>
        </w:numPr>
      </w:pPr>
      <w:r w:rsidRPr="00CF12BA">
        <w:t>Základné údaje o spoločnosti</w:t>
      </w:r>
    </w:p>
    <w:p w:rsidR="00C81150" w:rsidRPr="00CF12BA"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442F90" w:rsidRPr="00CF12BA" w:rsidTr="00442F90">
        <w:tc>
          <w:tcPr>
            <w:tcW w:w="3969" w:type="dxa"/>
            <w:tcBorders>
              <w:top w:val="single" w:sz="8" w:space="0" w:color="auto"/>
              <w:bottom w:val="dotted" w:sz="4" w:space="0" w:color="auto"/>
            </w:tcBorders>
          </w:tcPr>
          <w:p w:rsidR="00442F90" w:rsidRPr="00CF12BA" w:rsidRDefault="00442F90" w:rsidP="00442F90">
            <w:pPr>
              <w:rPr>
                <w:b/>
                <w:sz w:val="15"/>
                <w:szCs w:val="15"/>
              </w:rPr>
            </w:pPr>
            <w:r w:rsidRPr="00CF12BA">
              <w:rPr>
                <w:b/>
                <w:sz w:val="15"/>
                <w:szCs w:val="15"/>
              </w:rPr>
              <w:t>Obchodné meno a sídlo</w:t>
            </w:r>
          </w:p>
        </w:tc>
        <w:tc>
          <w:tcPr>
            <w:tcW w:w="5103" w:type="dxa"/>
            <w:tcBorders>
              <w:top w:val="single" w:sz="8" w:space="0" w:color="auto"/>
              <w:bottom w:val="dotted" w:sz="4" w:space="0" w:color="auto"/>
            </w:tcBorders>
          </w:tcPr>
          <w:p w:rsidR="00442F90" w:rsidRPr="00CF12BA" w:rsidRDefault="00FC62B4" w:rsidP="00442F90">
            <w:pPr>
              <w:rPr>
                <w:sz w:val="15"/>
                <w:szCs w:val="15"/>
              </w:rPr>
            </w:pPr>
            <w:r>
              <w:rPr>
                <w:sz w:val="15"/>
                <w:szCs w:val="15"/>
              </w:rPr>
              <w:t>LENET</w:t>
            </w:r>
            <w:r w:rsidR="009D030F">
              <w:rPr>
                <w:sz w:val="15"/>
                <w:szCs w:val="15"/>
              </w:rPr>
              <w:t>,</w:t>
            </w:r>
            <w:r w:rsidR="00442F90" w:rsidRPr="00CF12BA">
              <w:rPr>
                <w:sz w:val="15"/>
                <w:szCs w:val="15"/>
              </w:rPr>
              <w:t xml:space="preserve"> spol. s r.o.</w:t>
            </w:r>
          </w:p>
          <w:p w:rsidR="00442F90" w:rsidRPr="00CF12BA" w:rsidRDefault="00FC62B4" w:rsidP="00442F90">
            <w:pPr>
              <w:rPr>
                <w:sz w:val="15"/>
                <w:szCs w:val="15"/>
              </w:rPr>
            </w:pPr>
            <w:r>
              <w:rPr>
                <w:sz w:val="15"/>
                <w:szCs w:val="15"/>
              </w:rPr>
              <w:t>Nevädzova 6G</w:t>
            </w:r>
          </w:p>
          <w:p w:rsidR="00442F90" w:rsidRPr="00CF12BA" w:rsidRDefault="00442F90" w:rsidP="00FC62B4">
            <w:pPr>
              <w:rPr>
                <w:snapToGrid w:val="0"/>
                <w:sz w:val="15"/>
                <w:szCs w:val="15"/>
                <w:lang w:eastAsia="sk-SK"/>
              </w:rPr>
            </w:pPr>
            <w:r w:rsidRPr="00CF12BA">
              <w:rPr>
                <w:sz w:val="15"/>
                <w:szCs w:val="15"/>
              </w:rPr>
              <w:t>Bratislava 8</w:t>
            </w:r>
            <w:r w:rsidR="00FC62B4">
              <w:rPr>
                <w:sz w:val="15"/>
                <w:szCs w:val="15"/>
              </w:rPr>
              <w:t>2</w:t>
            </w:r>
            <w:r w:rsidRPr="00CF12BA">
              <w:rPr>
                <w:sz w:val="15"/>
                <w:szCs w:val="15"/>
              </w:rPr>
              <w:t>1 0</w:t>
            </w:r>
            <w:r w:rsidR="00FC62B4">
              <w:rPr>
                <w:sz w:val="15"/>
                <w:szCs w:val="15"/>
              </w:rPr>
              <w:t>1</w:t>
            </w:r>
          </w:p>
        </w:tc>
      </w:tr>
      <w:tr w:rsidR="00442F90" w:rsidRPr="00CF12BA" w:rsidTr="00442F90">
        <w:tc>
          <w:tcPr>
            <w:tcW w:w="3969" w:type="dxa"/>
            <w:tcBorders>
              <w:top w:val="dotted" w:sz="4" w:space="0" w:color="auto"/>
            </w:tcBorders>
          </w:tcPr>
          <w:p w:rsidR="00442F90" w:rsidRPr="00CF12BA" w:rsidRDefault="00442F90" w:rsidP="00442F90">
            <w:pPr>
              <w:rPr>
                <w:b/>
                <w:sz w:val="15"/>
                <w:szCs w:val="15"/>
              </w:rPr>
            </w:pPr>
            <w:r w:rsidRPr="00CF12BA">
              <w:rPr>
                <w:b/>
                <w:sz w:val="15"/>
                <w:szCs w:val="15"/>
              </w:rPr>
              <w:t>Hospodárska činnosť</w:t>
            </w:r>
          </w:p>
        </w:tc>
        <w:tc>
          <w:tcPr>
            <w:tcW w:w="5103" w:type="dxa"/>
            <w:tcBorders>
              <w:top w:val="dotted" w:sz="4" w:space="0" w:color="auto"/>
            </w:tcBorders>
          </w:tcPr>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kúpa tovaru za účelom jeho ďalšieho predaja a predaj všetkých druhov tovaru, ktoré nevyžadujú špeciálne licencie,</w:t>
            </w:r>
          </w:p>
          <w:p w:rsidR="00442F90" w:rsidRPr="00FC62B4" w:rsidRDefault="00FC62B4" w:rsidP="00FC62B4">
            <w:pPr>
              <w:numPr>
                <w:ilvl w:val="0"/>
                <w:numId w:val="1"/>
              </w:numPr>
              <w:tabs>
                <w:tab w:val="clear" w:pos="720"/>
                <w:tab w:val="num" w:pos="318"/>
              </w:tabs>
              <w:ind w:left="318" w:hanging="284"/>
              <w:jc w:val="left"/>
              <w:rPr>
                <w:snapToGrid w:val="0"/>
                <w:sz w:val="15"/>
                <w:szCs w:val="15"/>
                <w:lang w:eastAsia="sk-SK"/>
              </w:rPr>
            </w:pPr>
            <w:r>
              <w:rPr>
                <w:snapToGrid w:val="0"/>
                <w:sz w:val="15"/>
                <w:szCs w:val="15"/>
                <w:lang w:eastAsia="sk-SK"/>
              </w:rPr>
              <w:t>reklamná a propagačná činnosť</w:t>
            </w:r>
            <w:r w:rsidR="00442F90" w:rsidRPr="00CF12BA">
              <w:rPr>
                <w:snapToGrid w:val="0"/>
                <w:sz w:val="15"/>
                <w:szCs w:val="15"/>
                <w:lang w:eastAsia="sk-SK"/>
              </w:rPr>
              <w:t>,</w:t>
            </w:r>
          </w:p>
        </w:tc>
      </w:tr>
    </w:tbl>
    <w:p w:rsidR="00C81150" w:rsidRPr="00CF12BA" w:rsidRDefault="00C81150"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Zamestnanci</w:t>
      </w:r>
    </w:p>
    <w:p w:rsidR="00550E39" w:rsidRPr="00CF12BA" w:rsidRDefault="00550E39" w:rsidP="00C81150">
      <w:pPr>
        <w:rPr>
          <w:snapToGrid w:val="0"/>
          <w:sz w:val="14"/>
          <w:szCs w:val="14"/>
          <w:lang w:eastAsia="sk-SK"/>
        </w:rPr>
      </w:pPr>
      <w:bookmarkStart w:id="0" w:name="T_number_of_employees"/>
    </w:p>
    <w:tbl>
      <w:tblPr>
        <w:tblW w:w="5000" w:type="pct"/>
        <w:tblCellMar>
          <w:left w:w="70" w:type="dxa"/>
          <w:right w:w="70" w:type="dxa"/>
        </w:tblCellMar>
        <w:tblLook w:val="04A0"/>
      </w:tblPr>
      <w:tblGrid>
        <w:gridCol w:w="6545"/>
        <w:gridCol w:w="1334"/>
        <w:gridCol w:w="1332"/>
      </w:tblGrid>
      <w:tr w:rsidR="00550E39" w:rsidRPr="00CF12BA" w:rsidTr="00F47687">
        <w:trPr>
          <w:trHeight w:val="195"/>
        </w:trPr>
        <w:tc>
          <w:tcPr>
            <w:tcW w:w="355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550E39">
            <w:pPr>
              <w:jc w:val="left"/>
              <w:rPr>
                <w:rFonts w:cs="Arial"/>
                <w:b/>
                <w:bCs/>
                <w:i/>
                <w:iCs/>
                <w:sz w:val="15"/>
                <w:szCs w:val="15"/>
                <w:lang w:eastAsia="sk-SK"/>
              </w:rPr>
            </w:pPr>
            <w:bookmarkStart w:id="1" w:name="RANGE!B8:D11"/>
            <w:r w:rsidRPr="00CF12BA">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A74D4F">
            <w:pPr>
              <w:jc w:val="center"/>
              <w:rPr>
                <w:rFonts w:cs="Arial"/>
                <w:b/>
                <w:bCs/>
                <w:i/>
                <w:iCs/>
                <w:sz w:val="15"/>
                <w:szCs w:val="15"/>
                <w:lang w:eastAsia="sk-SK"/>
              </w:rPr>
            </w:pPr>
            <w:r w:rsidRPr="00CF12BA">
              <w:rPr>
                <w:rFonts w:cs="Arial"/>
                <w:b/>
                <w:bCs/>
                <w:i/>
                <w:iCs/>
                <w:sz w:val="15"/>
                <w:szCs w:val="15"/>
                <w:lang w:eastAsia="sk-SK"/>
              </w:rPr>
              <w:t>201</w:t>
            </w:r>
            <w:r w:rsidR="00A74D4F">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A74D4F">
            <w:pPr>
              <w:jc w:val="center"/>
              <w:rPr>
                <w:rFonts w:cs="Arial"/>
                <w:b/>
                <w:bCs/>
                <w:i/>
                <w:iCs/>
                <w:sz w:val="15"/>
                <w:szCs w:val="15"/>
                <w:lang w:eastAsia="sk-SK"/>
              </w:rPr>
            </w:pPr>
            <w:r w:rsidRPr="00CF12BA">
              <w:rPr>
                <w:rFonts w:cs="Arial"/>
                <w:b/>
                <w:bCs/>
                <w:i/>
                <w:iCs/>
                <w:sz w:val="15"/>
                <w:szCs w:val="15"/>
                <w:lang w:eastAsia="sk-SK"/>
              </w:rPr>
              <w:t>201</w:t>
            </w:r>
            <w:r w:rsidR="00A74D4F">
              <w:rPr>
                <w:rFonts w:cs="Arial"/>
                <w:b/>
                <w:bCs/>
                <w:i/>
                <w:iCs/>
                <w:sz w:val="15"/>
                <w:szCs w:val="15"/>
                <w:lang w:eastAsia="sk-SK"/>
              </w:rPr>
              <w:t>6</w:t>
            </w:r>
          </w:p>
        </w:tc>
      </w:tr>
      <w:tr w:rsidR="005D67E2" w:rsidRPr="00CF12BA" w:rsidTr="00F47687">
        <w:trPr>
          <w:trHeight w:val="195"/>
        </w:trPr>
        <w:tc>
          <w:tcPr>
            <w:tcW w:w="3553" w:type="pct"/>
            <w:tcBorders>
              <w:top w:val="single" w:sz="4" w:space="0" w:color="auto"/>
              <w:left w:val="nil"/>
              <w:bottom w:val="single" w:sz="8" w:space="0" w:color="auto"/>
              <w:right w:val="nil"/>
            </w:tcBorders>
            <w:shd w:val="clear" w:color="auto" w:fill="auto"/>
            <w:vAlign w:val="center"/>
            <w:hideMark/>
          </w:tcPr>
          <w:p w:rsidR="005D67E2" w:rsidRPr="00CF12BA" w:rsidRDefault="005D67E2" w:rsidP="005D67E2">
            <w:pPr>
              <w:jc w:val="left"/>
              <w:rPr>
                <w:rFonts w:cs="Arial"/>
                <w:sz w:val="15"/>
                <w:szCs w:val="15"/>
                <w:lang w:eastAsia="sk-SK"/>
              </w:rPr>
            </w:pPr>
            <w:r w:rsidRPr="00CF12BA">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rsidR="005D67E2" w:rsidRPr="00CF12BA" w:rsidRDefault="00FC62B4" w:rsidP="0018303C">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8" w:space="0" w:color="auto"/>
              <w:right w:val="nil"/>
            </w:tcBorders>
            <w:shd w:val="clear" w:color="auto" w:fill="auto"/>
            <w:vAlign w:val="bottom"/>
            <w:hideMark/>
          </w:tcPr>
          <w:p w:rsidR="005D67E2" w:rsidRPr="00CF12BA" w:rsidRDefault="00FC62B4" w:rsidP="0018303C">
            <w:pPr>
              <w:jc w:val="center"/>
              <w:rPr>
                <w:rFonts w:cs="Arial"/>
                <w:sz w:val="15"/>
                <w:szCs w:val="15"/>
                <w:lang w:eastAsia="sk-SK"/>
              </w:rPr>
            </w:pPr>
            <w:r>
              <w:rPr>
                <w:rFonts w:cs="Arial"/>
                <w:sz w:val="15"/>
                <w:szCs w:val="15"/>
                <w:lang w:eastAsia="sk-SK"/>
              </w:rPr>
              <w:t>1</w:t>
            </w:r>
            <w:r w:rsidR="005D67E2" w:rsidRPr="00CF12BA">
              <w:rPr>
                <w:rFonts w:cs="Arial"/>
                <w:sz w:val="15"/>
                <w:szCs w:val="15"/>
                <w:lang w:eastAsia="sk-SK"/>
              </w:rPr>
              <w:t xml:space="preserve"> </w:t>
            </w:r>
          </w:p>
        </w:tc>
      </w:tr>
    </w:tbl>
    <w:p w:rsidR="00C81150" w:rsidRPr="00CF12BA" w:rsidRDefault="00C81150" w:rsidP="00C81150">
      <w:pPr>
        <w:rPr>
          <w:snapToGrid w:val="0"/>
          <w:sz w:val="14"/>
          <w:szCs w:val="14"/>
          <w:lang w:eastAsia="sk-SK"/>
        </w:rPr>
      </w:pPr>
    </w:p>
    <w:bookmarkEnd w:id="0"/>
    <w:p w:rsidR="0021576C" w:rsidRPr="00CF12BA" w:rsidRDefault="0021576C" w:rsidP="00C81150">
      <w:pPr>
        <w:rPr>
          <w:snapToGrid w:val="0"/>
          <w:sz w:val="14"/>
          <w:szCs w:val="14"/>
          <w:lang w:eastAsia="sk-SK"/>
        </w:rPr>
      </w:pPr>
    </w:p>
    <w:p w:rsidR="00C81150" w:rsidRPr="00CF12BA" w:rsidRDefault="00C81150" w:rsidP="00C81150">
      <w:pPr>
        <w:pStyle w:val="Nadpis2"/>
      </w:pPr>
      <w:r w:rsidRPr="00CF12BA">
        <w:t>Právny dôvod zostavenia účtovnej závierky</w:t>
      </w:r>
    </w:p>
    <w:p w:rsidR="00162043" w:rsidRPr="00CF12BA" w:rsidRDefault="00162043" w:rsidP="00C81150">
      <w:pPr>
        <w:rPr>
          <w:snapToGrid w:val="0"/>
          <w:sz w:val="14"/>
          <w:szCs w:val="14"/>
          <w:lang w:eastAsia="sk-SK"/>
        </w:rPr>
      </w:pPr>
    </w:p>
    <w:p w:rsidR="00C81150" w:rsidRPr="00CF12BA" w:rsidRDefault="00C81150" w:rsidP="00C81150">
      <w:pPr>
        <w:rPr>
          <w:snapToGrid w:val="0"/>
          <w:lang w:eastAsia="sk-SK"/>
        </w:rPr>
      </w:pPr>
      <w:r w:rsidRPr="00CF12BA">
        <w:rPr>
          <w:snapToGrid w:val="0"/>
          <w:lang w:eastAsia="sk-SK"/>
        </w:rPr>
        <w:t xml:space="preserve">Táto účtovná závierka je riadna individuálna účtovná závierka </w:t>
      </w:r>
      <w:r w:rsidR="00C27954" w:rsidRPr="00CF12BA">
        <w:rPr>
          <w:snapToGrid w:val="0"/>
          <w:lang w:eastAsia="sk-SK"/>
        </w:rPr>
        <w:t xml:space="preserve">spoločnosti </w:t>
      </w:r>
      <w:r w:rsidR="00FC62B4">
        <w:rPr>
          <w:snapToGrid w:val="0"/>
          <w:szCs w:val="17"/>
          <w:lang w:eastAsia="sk-SK"/>
        </w:rPr>
        <w:t>LENET</w:t>
      </w:r>
      <w:r w:rsidR="00442F90" w:rsidRPr="00CF12BA">
        <w:rPr>
          <w:snapToGrid w:val="0"/>
          <w:szCs w:val="17"/>
          <w:lang w:eastAsia="sk-SK"/>
        </w:rPr>
        <w:t xml:space="preserve"> </w:t>
      </w:r>
      <w:r w:rsidR="00CF12BA" w:rsidRPr="00CF12BA">
        <w:rPr>
          <w:snapToGrid w:val="0"/>
          <w:szCs w:val="17"/>
          <w:lang w:eastAsia="sk-SK"/>
        </w:rPr>
        <w:t>spol</w:t>
      </w:r>
      <w:r w:rsidR="00CF12BA">
        <w:rPr>
          <w:snapToGrid w:val="0"/>
          <w:szCs w:val="17"/>
          <w:lang w:eastAsia="sk-SK"/>
        </w:rPr>
        <w:t>.</w:t>
      </w:r>
      <w:r w:rsidR="00442F90" w:rsidRPr="00CF12BA">
        <w:rPr>
          <w:snapToGrid w:val="0"/>
          <w:szCs w:val="17"/>
          <w:lang w:eastAsia="sk-SK"/>
        </w:rPr>
        <w:t xml:space="preserve"> s r.o</w:t>
      </w:r>
      <w:r w:rsidRPr="00CF12BA">
        <w:rPr>
          <w:snapToGrid w:val="0"/>
          <w:lang w:eastAsia="sk-SK"/>
        </w:rPr>
        <w:t>.</w:t>
      </w:r>
      <w:r w:rsidR="00FC62B4">
        <w:rPr>
          <w:snapToGrid w:val="0"/>
          <w:lang w:eastAsia="sk-SK"/>
        </w:rPr>
        <w:t>.</w:t>
      </w:r>
      <w:r w:rsidRPr="00CF12BA">
        <w:rPr>
          <w:snapToGrid w:val="0"/>
          <w:lang w:eastAsia="sk-SK"/>
        </w:rPr>
        <w:t xml:space="preserve"> Bola zostavená za účtovné obdobie od 1. januára do 31. decembra </w:t>
      </w:r>
      <w:r w:rsidR="00F14CD1" w:rsidRPr="00CF12BA">
        <w:rPr>
          <w:snapToGrid w:val="0"/>
          <w:lang w:eastAsia="sk-SK"/>
        </w:rPr>
        <w:t>201</w:t>
      </w:r>
      <w:r w:rsidR="00342596">
        <w:rPr>
          <w:snapToGrid w:val="0"/>
          <w:lang w:eastAsia="sk-SK"/>
        </w:rPr>
        <w:t>6</w:t>
      </w:r>
      <w:r w:rsidR="0092451C">
        <w:rPr>
          <w:snapToGrid w:val="0"/>
          <w:lang w:eastAsia="sk-SK"/>
        </w:rPr>
        <w:t xml:space="preserve"> </w:t>
      </w:r>
      <w:r w:rsidRPr="00CF12BA">
        <w:rPr>
          <w:snapToGrid w:val="0"/>
          <w:lang w:eastAsia="sk-SK"/>
        </w:rPr>
        <w:t>podľa slovenských právnych predpisov, a to zákona o</w:t>
      </w:r>
      <w:r w:rsidRPr="00CF12BA">
        <w:t> </w:t>
      </w:r>
      <w:r w:rsidRPr="00CF12BA">
        <w:rPr>
          <w:snapToGrid w:val="0"/>
          <w:lang w:eastAsia="sk-SK"/>
        </w:rPr>
        <w:t xml:space="preserve">účtovníctve a postupov účtovania pre podnikateľov. </w:t>
      </w:r>
    </w:p>
    <w:p w:rsidR="00C81150" w:rsidRPr="00CF12BA" w:rsidRDefault="00C81150" w:rsidP="00C81150">
      <w:pPr>
        <w:rPr>
          <w:snapToGrid w:val="0"/>
          <w:sz w:val="14"/>
          <w:szCs w:val="14"/>
          <w:lang w:eastAsia="sk-SK"/>
        </w:rPr>
      </w:pPr>
    </w:p>
    <w:p w:rsidR="00416D85" w:rsidRPr="00CF12BA" w:rsidRDefault="00416D85" w:rsidP="00416D85">
      <w:r w:rsidRPr="00CF12B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CF12BA" w:rsidRDefault="00416D85"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Schválen</w:t>
      </w:r>
      <w:r w:rsidR="00AC79A3" w:rsidRPr="00CF12BA">
        <w:t xml:space="preserve">ie účtovnej závierky za rok </w:t>
      </w:r>
      <w:r w:rsidR="00F14CD1" w:rsidRPr="00CF12BA">
        <w:t>201</w:t>
      </w:r>
      <w:r w:rsidR="00A74D4F">
        <w:t>6</w:t>
      </w:r>
    </w:p>
    <w:p w:rsidR="00AC79A3" w:rsidRPr="00CF12BA" w:rsidRDefault="00AC79A3" w:rsidP="00AC79A3">
      <w:pPr>
        <w:rPr>
          <w:sz w:val="14"/>
          <w:szCs w:val="14"/>
          <w:lang w:eastAsia="sk-SK"/>
        </w:rPr>
      </w:pPr>
    </w:p>
    <w:p w:rsidR="00C81150" w:rsidRPr="00CF12BA" w:rsidRDefault="00442F90" w:rsidP="00C81150">
      <w:pPr>
        <w:rPr>
          <w:snapToGrid w:val="0"/>
          <w:szCs w:val="17"/>
          <w:lang w:eastAsia="sk-SK"/>
        </w:rPr>
      </w:pPr>
      <w:r w:rsidRPr="00CF12BA">
        <w:rPr>
          <w:snapToGrid w:val="0"/>
          <w:szCs w:val="17"/>
          <w:lang w:eastAsia="sk-SK"/>
        </w:rPr>
        <w:t xml:space="preserve">Účtovnú závierku spoločnosti </w:t>
      </w:r>
      <w:r w:rsidR="00FC62B4">
        <w:rPr>
          <w:snapToGrid w:val="0"/>
          <w:szCs w:val="17"/>
          <w:lang w:eastAsia="sk-SK"/>
        </w:rPr>
        <w:t>LENET</w:t>
      </w:r>
      <w:r w:rsidR="0092451C" w:rsidRPr="00CF12BA">
        <w:rPr>
          <w:snapToGrid w:val="0"/>
          <w:szCs w:val="17"/>
          <w:lang w:eastAsia="sk-SK"/>
        </w:rPr>
        <w:t xml:space="preserve"> </w:t>
      </w:r>
      <w:r w:rsidR="00CF12BA" w:rsidRPr="00CF12BA">
        <w:rPr>
          <w:snapToGrid w:val="0"/>
          <w:szCs w:val="17"/>
          <w:lang w:eastAsia="sk-SK"/>
        </w:rPr>
        <w:t>spol</w:t>
      </w:r>
      <w:r w:rsidR="00CF12BA">
        <w:rPr>
          <w:snapToGrid w:val="0"/>
          <w:szCs w:val="17"/>
          <w:lang w:eastAsia="sk-SK"/>
        </w:rPr>
        <w:t>.</w:t>
      </w:r>
      <w:r w:rsidRPr="00CF12BA">
        <w:rPr>
          <w:snapToGrid w:val="0"/>
          <w:szCs w:val="17"/>
          <w:lang w:eastAsia="sk-SK"/>
        </w:rPr>
        <w:t xml:space="preserve"> s r.o., za rok 201</w:t>
      </w:r>
      <w:r w:rsidR="00A74D4F">
        <w:rPr>
          <w:snapToGrid w:val="0"/>
          <w:szCs w:val="17"/>
          <w:lang w:eastAsia="sk-SK"/>
        </w:rPr>
        <w:t>6</w:t>
      </w:r>
      <w:r w:rsidRPr="00CF12BA">
        <w:rPr>
          <w:snapToGrid w:val="0"/>
          <w:szCs w:val="17"/>
          <w:lang w:eastAsia="sk-SK"/>
        </w:rPr>
        <w:t xml:space="preserve"> schválilo riadne valné zhromaždenie, ktoré sa konalo dňa </w:t>
      </w:r>
      <w:r w:rsidR="00342596">
        <w:rPr>
          <w:snapToGrid w:val="0"/>
          <w:szCs w:val="17"/>
          <w:lang w:eastAsia="sk-SK"/>
        </w:rPr>
        <w:t>30.06.201</w:t>
      </w:r>
      <w:r w:rsidR="00A74D4F">
        <w:rPr>
          <w:snapToGrid w:val="0"/>
          <w:szCs w:val="17"/>
          <w:lang w:eastAsia="sk-SK"/>
        </w:rPr>
        <w:t>7</w:t>
      </w:r>
      <w:r w:rsidRPr="00CF12BA">
        <w:rPr>
          <w:snapToGrid w:val="0"/>
          <w:szCs w:val="17"/>
          <w:lang w:eastAsia="sk-SK"/>
        </w:rPr>
        <w:t>.</w:t>
      </w:r>
    </w:p>
    <w:p w:rsidR="00C81150" w:rsidRPr="00CF12BA" w:rsidRDefault="00C81150" w:rsidP="00C81150">
      <w:pPr>
        <w:rPr>
          <w:snapToGrid w:val="0"/>
          <w:sz w:val="14"/>
          <w:szCs w:val="14"/>
          <w:lang w:eastAsia="sk-SK"/>
        </w:rPr>
      </w:pPr>
    </w:p>
    <w:p w:rsidR="002E02D1" w:rsidRDefault="002E02D1"/>
    <w:p w:rsidR="00E70319" w:rsidRDefault="00E70319" w:rsidP="00F47687">
      <w:pPr>
        <w:pStyle w:val="Nadpis1"/>
      </w:pPr>
      <w:r>
        <w:t>INFORMÁCIE O ORGÁNOCH SPOLOčNOSTI</w:t>
      </w:r>
    </w:p>
    <w:p w:rsidR="00E70319" w:rsidRDefault="00E70319" w:rsidP="00E70319"/>
    <w:p w:rsidR="00E70319" w:rsidRDefault="00E70319" w:rsidP="00464078">
      <w:pPr>
        <w:pStyle w:val="Nadpis2"/>
        <w:numPr>
          <w:ilvl w:val="1"/>
          <w:numId w:val="25"/>
        </w:numPr>
        <w:rPr>
          <w:b w:val="0"/>
          <w:bCs w:val="0"/>
          <w:iCs w:val="0"/>
          <w:snapToGrid w:val="0"/>
        </w:rPr>
      </w:pPr>
      <w:r>
        <w:t>Záruky a iné zabezpečenia poskytnuté členom orgánov spoločnosti</w:t>
      </w:r>
      <w:r w:rsidR="0092451C">
        <w:t xml:space="preserve"> - žiadne</w:t>
      </w:r>
    </w:p>
    <w:p w:rsidR="00E70319" w:rsidRDefault="00E70319" w:rsidP="00E70319">
      <w:pPr>
        <w:pStyle w:val="Nadpis2"/>
        <w:numPr>
          <w:ilvl w:val="1"/>
          <w:numId w:val="25"/>
        </w:numPr>
        <w:rPr>
          <w:snapToGrid w:val="0"/>
        </w:rPr>
      </w:pPr>
      <w:r>
        <w:rPr>
          <w:snapToGrid w:val="0"/>
        </w:rPr>
        <w:t>Pôžičky poskytnuté členom orgánov spoločnosti</w:t>
      </w:r>
      <w:r w:rsidR="0092451C">
        <w:rPr>
          <w:snapToGrid w:val="0"/>
        </w:rPr>
        <w:t xml:space="preserve"> -žiadne</w:t>
      </w:r>
    </w:p>
    <w:p w:rsidR="00464078" w:rsidRDefault="00464078" w:rsidP="00464078"/>
    <w:p w:rsidR="00464078" w:rsidRPr="00464078" w:rsidRDefault="00464078" w:rsidP="00464078"/>
    <w:p w:rsidR="00845108" w:rsidRPr="00CF12BA" w:rsidRDefault="00845108" w:rsidP="00464078">
      <w:pPr>
        <w:pStyle w:val="Nadpis1"/>
      </w:pPr>
      <w:bookmarkStart w:id="2" w:name="_Ref150575427"/>
      <w:r w:rsidRPr="00CF12BA">
        <w:t>POUŽITÉ ÚČTOVNÉ ZÁSADY A ÚČTOVNÉ METÓDY</w:t>
      </w:r>
    </w:p>
    <w:bookmarkEnd w:id="2"/>
    <w:p w:rsidR="00C81150" w:rsidRPr="00CF12BA" w:rsidRDefault="00C81150" w:rsidP="00C81150"/>
    <w:p w:rsidR="00BE09FD" w:rsidRPr="00CF12BA" w:rsidRDefault="00C81150" w:rsidP="001871D1">
      <w:pPr>
        <w:numPr>
          <w:ilvl w:val="0"/>
          <w:numId w:val="4"/>
        </w:numPr>
        <w:rPr>
          <w:snapToGrid w:val="0"/>
          <w:lang w:eastAsia="sk-SK"/>
        </w:rPr>
      </w:pPr>
      <w:r w:rsidRPr="00CF12BA">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CF12BA">
        <w:rPr>
          <w:snapToGrid w:val="0"/>
          <w:lang w:eastAsia="sk-SK"/>
        </w:rPr>
        <w:t>eurách</w:t>
      </w:r>
      <w:r w:rsidRPr="00CF12BA">
        <w:rPr>
          <w:snapToGrid w:val="0"/>
          <w:lang w:eastAsia="sk-SK"/>
        </w:rPr>
        <w:t>.</w:t>
      </w:r>
    </w:p>
    <w:p w:rsidR="00BE09FD" w:rsidRPr="00CF12BA" w:rsidRDefault="00BE09FD" w:rsidP="00BE09FD">
      <w:pPr>
        <w:rPr>
          <w:snapToGrid w:val="0"/>
          <w:sz w:val="14"/>
          <w:szCs w:val="14"/>
          <w:lang w:eastAsia="sk-SK"/>
        </w:rPr>
      </w:pPr>
    </w:p>
    <w:p w:rsidR="0092451C" w:rsidRPr="005B27D0" w:rsidRDefault="00C81150" w:rsidP="0092451C">
      <w:pPr>
        <w:numPr>
          <w:ilvl w:val="0"/>
          <w:numId w:val="4"/>
        </w:numPr>
      </w:pPr>
      <w:r w:rsidRPr="005B27D0">
        <w:t xml:space="preserve">Účtovná závierka za rok </w:t>
      </w:r>
      <w:r w:rsidR="00F14CD1" w:rsidRPr="005B27D0">
        <w:t>201</w:t>
      </w:r>
      <w:r w:rsidR="00342596">
        <w:t>6</w:t>
      </w:r>
      <w:r w:rsidR="00FC62B4">
        <w:t xml:space="preserve"> </w:t>
      </w:r>
      <w:r w:rsidRPr="005B27D0">
        <w:t xml:space="preserve">bola spracovaná za predpokladu nepretržitého pokračovania činnosti. </w:t>
      </w:r>
      <w:r w:rsidR="00B87384" w:rsidRPr="005B27D0">
        <w:t xml:space="preserve"> </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Pri oceňovaní majetku a záväzkov sa uplatňuje zásada opatrnosti, t. j. berú sa za základ všetky riziká, straty a zníženia hodnoty, ktoré sa týkajú majetku a záväzkov a ktoré sú známe ku dňu, ku ktorému sa zostavuje účtovná závierka.</w:t>
      </w:r>
    </w:p>
    <w:p w:rsidR="001871D1" w:rsidRPr="00CF12BA" w:rsidRDefault="001871D1">
      <w:pPr>
        <w:jc w:val="left"/>
      </w:pP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CF12BA" w:rsidRDefault="00C81150" w:rsidP="00C81150">
      <w:pPr>
        <w:tabs>
          <w:tab w:val="num" w:pos="540"/>
        </w:tabs>
        <w:ind w:left="540" w:hanging="540"/>
        <w:rPr>
          <w:sz w:val="14"/>
          <w:szCs w:val="14"/>
        </w:rPr>
      </w:pPr>
    </w:p>
    <w:p w:rsidR="00DF7431" w:rsidRDefault="00DF7431" w:rsidP="00DF7431">
      <w:pPr>
        <w:ind w:left="539"/>
      </w:pPr>
    </w:p>
    <w:p w:rsidR="00DF7431" w:rsidRPr="00CF12BA" w:rsidRDefault="00DF7431" w:rsidP="001871D1">
      <w:pPr>
        <w:numPr>
          <w:ilvl w:val="0"/>
          <w:numId w:val="4"/>
        </w:numPr>
      </w:pPr>
      <w:r>
        <w:t>Vykázaná daň za účtovné obdobie vychádza zo zdaniteľného zisku. Zdaniteľný zisk sa oblišuje od hrubého účtovného zisku pred zdanením, pretože nezahrňuje položky výnosov alebo nákladov, ktoré nie sú zdaniteľné lebo sú uznateľné v iných obdobich. Ďalej nezahrňuje položky, ktoré nepodliehajú dani a nie sú daňovo odpočítateľné. Záväzok spoločnosti z titulu splatnej dane je vypočítaný na základe daňovej zadzby platnej k dátumu účtovnej závierky.</w:t>
      </w:r>
    </w:p>
    <w:p w:rsidR="00C81150" w:rsidRPr="00CF12BA" w:rsidRDefault="00C81150" w:rsidP="00C81150">
      <w:pPr>
        <w:tabs>
          <w:tab w:val="num" w:pos="540"/>
        </w:tabs>
        <w:ind w:left="540" w:hanging="540"/>
        <w:rPr>
          <w:sz w:val="14"/>
          <w:szCs w:val="14"/>
        </w:rPr>
      </w:pPr>
    </w:p>
    <w:p w:rsidR="002E02D1" w:rsidRPr="00CF12BA" w:rsidRDefault="002E02D1" w:rsidP="00B3278B">
      <w:pPr>
        <w:pStyle w:val="Odsekzoznamu"/>
      </w:pPr>
    </w:p>
    <w:p w:rsidR="00C81150" w:rsidRPr="00CF12BA" w:rsidRDefault="002E02D1" w:rsidP="00F47687">
      <w:pPr>
        <w:pStyle w:val="Nadpis2"/>
        <w:numPr>
          <w:ilvl w:val="0"/>
          <w:numId w:val="0"/>
        </w:numPr>
        <w:ind w:left="539" w:hanging="539"/>
      </w:pPr>
      <w:r>
        <w:t>9.</w:t>
      </w:r>
      <w:r>
        <w:tab/>
      </w:r>
      <w:bookmarkStart w:id="3" w:name="_Ref150575436"/>
      <w:r w:rsidR="00C81150" w:rsidRPr="00CF12BA">
        <w:t>Spôsob ocenenia jednotlivých zložiek majetku a záväzkov – prvé ocenenie</w:t>
      </w:r>
      <w:bookmarkEnd w:id="3"/>
    </w:p>
    <w:p w:rsidR="00C81150" w:rsidRPr="00CF12BA" w:rsidRDefault="00C81150" w:rsidP="00C81150">
      <w:pPr>
        <w:rPr>
          <w:sz w:val="16"/>
          <w:szCs w:val="16"/>
        </w:rPr>
      </w:pPr>
    </w:p>
    <w:p w:rsidR="00C81150" w:rsidRPr="00CF12BA" w:rsidRDefault="00C81150" w:rsidP="00C81150">
      <w:r w:rsidRPr="00CF12BA">
        <w:t>Pri obstaraní majetku sa uplatňuje princíp obstarávacích cien (t. j. historických cien). Ocenenie jednotlivých položiek majetku a záväzkov je takéto:</w:t>
      </w:r>
    </w:p>
    <w:p w:rsidR="00C81150" w:rsidRDefault="00C81150" w:rsidP="00C81150">
      <w:pPr>
        <w:rPr>
          <w:sz w:val="16"/>
          <w:szCs w:val="16"/>
        </w:rPr>
      </w:pPr>
    </w:p>
    <w:p w:rsidR="00C81150" w:rsidRPr="00CF12BA" w:rsidRDefault="00C81150" w:rsidP="001871D1">
      <w:pPr>
        <w:numPr>
          <w:ilvl w:val="0"/>
          <w:numId w:val="3"/>
        </w:numPr>
      </w:pPr>
      <w:r w:rsidRPr="00CF12BA">
        <w:t>Dlhodobý hmotný a nehmotný majetok obstaraný kúpou – obstarávacou cenou. Obstarávacia cena je cena, za ktorú sa majetok obstaral, a náklady súvisiace s jeho obstaraním (prepravné a clo).</w:t>
      </w:r>
    </w:p>
    <w:p w:rsidR="00C81150" w:rsidRPr="00CF12BA" w:rsidRDefault="00C81150" w:rsidP="00C81150">
      <w:pPr>
        <w:rPr>
          <w:sz w:val="16"/>
          <w:szCs w:val="16"/>
        </w:rPr>
      </w:pPr>
    </w:p>
    <w:p w:rsidR="00C81150" w:rsidRPr="00CF12BA" w:rsidRDefault="00C81150" w:rsidP="001871D1">
      <w:pPr>
        <w:numPr>
          <w:ilvl w:val="0"/>
          <w:numId w:val="3"/>
        </w:numPr>
      </w:pPr>
      <w:r w:rsidRPr="00CF12BA">
        <w:t xml:space="preserve">Dlhodobý nehmotný a hmotný majetok obstaraný iným spôsobom – </w:t>
      </w:r>
      <w:r w:rsidR="00342596">
        <w:t>reálnou hodnotou</w:t>
      </w:r>
      <w:r w:rsidRPr="00CF12BA">
        <w:t xml:space="preserve"> v prípade bezodplatného nadobudnutia majetku alebo majetku novo zisteného pri inventarizácii, t. j. cenou, za ktorú by sa majetok obstaral v čase, keď sa o ňom účtuje.</w:t>
      </w:r>
    </w:p>
    <w:p w:rsidR="00C81150" w:rsidRPr="00CF12BA" w:rsidRDefault="00C81150" w:rsidP="00C81150"/>
    <w:p w:rsidR="00C81150" w:rsidRPr="00CF12BA" w:rsidRDefault="00C81150" w:rsidP="001871D1">
      <w:pPr>
        <w:numPr>
          <w:ilvl w:val="0"/>
          <w:numId w:val="3"/>
        </w:numPr>
      </w:pPr>
      <w:r w:rsidRPr="00CF12BA">
        <w:t>Zásoby obstarané kúpou:</w:t>
      </w:r>
    </w:p>
    <w:p w:rsidR="00C81150" w:rsidRPr="00CF12BA" w:rsidRDefault="00C81150" w:rsidP="001871D1">
      <w:pPr>
        <w:numPr>
          <w:ilvl w:val="0"/>
          <w:numId w:val="5"/>
        </w:numPr>
        <w:rPr>
          <w:snapToGrid w:val="0"/>
          <w:lang w:eastAsia="sk-SK"/>
        </w:rPr>
      </w:pPr>
      <w:r w:rsidRPr="00CF12BA">
        <w:rPr>
          <w:snapToGrid w:val="0"/>
          <w:lang w:eastAsia="sk-SK"/>
        </w:rPr>
        <w:t xml:space="preserve">Nakupovaný materiál – obstarávacou cenou. Pri úbytku rovnakého druhu zásob sa používa metóda </w:t>
      </w:r>
      <w:r w:rsidR="00E3502B" w:rsidRPr="00CF12BA">
        <w:t>FIFO</w:t>
      </w:r>
      <w:r w:rsidRPr="00CF12BA">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CF12BA" w:rsidRDefault="00C81150" w:rsidP="001871D1">
      <w:pPr>
        <w:numPr>
          <w:ilvl w:val="0"/>
          <w:numId w:val="5"/>
        </w:numPr>
        <w:rPr>
          <w:snapToGrid w:val="0"/>
          <w:lang w:eastAsia="sk-SK"/>
        </w:rPr>
      </w:pPr>
      <w:r w:rsidRPr="00CF12BA">
        <w:rPr>
          <w:snapToGrid w:val="0"/>
          <w:lang w:eastAsia="sk-SK"/>
        </w:rPr>
        <w:t xml:space="preserve">Nakupovaný tovar – obstarávacou cenou. Pri úbytku rovnakého druhu zásob sa používa metóda </w:t>
      </w:r>
      <w:r w:rsidR="00E3502B" w:rsidRPr="00CF12BA">
        <w:t>FIFO</w:t>
      </w:r>
      <w:r w:rsidRPr="00CF12BA">
        <w:rPr>
          <w:snapToGrid w:val="0"/>
          <w:lang w:eastAsia="sk-SK"/>
        </w:rPr>
        <w:t>. Do vedľajších nákladov patrí prepravné, clo a provízie.</w:t>
      </w:r>
    </w:p>
    <w:p w:rsidR="00C81150" w:rsidRPr="00CF12BA" w:rsidRDefault="00C81150" w:rsidP="00C81150"/>
    <w:p w:rsidR="00C81150" w:rsidRPr="00CF12BA" w:rsidRDefault="00C81150" w:rsidP="001871D1">
      <w:pPr>
        <w:numPr>
          <w:ilvl w:val="0"/>
          <w:numId w:val="3"/>
        </w:numPr>
      </w:pPr>
      <w:r w:rsidRPr="00CF12BA">
        <w:t xml:space="preserve">Zásoby obstarané iným spôsobom – </w:t>
      </w:r>
      <w:r w:rsidR="00342596">
        <w:t>reálnou hodnotou</w:t>
      </w:r>
      <w:r w:rsidRPr="00CF12BA">
        <w:t xml:space="preserve"> v prípade bezodplatného nadobudnutia zásob alebo zásob novo zistených pri inventarizácii, t. j. cenou, za ktorú by sa majetok obstaral v čase, keď sa o ňom účtuje.</w:t>
      </w:r>
    </w:p>
    <w:p w:rsidR="00234DD8" w:rsidRPr="00CF12BA" w:rsidRDefault="00234DD8" w:rsidP="004570ED">
      <w:pPr>
        <w:ind w:left="539"/>
      </w:pPr>
    </w:p>
    <w:p w:rsidR="00C81150" w:rsidRPr="00CF12BA" w:rsidRDefault="00C81150" w:rsidP="001871D1">
      <w:pPr>
        <w:numPr>
          <w:ilvl w:val="0"/>
          <w:numId w:val="3"/>
        </w:numPr>
      </w:pPr>
      <w:r w:rsidRPr="00CF12BA">
        <w:t>Pohľadávky:</w:t>
      </w:r>
    </w:p>
    <w:p w:rsidR="00C81150" w:rsidRPr="00CF12BA" w:rsidRDefault="00C81150" w:rsidP="001871D1">
      <w:pPr>
        <w:numPr>
          <w:ilvl w:val="0"/>
          <w:numId w:val="6"/>
        </w:numPr>
        <w:rPr>
          <w:snapToGrid w:val="0"/>
          <w:lang w:eastAsia="sk-SK"/>
        </w:rPr>
      </w:pPr>
      <w:r w:rsidRPr="00CF12BA">
        <w:rPr>
          <w:snapToGrid w:val="0"/>
          <w:lang w:eastAsia="sk-SK"/>
        </w:rPr>
        <w:t>pri ich vzniku alebo bezodplatnom nadobudnutí – menovitou hodnotou,</w:t>
      </w:r>
    </w:p>
    <w:p w:rsidR="00C81150" w:rsidRPr="00CF12BA" w:rsidRDefault="00C81150" w:rsidP="001871D1">
      <w:pPr>
        <w:numPr>
          <w:ilvl w:val="0"/>
          <w:numId w:val="6"/>
        </w:numPr>
        <w:rPr>
          <w:snapToGrid w:val="0"/>
          <w:lang w:eastAsia="sk-SK"/>
        </w:rPr>
      </w:pPr>
      <w:r w:rsidRPr="00CF12BA">
        <w:rPr>
          <w:snapToGrid w:val="0"/>
          <w:lang w:eastAsia="sk-SK"/>
        </w:rPr>
        <w:t>pri odplatnom nadobudnutí (postúpení) alebo nadobudnutí vkladom do základného imania – obstarávacou cenou.</w:t>
      </w:r>
    </w:p>
    <w:p w:rsidR="00C81150" w:rsidRPr="00CF12BA" w:rsidRDefault="00C81150" w:rsidP="00CB407B">
      <w:pPr>
        <w:ind w:left="539"/>
      </w:pPr>
    </w:p>
    <w:p w:rsidR="002E02D1" w:rsidRDefault="002E02D1" w:rsidP="00857186">
      <w:pPr>
        <w:ind w:left="539"/>
      </w:pPr>
    </w:p>
    <w:p w:rsidR="00C81150" w:rsidRPr="00CF12BA" w:rsidRDefault="00C81150" w:rsidP="001871D1">
      <w:pPr>
        <w:numPr>
          <w:ilvl w:val="0"/>
          <w:numId w:val="3"/>
        </w:numPr>
      </w:pPr>
      <w:r w:rsidRPr="00CF12BA">
        <w:t>Krátkodobý finančný majetok – obstarávacou cenou. Obstarávacia cena je cena, za ktorú sa majetok obstaral, a náklady súvisiace s jeho obstaraním (poplatky a provízie maklérom, poradcom, burzám).</w:t>
      </w:r>
    </w:p>
    <w:p w:rsidR="00C81150" w:rsidRPr="00CF12BA" w:rsidRDefault="00C81150" w:rsidP="00C81150"/>
    <w:p w:rsidR="00C81150" w:rsidRPr="00CF12BA" w:rsidRDefault="00C81150" w:rsidP="001871D1">
      <w:pPr>
        <w:numPr>
          <w:ilvl w:val="0"/>
          <w:numId w:val="3"/>
        </w:numPr>
      </w:pPr>
      <w:r w:rsidRPr="00CF12BA">
        <w:t>Časové rozlíšenie na strane aktív súvahy – očakávanou menovitou hodnotou.</w:t>
      </w:r>
    </w:p>
    <w:p w:rsidR="00845108" w:rsidRPr="00CF12BA" w:rsidRDefault="00845108" w:rsidP="009E172B"/>
    <w:p w:rsidR="00C81150" w:rsidRPr="00CF12BA" w:rsidRDefault="00C81150" w:rsidP="001871D1">
      <w:pPr>
        <w:numPr>
          <w:ilvl w:val="0"/>
          <w:numId w:val="3"/>
        </w:numPr>
      </w:pPr>
      <w:r w:rsidRPr="00CF12BA">
        <w:t>Záväzky:</w:t>
      </w:r>
    </w:p>
    <w:p w:rsidR="00C81150" w:rsidRPr="00CF12BA" w:rsidRDefault="00C81150" w:rsidP="001871D1">
      <w:pPr>
        <w:numPr>
          <w:ilvl w:val="0"/>
          <w:numId w:val="7"/>
        </w:numPr>
        <w:rPr>
          <w:snapToGrid w:val="0"/>
          <w:lang w:eastAsia="sk-SK"/>
        </w:rPr>
      </w:pPr>
      <w:r w:rsidRPr="00CF12BA">
        <w:rPr>
          <w:snapToGrid w:val="0"/>
          <w:lang w:eastAsia="sk-SK"/>
        </w:rPr>
        <w:t>pri ich vzniku – menovitou hodnotou,</w:t>
      </w:r>
    </w:p>
    <w:p w:rsidR="00C81150" w:rsidRPr="00CF12BA" w:rsidRDefault="00C81150" w:rsidP="001871D1">
      <w:pPr>
        <w:numPr>
          <w:ilvl w:val="0"/>
          <w:numId w:val="7"/>
        </w:numPr>
        <w:rPr>
          <w:snapToGrid w:val="0"/>
          <w:lang w:eastAsia="sk-SK"/>
        </w:rPr>
      </w:pPr>
      <w:r w:rsidRPr="00CF12BA">
        <w:rPr>
          <w:snapToGrid w:val="0"/>
          <w:lang w:eastAsia="sk-SK"/>
        </w:rPr>
        <w:t>pri prevzatí – obstarávacou cenou.</w:t>
      </w:r>
    </w:p>
    <w:p w:rsidR="00417846" w:rsidRPr="00CF12BA" w:rsidRDefault="00417846" w:rsidP="00417846">
      <w:pPr>
        <w:rPr>
          <w:snapToGrid w:val="0"/>
          <w:lang w:eastAsia="sk-SK"/>
        </w:rPr>
      </w:pPr>
    </w:p>
    <w:p w:rsidR="00C81150" w:rsidRPr="00CF12BA" w:rsidRDefault="00C81150" w:rsidP="001871D1">
      <w:pPr>
        <w:numPr>
          <w:ilvl w:val="0"/>
          <w:numId w:val="3"/>
        </w:numPr>
      </w:pPr>
      <w:r w:rsidRPr="00CF12BA">
        <w:t>Rezervy – v očakávanej výške záväzku alebo poistnomatematickými metódami.</w:t>
      </w:r>
    </w:p>
    <w:p w:rsidR="00C81150" w:rsidRPr="00CF12BA" w:rsidRDefault="00C81150" w:rsidP="00C81150"/>
    <w:p w:rsidR="00C81150" w:rsidRPr="00CF12BA" w:rsidRDefault="00C81150" w:rsidP="00C81150">
      <w:pPr>
        <w:ind w:left="539"/>
      </w:pPr>
    </w:p>
    <w:p w:rsidR="00C81150" w:rsidRPr="00CF12BA" w:rsidRDefault="00C81150" w:rsidP="001871D1">
      <w:pPr>
        <w:numPr>
          <w:ilvl w:val="0"/>
          <w:numId w:val="3"/>
        </w:numPr>
      </w:pPr>
      <w:r w:rsidRPr="00CF12BA">
        <w:t>Časové rozlíšenie na strane pasív súvahy – očakávanou menovitou hodnotou.</w:t>
      </w:r>
    </w:p>
    <w:p w:rsidR="00C81150" w:rsidRPr="00CF12BA" w:rsidRDefault="00C81150" w:rsidP="00C81150"/>
    <w:p w:rsidR="00C81150" w:rsidRPr="00CF12BA" w:rsidRDefault="00C81150" w:rsidP="001871D1">
      <w:pPr>
        <w:numPr>
          <w:ilvl w:val="0"/>
          <w:numId w:val="3"/>
        </w:numPr>
      </w:pPr>
      <w:r w:rsidRPr="00CF12BA">
        <w:t>Daň z príjmov splatná – podľa slovenského zákona o dani z príjmov sa splatné dane z príjmov určujú z účtovného zisku</w:t>
      </w:r>
      <w:r w:rsidR="001D2B78" w:rsidRPr="00CF12BA">
        <w:t xml:space="preserve"> pred zdanením</w:t>
      </w:r>
      <w:r w:rsidRPr="00CF12BA">
        <w:t xml:space="preserve"> pri sadzbe </w:t>
      </w:r>
      <w:r w:rsidR="001170F1" w:rsidRPr="00CF12BA">
        <w:t>2</w:t>
      </w:r>
      <w:r w:rsidR="00342596">
        <w:t>1</w:t>
      </w:r>
      <w:r w:rsidRPr="00CF12BA">
        <w:t>% po úpravách o niektoré položky na daňové účely.</w:t>
      </w:r>
    </w:p>
    <w:p w:rsidR="00C81150" w:rsidRPr="00CF12BA" w:rsidRDefault="00C81150" w:rsidP="00C81150"/>
    <w:p w:rsidR="0000253C" w:rsidRPr="00CF12BA" w:rsidRDefault="0000253C" w:rsidP="00DB2CCC"/>
    <w:p w:rsidR="00E70319" w:rsidRDefault="00E70319">
      <w:pPr>
        <w:jc w:val="left"/>
        <w:rPr>
          <w:rFonts w:cs="Arial"/>
          <w:b/>
          <w:bCs/>
          <w:iCs/>
          <w:szCs w:val="28"/>
        </w:rPr>
      </w:pPr>
      <w:bookmarkStart w:id="4" w:name="_Ref150575465"/>
      <w:r>
        <w:br w:type="page"/>
      </w:r>
    </w:p>
    <w:p w:rsidR="00C81150" w:rsidRPr="00CF12BA" w:rsidRDefault="00C81150" w:rsidP="00F47687">
      <w:pPr>
        <w:pStyle w:val="Nadpis2"/>
        <w:numPr>
          <w:ilvl w:val="1"/>
          <w:numId w:val="23"/>
        </w:numPr>
      </w:pPr>
      <w:r w:rsidRPr="00CF12BA">
        <w:lastRenderedPageBreak/>
        <w:t>Spôsob ocenenia jednotlivých zložiek majetku a záväzkov – nasledujúce ocenenie</w:t>
      </w:r>
      <w:bookmarkEnd w:id="4"/>
    </w:p>
    <w:p w:rsidR="00C81150" w:rsidRPr="00CF12BA" w:rsidRDefault="00C81150" w:rsidP="00C81150"/>
    <w:p w:rsidR="00C81150" w:rsidRPr="00CF12BA" w:rsidRDefault="00C81150" w:rsidP="001871D1">
      <w:pPr>
        <w:numPr>
          <w:ilvl w:val="0"/>
          <w:numId w:val="13"/>
        </w:numPr>
      </w:pPr>
      <w:bookmarkStart w:id="5" w:name="_Ref150575467"/>
      <w:r w:rsidRPr="00CF12BA">
        <w:t>Predpokladané riziká, straty a zníženia hodnoty, ktoré sa týkajú majetku a záväzkov, sa vyjadrujú prostredníctvom rezerv, opravných položiek a odpisov.</w:t>
      </w:r>
      <w:bookmarkEnd w:id="5"/>
    </w:p>
    <w:p w:rsidR="00C81150" w:rsidRPr="00CF12BA" w:rsidRDefault="00C81150" w:rsidP="00C81150"/>
    <w:p w:rsidR="00C81150" w:rsidRPr="00CF12BA" w:rsidRDefault="00C81150" w:rsidP="001871D1">
      <w:pPr>
        <w:numPr>
          <w:ilvl w:val="0"/>
          <w:numId w:val="11"/>
        </w:numPr>
        <w:tabs>
          <w:tab w:val="clear" w:pos="539"/>
          <w:tab w:val="num" w:pos="900"/>
        </w:tabs>
        <w:ind w:left="900" w:hanging="360"/>
        <w:rPr>
          <w:snapToGrid w:val="0"/>
          <w:lang w:eastAsia="sk-SK"/>
        </w:rPr>
      </w:pPr>
      <w:r w:rsidRPr="00CF12BA">
        <w:rPr>
          <w:snapToGrid w:val="0"/>
          <w:u w:val="single"/>
          <w:lang w:eastAsia="sk-SK"/>
        </w:rPr>
        <w:t xml:space="preserve">Plán odpisov </w:t>
      </w:r>
    </w:p>
    <w:p w:rsidR="00C81150" w:rsidRPr="00CF12BA" w:rsidRDefault="00C81150" w:rsidP="00EB02F1">
      <w:pPr>
        <w:ind w:left="900"/>
        <w:rPr>
          <w:snapToGrid w:val="0"/>
          <w:lang w:eastAsia="sk-SK"/>
        </w:rPr>
      </w:pPr>
    </w:p>
    <w:p w:rsidR="00C81150" w:rsidRPr="00CF12BA" w:rsidRDefault="00C81150" w:rsidP="00EB02F1">
      <w:pPr>
        <w:ind w:left="900"/>
      </w:pPr>
      <w:r w:rsidRPr="00CF12BA">
        <w:t xml:space="preserve">Dlhodobý hmotný a nehmotný majetok sa odpisuje podľa plánu odpisov, ktorý bol stanovený vzhľadom na odhad </w:t>
      </w:r>
      <w:r w:rsidR="005A4440">
        <w:t xml:space="preserve">jeho </w:t>
      </w:r>
      <w:r w:rsidRPr="00CF12BA">
        <w:t xml:space="preserve">reálnej ekonomickej životnosti. </w:t>
      </w:r>
      <w:r w:rsidR="007F1711" w:rsidRPr="00CF12BA">
        <w:t xml:space="preserve">Majetok sa odpisuje počas predpokladanej doby používania zodpovedajúcej spotrebe budúcich ekonomických úžitkov z majetku. </w:t>
      </w:r>
      <w:r w:rsidRPr="00CF12BA">
        <w:t xml:space="preserve">Účtovné odpisy sú rovnomerné. Majetok sa začína odpisovať v mesiaci nasledujúcom po mesiaci zaradenia do používania. </w:t>
      </w:r>
    </w:p>
    <w:p w:rsidR="001871D1" w:rsidRPr="00CF12BA" w:rsidRDefault="001871D1">
      <w:pPr>
        <w:jc w:val="left"/>
      </w:pPr>
    </w:p>
    <w:p w:rsidR="00C81150" w:rsidRPr="00CF12BA" w:rsidRDefault="00C81150" w:rsidP="00EB02F1">
      <w:pPr>
        <w:ind w:left="900"/>
      </w:pPr>
      <w:r w:rsidRPr="00CF12BA">
        <w:t>Priemerné životnosti podľa plánu odpisov sú:</w:t>
      </w:r>
    </w:p>
    <w:p w:rsidR="00C81150" w:rsidRPr="00CF12BA" w:rsidRDefault="00C81150" w:rsidP="00CB407B">
      <w:pPr>
        <w:ind w:left="539"/>
        <w:rPr>
          <w:b/>
          <w:snapToGrid w:val="0"/>
          <w:lang w:eastAsia="sk-SK"/>
        </w:rPr>
      </w:pPr>
    </w:p>
    <w:tbl>
      <w:tblPr>
        <w:tblW w:w="8172" w:type="dxa"/>
        <w:tblInd w:w="970" w:type="dxa"/>
        <w:tblLayout w:type="fixed"/>
        <w:tblCellMar>
          <w:left w:w="70" w:type="dxa"/>
          <w:right w:w="70" w:type="dxa"/>
        </w:tblCellMar>
        <w:tblLook w:val="0000"/>
      </w:tblPr>
      <w:tblGrid>
        <w:gridCol w:w="4487"/>
        <w:gridCol w:w="1276"/>
        <w:gridCol w:w="2409"/>
      </w:tblGrid>
      <w:tr w:rsidR="00C81150" w:rsidRPr="00CF12BA" w:rsidTr="001871D1">
        <w:tc>
          <w:tcPr>
            <w:tcW w:w="4487" w:type="dxa"/>
            <w:tcBorders>
              <w:top w:val="single" w:sz="8" w:space="0" w:color="auto"/>
              <w:bottom w:val="single" w:sz="4" w:space="0" w:color="auto"/>
            </w:tcBorders>
            <w:shd w:val="clear" w:color="auto" w:fill="auto"/>
          </w:tcPr>
          <w:p w:rsidR="00C81150" w:rsidRPr="00CF12BA" w:rsidRDefault="00C81150" w:rsidP="001871D1">
            <w:pPr>
              <w:jc w:val="left"/>
              <w:rPr>
                <w:b/>
                <w:i/>
                <w:sz w:val="15"/>
                <w:szCs w:val="15"/>
              </w:rPr>
            </w:pPr>
            <w:r w:rsidRPr="00CF12BA">
              <w:rPr>
                <w:b/>
                <w:i/>
                <w:sz w:val="15"/>
                <w:szCs w:val="15"/>
              </w:rPr>
              <w:t>Druh majetku</w:t>
            </w:r>
          </w:p>
        </w:tc>
        <w:tc>
          <w:tcPr>
            <w:tcW w:w="1276"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Životnosť</w:t>
            </w:r>
          </w:p>
        </w:tc>
        <w:tc>
          <w:tcPr>
            <w:tcW w:w="2409"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Ročná sadzba odpisov</w:t>
            </w:r>
          </w:p>
        </w:tc>
      </w:tr>
      <w:tr w:rsidR="00C81150" w:rsidRPr="00CF12BA" w:rsidTr="001871D1">
        <w:tc>
          <w:tcPr>
            <w:tcW w:w="4487" w:type="dxa"/>
            <w:tcBorders>
              <w:top w:val="single" w:sz="4" w:space="0" w:color="auto"/>
            </w:tcBorders>
            <w:shd w:val="clear" w:color="auto" w:fill="auto"/>
          </w:tcPr>
          <w:p w:rsidR="00C81150" w:rsidRPr="00CF12BA" w:rsidRDefault="00C81150" w:rsidP="001871D1">
            <w:pPr>
              <w:jc w:val="left"/>
              <w:rPr>
                <w:b/>
                <w:snapToGrid w:val="0"/>
                <w:sz w:val="15"/>
                <w:szCs w:val="15"/>
                <w:lang w:eastAsia="sk-SK"/>
              </w:rPr>
            </w:pPr>
            <w:r w:rsidRPr="00CF12BA">
              <w:rPr>
                <w:sz w:val="15"/>
                <w:szCs w:val="15"/>
              </w:rPr>
              <w:t>Budovy a stavby</w:t>
            </w:r>
          </w:p>
        </w:tc>
        <w:tc>
          <w:tcPr>
            <w:tcW w:w="1276" w:type="dxa"/>
            <w:tcBorders>
              <w:top w:val="single" w:sz="4" w:space="0" w:color="auto"/>
            </w:tcBorders>
            <w:shd w:val="clear" w:color="auto" w:fill="auto"/>
          </w:tcPr>
          <w:p w:rsidR="00C81150" w:rsidRPr="00CF12BA" w:rsidRDefault="005B27D0" w:rsidP="00CB407B">
            <w:pPr>
              <w:jc w:val="center"/>
              <w:rPr>
                <w:snapToGrid w:val="0"/>
                <w:sz w:val="15"/>
                <w:szCs w:val="15"/>
                <w:lang w:eastAsia="sk-SK"/>
              </w:rPr>
            </w:pPr>
            <w:r>
              <w:rPr>
                <w:snapToGrid w:val="0"/>
                <w:sz w:val="15"/>
                <w:szCs w:val="15"/>
                <w:lang w:eastAsia="sk-SK"/>
              </w:rPr>
              <w:t>4</w:t>
            </w:r>
            <w:r w:rsidR="00510B3E" w:rsidRPr="00CF12BA">
              <w:rPr>
                <w:snapToGrid w:val="0"/>
                <w:sz w:val="15"/>
                <w:szCs w:val="15"/>
                <w:lang w:eastAsia="sk-SK"/>
              </w:rPr>
              <w:t>0 rokov</w:t>
            </w:r>
          </w:p>
        </w:tc>
        <w:tc>
          <w:tcPr>
            <w:tcW w:w="2409" w:type="dxa"/>
            <w:tcBorders>
              <w:top w:val="single" w:sz="4" w:space="0" w:color="auto"/>
            </w:tcBorders>
            <w:shd w:val="clear" w:color="auto" w:fill="auto"/>
          </w:tcPr>
          <w:p w:rsidR="00C81150" w:rsidRPr="00CF12BA" w:rsidRDefault="005B27D0" w:rsidP="00CB407B">
            <w:pPr>
              <w:jc w:val="center"/>
              <w:rPr>
                <w:sz w:val="15"/>
                <w:szCs w:val="15"/>
              </w:rPr>
            </w:pPr>
            <w:r>
              <w:rPr>
                <w:sz w:val="15"/>
                <w:szCs w:val="15"/>
              </w:rPr>
              <w:t>2,</w:t>
            </w:r>
            <w:r w:rsidR="0021669E">
              <w:rPr>
                <w:sz w:val="15"/>
                <w:szCs w:val="15"/>
              </w:rPr>
              <w:t>5</w:t>
            </w:r>
            <w:r w:rsidR="00510B3E" w:rsidRPr="00CF12BA">
              <w:rPr>
                <w:sz w:val="15"/>
                <w:szCs w:val="15"/>
              </w:rPr>
              <w:t>%</w:t>
            </w:r>
          </w:p>
        </w:tc>
      </w:tr>
      <w:tr w:rsidR="00C81150" w:rsidRPr="00CF12BA" w:rsidTr="001871D1">
        <w:tc>
          <w:tcPr>
            <w:tcW w:w="4487" w:type="dxa"/>
            <w:shd w:val="clear" w:color="auto" w:fill="auto"/>
          </w:tcPr>
          <w:p w:rsidR="00C81150" w:rsidRPr="00CF12BA" w:rsidRDefault="00C81150" w:rsidP="001871D1">
            <w:pPr>
              <w:tabs>
                <w:tab w:val="left" w:pos="1920"/>
              </w:tabs>
              <w:jc w:val="left"/>
              <w:rPr>
                <w:b/>
                <w:snapToGrid w:val="0"/>
                <w:sz w:val="15"/>
                <w:szCs w:val="15"/>
                <w:lang w:eastAsia="sk-SK"/>
              </w:rPr>
            </w:pPr>
            <w:r w:rsidRPr="00CF12BA">
              <w:rPr>
                <w:sz w:val="15"/>
                <w:szCs w:val="15"/>
              </w:rPr>
              <w:t>Stroje</w:t>
            </w:r>
            <w:r w:rsidR="00510B3E" w:rsidRPr="00CF12BA">
              <w:rPr>
                <w:sz w:val="15"/>
                <w:szCs w:val="15"/>
              </w:rPr>
              <w:t>, prístroje</w:t>
            </w:r>
            <w:r w:rsidRPr="00CF12BA">
              <w:rPr>
                <w:sz w:val="15"/>
                <w:szCs w:val="15"/>
              </w:rPr>
              <w:t xml:space="preserve"> a zariadenia</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Dopravné prostriedky</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Inventár</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6 rokov</w:t>
            </w:r>
          </w:p>
        </w:tc>
        <w:tc>
          <w:tcPr>
            <w:tcW w:w="2409" w:type="dxa"/>
            <w:shd w:val="clear" w:color="auto" w:fill="auto"/>
          </w:tcPr>
          <w:p w:rsidR="00C81150" w:rsidRPr="00CF12BA" w:rsidRDefault="00510B3E" w:rsidP="00CB407B">
            <w:pPr>
              <w:jc w:val="center"/>
              <w:rPr>
                <w:sz w:val="15"/>
                <w:szCs w:val="15"/>
              </w:rPr>
            </w:pPr>
            <w:r w:rsidRPr="00CF12BA">
              <w:rPr>
                <w:sz w:val="15"/>
                <w:szCs w:val="15"/>
              </w:rPr>
              <w:t>16,67%</w:t>
            </w:r>
          </w:p>
        </w:tc>
      </w:tr>
      <w:tr w:rsidR="00510B3E" w:rsidRPr="00CF12BA" w:rsidTr="001871D1">
        <w:tc>
          <w:tcPr>
            <w:tcW w:w="4487" w:type="dxa"/>
            <w:shd w:val="clear" w:color="auto" w:fill="auto"/>
          </w:tcPr>
          <w:p w:rsidR="00510B3E" w:rsidRPr="00CF12BA" w:rsidRDefault="00510B3E" w:rsidP="001871D1">
            <w:pPr>
              <w:jc w:val="left"/>
              <w:rPr>
                <w:sz w:val="15"/>
                <w:szCs w:val="15"/>
              </w:rPr>
            </w:pPr>
          </w:p>
        </w:tc>
        <w:tc>
          <w:tcPr>
            <w:tcW w:w="1276" w:type="dxa"/>
            <w:shd w:val="clear" w:color="auto" w:fill="auto"/>
          </w:tcPr>
          <w:p w:rsidR="00510B3E" w:rsidRPr="00CF12BA" w:rsidRDefault="00510B3E" w:rsidP="00CB407B">
            <w:pPr>
              <w:jc w:val="center"/>
              <w:rPr>
                <w:snapToGrid w:val="0"/>
                <w:sz w:val="15"/>
                <w:szCs w:val="15"/>
                <w:lang w:eastAsia="sk-SK"/>
              </w:rPr>
            </w:pPr>
          </w:p>
        </w:tc>
        <w:tc>
          <w:tcPr>
            <w:tcW w:w="2409" w:type="dxa"/>
            <w:shd w:val="clear" w:color="auto" w:fill="auto"/>
          </w:tcPr>
          <w:p w:rsidR="00510B3E" w:rsidRPr="00CF12BA" w:rsidRDefault="00510B3E" w:rsidP="00CB407B">
            <w:pPr>
              <w:jc w:val="center"/>
              <w:rPr>
                <w:sz w:val="15"/>
                <w:szCs w:val="15"/>
              </w:rPr>
            </w:pPr>
          </w:p>
        </w:tc>
      </w:tr>
      <w:tr w:rsidR="00510B3E" w:rsidRPr="00CF12BA" w:rsidTr="001871D1">
        <w:tc>
          <w:tcPr>
            <w:tcW w:w="4487" w:type="dxa"/>
            <w:shd w:val="clear" w:color="auto" w:fill="auto"/>
          </w:tcPr>
          <w:p w:rsidR="00510B3E" w:rsidRPr="00CF12BA" w:rsidRDefault="004320F3" w:rsidP="00342596">
            <w:pPr>
              <w:jc w:val="left"/>
              <w:rPr>
                <w:sz w:val="15"/>
                <w:szCs w:val="15"/>
              </w:rPr>
            </w:pPr>
            <w:r>
              <w:rPr>
                <w:sz w:val="15"/>
                <w:szCs w:val="15"/>
              </w:rPr>
              <w:t>D</w:t>
            </w:r>
            <w:r w:rsidR="00510B3E" w:rsidRPr="00CF12BA">
              <w:rPr>
                <w:sz w:val="15"/>
                <w:szCs w:val="15"/>
              </w:rPr>
              <w:t>robný dlhodobý hmotný majetok do 1</w:t>
            </w:r>
            <w:r w:rsidR="00342596">
              <w:rPr>
                <w:sz w:val="15"/>
                <w:szCs w:val="15"/>
              </w:rPr>
              <w:t>7</w:t>
            </w:r>
            <w:r w:rsidR="00510B3E" w:rsidRPr="00CF12BA">
              <w:rPr>
                <w:sz w:val="15"/>
                <w:szCs w:val="15"/>
              </w:rPr>
              <w:t>00 EUR</w:t>
            </w:r>
          </w:p>
        </w:tc>
        <w:tc>
          <w:tcPr>
            <w:tcW w:w="1276" w:type="dxa"/>
            <w:shd w:val="clear" w:color="auto" w:fill="auto"/>
          </w:tcPr>
          <w:p w:rsidR="00510B3E" w:rsidRPr="00CF12BA" w:rsidRDefault="00510B3E" w:rsidP="00CB407B">
            <w:pPr>
              <w:jc w:val="center"/>
              <w:rPr>
                <w:snapToGrid w:val="0"/>
                <w:sz w:val="15"/>
                <w:szCs w:val="15"/>
                <w:lang w:eastAsia="sk-SK"/>
              </w:rPr>
            </w:pPr>
            <w:r w:rsidRPr="00CF12BA">
              <w:rPr>
                <w:snapToGrid w:val="0"/>
                <w:sz w:val="15"/>
                <w:szCs w:val="15"/>
                <w:lang w:eastAsia="sk-SK"/>
              </w:rPr>
              <w:t>neodpisuje</w:t>
            </w:r>
          </w:p>
        </w:tc>
        <w:tc>
          <w:tcPr>
            <w:tcW w:w="2409" w:type="dxa"/>
            <w:shd w:val="clear" w:color="auto" w:fill="auto"/>
          </w:tcPr>
          <w:p w:rsidR="00510B3E" w:rsidRPr="00CF12BA" w:rsidRDefault="00510B3E" w:rsidP="00CB407B">
            <w:pPr>
              <w:jc w:val="center"/>
              <w:rPr>
                <w:sz w:val="15"/>
                <w:szCs w:val="15"/>
              </w:rPr>
            </w:pPr>
            <w:r w:rsidRPr="00CF12BA">
              <w:rPr>
                <w:sz w:val="15"/>
                <w:szCs w:val="15"/>
              </w:rPr>
              <w:t>neodpisuje</w:t>
            </w:r>
          </w:p>
        </w:tc>
      </w:tr>
      <w:tr w:rsidR="00C81150" w:rsidRPr="00CF12BA" w:rsidTr="001871D1">
        <w:tc>
          <w:tcPr>
            <w:tcW w:w="4487" w:type="dxa"/>
            <w:tcBorders>
              <w:bottom w:val="single" w:sz="8" w:space="0" w:color="auto"/>
            </w:tcBorders>
            <w:shd w:val="clear" w:color="auto" w:fill="auto"/>
          </w:tcPr>
          <w:p w:rsidR="00C81150" w:rsidRPr="00CF12BA" w:rsidRDefault="00C81150" w:rsidP="001871D1">
            <w:pPr>
              <w:jc w:val="left"/>
              <w:rPr>
                <w:sz w:val="15"/>
                <w:szCs w:val="15"/>
              </w:rPr>
            </w:pPr>
            <w:r w:rsidRPr="00CF12BA">
              <w:rPr>
                <w:sz w:val="15"/>
                <w:szCs w:val="15"/>
              </w:rPr>
              <w:t>Softvér</w:t>
            </w:r>
            <w:r w:rsidR="00510B3E" w:rsidRPr="00CF12BA">
              <w:rPr>
                <w:sz w:val="15"/>
                <w:szCs w:val="15"/>
              </w:rPr>
              <w:t>, oceniteľné práva (licencie)</w:t>
            </w:r>
          </w:p>
        </w:tc>
        <w:tc>
          <w:tcPr>
            <w:tcW w:w="1276"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5 rokov</w:t>
            </w:r>
          </w:p>
        </w:tc>
        <w:tc>
          <w:tcPr>
            <w:tcW w:w="2409"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20%</w:t>
            </w:r>
          </w:p>
        </w:tc>
      </w:tr>
    </w:tbl>
    <w:p w:rsidR="007F1711" w:rsidRPr="00CF12BA" w:rsidRDefault="007F1711" w:rsidP="00EB02F1">
      <w:pPr>
        <w:ind w:left="900"/>
        <w:rPr>
          <w:snapToGrid w:val="0"/>
        </w:rPr>
      </w:pPr>
    </w:p>
    <w:p w:rsidR="00C81150" w:rsidRPr="00CF12BA" w:rsidRDefault="00C81150" w:rsidP="00EB02F1">
      <w:pPr>
        <w:ind w:left="900"/>
      </w:pPr>
      <w:r w:rsidRPr="00CF12BA">
        <w:rPr>
          <w:snapToGrid w:val="0"/>
        </w:rPr>
        <w:t xml:space="preserve">Daňové odpisy sa uplatňujú podľa sadzieb uvedených v zákone o dani z príjmov platných pre </w:t>
      </w:r>
      <w:r w:rsidR="00657091" w:rsidRPr="00CF12BA">
        <w:rPr>
          <w:snapToGrid w:val="0"/>
        </w:rPr>
        <w:t>rovnomerné</w:t>
      </w:r>
      <w:r w:rsidRPr="00CF12BA">
        <w:t xml:space="preserve"> odpisovanie.</w:t>
      </w:r>
      <w:r w:rsidR="00510B3E" w:rsidRPr="00CF12BA">
        <w:t xml:space="preserve"> Drobný dlhodobý hmotný majetok do 1</w:t>
      </w:r>
      <w:r w:rsidR="004320F3">
        <w:t>7</w:t>
      </w:r>
      <w:r w:rsidR="00510B3E" w:rsidRPr="00CF12BA">
        <w:t>00 EUR sa odpisuje jednorázovo do spotreby.</w:t>
      </w:r>
    </w:p>
    <w:p w:rsidR="00C81150" w:rsidRPr="00CF12BA" w:rsidRDefault="00C81150" w:rsidP="00C81150"/>
    <w:p w:rsidR="0000253C" w:rsidRPr="00CF12BA" w:rsidRDefault="0000253C" w:rsidP="0000253C"/>
    <w:p w:rsidR="00C81150" w:rsidRPr="00CF12BA" w:rsidRDefault="00C81150" w:rsidP="00CB407B">
      <w:pPr>
        <w:pStyle w:val="Nadpis2"/>
      </w:pPr>
      <w:r w:rsidRPr="00CF12BA">
        <w:t>Prepočet údajov v cudzích menách na slovenskú menu</w:t>
      </w:r>
    </w:p>
    <w:p w:rsidR="00C81150" w:rsidRPr="00CF12BA" w:rsidRDefault="00C81150" w:rsidP="00C81150"/>
    <w:p w:rsidR="00C81150" w:rsidRDefault="00C81150" w:rsidP="004320F3">
      <w:pPr>
        <w:rPr>
          <w:b/>
          <w:snapToGrid w:val="0"/>
          <w:lang w:eastAsia="sk-SK"/>
        </w:rPr>
      </w:pPr>
      <w:r w:rsidRPr="00CF12BA">
        <w:t xml:space="preserve">Majetok a záväzky vyjadrené v cudzej mene sa prepočítavajú na </w:t>
      </w:r>
      <w:r w:rsidR="006A49A3" w:rsidRPr="00CF12BA">
        <w:t>eurá referenčným výmenným</w:t>
      </w:r>
      <w:r w:rsidRPr="00CF12BA">
        <w:t xml:space="preserve"> kurzom určeným </w:t>
      </w:r>
      <w:r w:rsidR="00487854" w:rsidRPr="00CF12BA">
        <w:t>a vyhláseným Európskou centrálnou bankou (ECB) alebo Národnou bankou Slovenska (</w:t>
      </w:r>
      <w:r w:rsidRPr="00CF12BA">
        <w:t>NBS</w:t>
      </w:r>
      <w:r w:rsidR="00487854" w:rsidRPr="00CF12BA">
        <w:t xml:space="preserve">)v deň predchádzajúci </w:t>
      </w:r>
      <w:r w:rsidRPr="00CF12BA">
        <w:t xml:space="preserve">dňu uskutočnenia účtovného prípadu a </w:t>
      </w:r>
      <w:r w:rsidR="00487854" w:rsidRPr="00CF12BA">
        <w:t>v deň</w:t>
      </w:r>
      <w:r w:rsidR="003B3C94" w:rsidRPr="00CF12BA">
        <w:t>, ku ktorému sa zostavuje účtovná závierka</w:t>
      </w:r>
      <w:r w:rsidRPr="00CF12BA">
        <w:t xml:space="preserve">. </w:t>
      </w:r>
    </w:p>
    <w:p w:rsidR="005A4440" w:rsidRPr="00CF12BA" w:rsidRDefault="005A4440" w:rsidP="00C81150">
      <w:pPr>
        <w:ind w:left="567"/>
        <w:rPr>
          <w:b/>
          <w:snapToGrid w:val="0"/>
          <w:lang w:eastAsia="sk-SK"/>
        </w:rPr>
      </w:pPr>
    </w:p>
    <w:p w:rsidR="00E70319" w:rsidRDefault="00E70319">
      <w:pPr>
        <w:jc w:val="left"/>
        <w:rPr>
          <w:rFonts w:cs="Arial"/>
          <w:b/>
          <w:bCs/>
          <w:iCs/>
          <w:szCs w:val="28"/>
          <w:highlight w:val="yellow"/>
        </w:rPr>
      </w:pPr>
      <w:r>
        <w:rPr>
          <w:highlight w:val="yellow"/>
        </w:rPr>
        <w:br w:type="page"/>
      </w:r>
    </w:p>
    <w:p w:rsidR="00CB407B" w:rsidRPr="00CF12BA" w:rsidRDefault="00CB407B" w:rsidP="00CB407B"/>
    <w:p w:rsidR="00E70319" w:rsidRDefault="00E70319" w:rsidP="00F47687">
      <w:pPr>
        <w:pStyle w:val="Nadpis1"/>
      </w:pPr>
      <w:r>
        <w:t>INFORMáCIE, KTORé VYSVETĽUJú A DOPĹňAJú SúVAHU A VýKAZ ZISKOV A STRáT</w:t>
      </w: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74448F" w:rsidRPr="00CF12BA" w:rsidRDefault="0074448F" w:rsidP="00F47687">
      <w:pPr>
        <w:pStyle w:val="Nadpis2"/>
        <w:numPr>
          <w:ilvl w:val="1"/>
          <w:numId w:val="24"/>
        </w:numPr>
      </w:pPr>
      <w:r w:rsidRPr="00CF12BA">
        <w:t xml:space="preserve">Záväzky </w:t>
      </w:r>
    </w:p>
    <w:p w:rsidR="0074448F" w:rsidRPr="00CF12BA" w:rsidRDefault="0074448F" w:rsidP="0074448F">
      <w:pPr>
        <w:rPr>
          <w:snapToGrid w:val="0"/>
          <w:lang w:eastAsia="sk-SK"/>
        </w:rPr>
      </w:pPr>
    </w:p>
    <w:p w:rsidR="008B77F4" w:rsidRPr="00CF12BA" w:rsidRDefault="008B77F4" w:rsidP="00F47687">
      <w:pPr>
        <w:pStyle w:val="Nadpis3"/>
        <w:numPr>
          <w:ilvl w:val="2"/>
          <w:numId w:val="24"/>
        </w:numPr>
      </w:pPr>
      <w:r w:rsidRPr="00CF12BA">
        <w:t>Výška záväzkov do lehoty a po lehote splatnosti vrátane skupiny</w:t>
      </w:r>
      <w:r w:rsidR="006B0885" w:rsidRPr="00CF12BA">
        <w:t xml:space="preserve"> a záväzky podľa zostatkovej doby splatnosti</w:t>
      </w:r>
    </w:p>
    <w:p w:rsidR="00550E39" w:rsidRDefault="00550E39" w:rsidP="008711DF">
      <w:pPr>
        <w:rPr>
          <w:snapToGrid w:val="0"/>
          <w:u w:val="single"/>
          <w:lang w:eastAsia="sk-SK"/>
        </w:rPr>
      </w:pPr>
      <w:bookmarkStart w:id="6" w:name="T_payables_maturity"/>
    </w:p>
    <w:tbl>
      <w:tblPr>
        <w:tblW w:w="5000" w:type="pct"/>
        <w:tblCellMar>
          <w:left w:w="70" w:type="dxa"/>
          <w:right w:w="70" w:type="dxa"/>
        </w:tblCellMar>
        <w:tblLook w:val="04A0"/>
      </w:tblPr>
      <w:tblGrid>
        <w:gridCol w:w="5766"/>
        <w:gridCol w:w="807"/>
        <w:gridCol w:w="1319"/>
        <w:gridCol w:w="1319"/>
      </w:tblGrid>
      <w:tr w:rsidR="00E70319" w:rsidTr="00E70319">
        <w:tc>
          <w:tcPr>
            <w:tcW w:w="3130" w:type="pct"/>
            <w:tcBorders>
              <w:top w:val="single" w:sz="8" w:space="0" w:color="auto"/>
              <w:left w:val="nil"/>
              <w:bottom w:val="nil"/>
              <w:right w:val="nil"/>
            </w:tcBorders>
            <w:vAlign w:val="center"/>
            <w:hideMark/>
          </w:tcPr>
          <w:p w:rsidR="00E70319" w:rsidRDefault="00E70319">
            <w:pPr>
              <w:jc w:val="left"/>
              <w:rPr>
                <w:rFonts w:cs="Arial"/>
                <w:b/>
                <w:bCs/>
                <w:i/>
                <w:iCs/>
                <w:sz w:val="15"/>
                <w:szCs w:val="15"/>
                <w:lang w:eastAsia="sk-SK"/>
              </w:rPr>
            </w:pPr>
            <w:bookmarkStart w:id="7" w:name="RANGE!B9:E18"/>
            <w:r>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rsidR="00E70319" w:rsidRDefault="00E70319">
            <w:pPr>
              <w:jc w:val="left"/>
              <w:rPr>
                <w:rFonts w:cs="Arial"/>
                <w:b/>
                <w:bCs/>
                <w:i/>
                <w:iCs/>
                <w:sz w:val="15"/>
                <w:szCs w:val="15"/>
                <w:lang w:eastAsia="sk-SK"/>
              </w:rPr>
            </w:pPr>
          </w:p>
        </w:tc>
        <w:tc>
          <w:tcPr>
            <w:tcW w:w="716" w:type="pct"/>
            <w:tcBorders>
              <w:top w:val="single" w:sz="8" w:space="0" w:color="auto"/>
              <w:left w:val="nil"/>
              <w:bottom w:val="nil"/>
              <w:right w:val="nil"/>
            </w:tcBorders>
            <w:hideMark/>
          </w:tcPr>
          <w:p w:rsidR="00E70319" w:rsidRDefault="00E70319" w:rsidP="00A74D4F">
            <w:pPr>
              <w:jc w:val="center"/>
              <w:rPr>
                <w:lang w:eastAsia="sk-SK"/>
              </w:rPr>
            </w:pPr>
            <w:r>
              <w:rPr>
                <w:b/>
                <w:i/>
                <w:sz w:val="15"/>
                <w:szCs w:val="15"/>
                <w:lang w:eastAsia="sk-SK"/>
              </w:rPr>
              <w:t>31. 12. 201</w:t>
            </w:r>
            <w:r w:rsidR="00A74D4F">
              <w:rPr>
                <w:b/>
                <w:i/>
                <w:sz w:val="15"/>
                <w:szCs w:val="15"/>
                <w:lang w:eastAsia="sk-SK"/>
              </w:rPr>
              <w:t>7</w:t>
            </w:r>
          </w:p>
        </w:tc>
        <w:tc>
          <w:tcPr>
            <w:tcW w:w="716" w:type="pct"/>
            <w:tcBorders>
              <w:top w:val="single" w:sz="8" w:space="0" w:color="auto"/>
              <w:left w:val="nil"/>
              <w:bottom w:val="nil"/>
              <w:right w:val="nil"/>
            </w:tcBorders>
            <w:hideMark/>
          </w:tcPr>
          <w:p w:rsidR="00E70319" w:rsidRDefault="00E70319" w:rsidP="00342596">
            <w:pPr>
              <w:jc w:val="center"/>
              <w:rPr>
                <w:lang w:eastAsia="sk-SK"/>
              </w:rPr>
            </w:pPr>
            <w:r>
              <w:rPr>
                <w:b/>
                <w:i/>
                <w:sz w:val="15"/>
                <w:szCs w:val="15"/>
                <w:lang w:eastAsia="sk-SK"/>
              </w:rPr>
              <w:t>31. 12. 201</w:t>
            </w:r>
            <w:r w:rsidR="00342596">
              <w:rPr>
                <w:b/>
                <w:i/>
                <w:sz w:val="15"/>
                <w:szCs w:val="15"/>
                <w:lang w:eastAsia="sk-SK"/>
              </w:rPr>
              <w:t>5</w:t>
            </w:r>
          </w:p>
        </w:tc>
      </w:tr>
      <w:tr w:rsidR="00E70319" w:rsidTr="00E70319">
        <w:tc>
          <w:tcPr>
            <w:tcW w:w="3130" w:type="pct"/>
            <w:tcBorders>
              <w:top w:val="single" w:sz="4" w:space="0" w:color="auto"/>
              <w:left w:val="nil"/>
              <w:bottom w:val="nil"/>
              <w:right w:val="nil"/>
            </w:tcBorders>
            <w:vAlign w:val="center"/>
            <w:hideMark/>
          </w:tcPr>
          <w:p w:rsidR="00E70319" w:rsidRDefault="00E70319">
            <w:pPr>
              <w:rPr>
                <w:rFonts w:cs="Arial"/>
                <w:b/>
                <w:bCs/>
                <w:i/>
                <w:iCs/>
                <w:sz w:val="15"/>
                <w:szCs w:val="15"/>
                <w:lang w:eastAsia="sk-SK"/>
              </w:rPr>
            </w:pPr>
            <w:r>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rsidR="00E70319" w:rsidRDefault="00E70319">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r>
      <w:tr w:rsidR="00E70319" w:rsidTr="00E70319">
        <w:tc>
          <w:tcPr>
            <w:tcW w:w="3130" w:type="pct"/>
            <w:vAlign w:val="center"/>
            <w:hideMark/>
          </w:tcPr>
          <w:p w:rsidR="00E70319" w:rsidRDefault="00E70319" w:rsidP="00E70319">
            <w:pPr>
              <w:jc w:val="left"/>
              <w:rPr>
                <w:rFonts w:cs="Arial"/>
                <w:sz w:val="15"/>
                <w:szCs w:val="15"/>
                <w:lang w:eastAsia="sk-SK"/>
              </w:rPr>
            </w:pPr>
            <w:r>
              <w:rPr>
                <w:rFonts w:cs="Arial"/>
                <w:sz w:val="15"/>
                <w:szCs w:val="15"/>
                <w:lang w:eastAsia="sk-SK"/>
              </w:rPr>
              <w:t>Záväzky so zostatkovou dobou splatnosti jeden rok až päť rokov</w:t>
            </w:r>
          </w:p>
        </w:tc>
        <w:tc>
          <w:tcPr>
            <w:tcW w:w="438" w:type="pct"/>
            <w:vAlign w:val="center"/>
          </w:tcPr>
          <w:p w:rsidR="00E70319" w:rsidRDefault="00E70319" w:rsidP="00E70319">
            <w:pPr>
              <w:jc w:val="center"/>
              <w:rPr>
                <w:rFonts w:cs="Arial"/>
                <w:i/>
                <w:iCs/>
                <w:sz w:val="15"/>
                <w:szCs w:val="15"/>
                <w:lang w:eastAsia="sk-SK"/>
              </w:rPr>
            </w:pPr>
          </w:p>
        </w:tc>
        <w:tc>
          <w:tcPr>
            <w:tcW w:w="716" w:type="pct"/>
            <w:vAlign w:val="bottom"/>
            <w:hideMark/>
          </w:tcPr>
          <w:p w:rsidR="00E70319" w:rsidRDefault="00A74D4F" w:rsidP="00E70319">
            <w:pPr>
              <w:jc w:val="right"/>
              <w:rPr>
                <w:rFonts w:cs="Arial"/>
                <w:sz w:val="15"/>
                <w:szCs w:val="15"/>
                <w:lang w:eastAsia="sk-SK"/>
              </w:rPr>
            </w:pPr>
            <w:r>
              <w:rPr>
                <w:rFonts w:cs="Arial"/>
                <w:sz w:val="15"/>
                <w:szCs w:val="15"/>
                <w:lang w:eastAsia="sk-SK"/>
              </w:rPr>
              <w:t>202134</w:t>
            </w:r>
          </w:p>
        </w:tc>
        <w:tc>
          <w:tcPr>
            <w:tcW w:w="716" w:type="pct"/>
            <w:vAlign w:val="bottom"/>
            <w:hideMark/>
          </w:tcPr>
          <w:p w:rsidR="00E70319" w:rsidRDefault="00A74D4F" w:rsidP="00E70319">
            <w:pPr>
              <w:jc w:val="right"/>
              <w:rPr>
                <w:rFonts w:cs="Arial"/>
                <w:sz w:val="15"/>
                <w:szCs w:val="15"/>
                <w:lang w:eastAsia="sk-SK"/>
              </w:rPr>
            </w:pPr>
            <w:r>
              <w:rPr>
                <w:rFonts w:cs="Arial"/>
                <w:sz w:val="15"/>
                <w:szCs w:val="15"/>
                <w:lang w:eastAsia="sk-SK"/>
              </w:rPr>
              <w:t>203789</w:t>
            </w:r>
          </w:p>
        </w:tc>
      </w:tr>
      <w:tr w:rsidR="00E70319" w:rsidTr="00E70319">
        <w:tc>
          <w:tcPr>
            <w:tcW w:w="3130" w:type="pct"/>
            <w:vAlign w:val="center"/>
            <w:hideMark/>
          </w:tcPr>
          <w:p w:rsidR="00E70319" w:rsidRDefault="00E70319" w:rsidP="00E70319">
            <w:pPr>
              <w:jc w:val="left"/>
              <w:rPr>
                <w:rFonts w:cs="Arial"/>
                <w:sz w:val="15"/>
                <w:szCs w:val="15"/>
                <w:lang w:eastAsia="sk-SK"/>
              </w:rPr>
            </w:pPr>
            <w:r>
              <w:rPr>
                <w:rFonts w:cs="Arial"/>
                <w:sz w:val="15"/>
                <w:szCs w:val="15"/>
                <w:lang w:eastAsia="sk-SK"/>
              </w:rPr>
              <w:t>Záväzky so zostatkovou dobou splatnosti nad päť rokov</w:t>
            </w:r>
          </w:p>
        </w:tc>
        <w:tc>
          <w:tcPr>
            <w:tcW w:w="438" w:type="pct"/>
            <w:vAlign w:val="center"/>
          </w:tcPr>
          <w:p w:rsidR="00E70319" w:rsidRDefault="00E70319" w:rsidP="00E70319">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r>
      <w:tr w:rsidR="00E70319" w:rsidTr="00E70319">
        <w:tc>
          <w:tcPr>
            <w:tcW w:w="3130" w:type="pct"/>
            <w:tcBorders>
              <w:top w:val="nil"/>
              <w:left w:val="nil"/>
              <w:bottom w:val="single" w:sz="8" w:space="0" w:color="auto"/>
              <w:right w:val="nil"/>
            </w:tcBorders>
            <w:vAlign w:val="center"/>
            <w:hideMark/>
          </w:tcPr>
          <w:p w:rsidR="00E70319" w:rsidRDefault="00E70319" w:rsidP="00E70319">
            <w:pPr>
              <w:rPr>
                <w:rFonts w:cs="Arial"/>
                <w:b/>
                <w:bCs/>
                <w:sz w:val="15"/>
                <w:szCs w:val="15"/>
                <w:lang w:eastAsia="sk-SK"/>
              </w:rPr>
            </w:pPr>
            <w:r>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rsidR="00E70319" w:rsidRDefault="00E70319" w:rsidP="00E70319">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rsidR="00E70319" w:rsidRDefault="00950CBD" w:rsidP="00E70319">
            <w:pPr>
              <w:jc w:val="right"/>
              <w:rPr>
                <w:rFonts w:cs="Arial"/>
                <w:b/>
                <w:bCs/>
                <w:sz w:val="15"/>
                <w:szCs w:val="15"/>
                <w:lang w:eastAsia="sk-SK"/>
              </w:rPr>
            </w:pPr>
            <w:r>
              <w:rPr>
                <w:rFonts w:cs="Arial"/>
                <w:b/>
                <w:bCs/>
                <w:sz w:val="15"/>
                <w:szCs w:val="15"/>
                <w:lang w:eastAsia="sk-SK"/>
              </w:rPr>
              <w:t>203 789</w:t>
            </w:r>
          </w:p>
        </w:tc>
        <w:tc>
          <w:tcPr>
            <w:tcW w:w="716" w:type="pct"/>
            <w:tcBorders>
              <w:top w:val="nil"/>
              <w:left w:val="nil"/>
              <w:bottom w:val="single" w:sz="8" w:space="0" w:color="auto"/>
              <w:right w:val="nil"/>
            </w:tcBorders>
            <w:vAlign w:val="center"/>
            <w:hideMark/>
          </w:tcPr>
          <w:p w:rsidR="00E70319" w:rsidRDefault="00A74D4F" w:rsidP="00E70319">
            <w:pPr>
              <w:jc w:val="right"/>
              <w:rPr>
                <w:rFonts w:cs="Arial"/>
                <w:b/>
                <w:bCs/>
                <w:sz w:val="15"/>
                <w:szCs w:val="15"/>
                <w:lang w:eastAsia="sk-SK"/>
              </w:rPr>
            </w:pPr>
            <w:r>
              <w:rPr>
                <w:rFonts w:cs="Arial"/>
                <w:b/>
                <w:bCs/>
                <w:sz w:val="15"/>
                <w:szCs w:val="15"/>
                <w:lang w:eastAsia="sk-SK"/>
              </w:rPr>
              <w:t>203789</w:t>
            </w:r>
            <w:r w:rsidR="00E70319" w:rsidRPr="00CF12BA">
              <w:rPr>
                <w:rFonts w:cs="Arial"/>
                <w:b/>
                <w:bCs/>
                <w:sz w:val="15"/>
                <w:szCs w:val="15"/>
                <w:lang w:eastAsia="sk-SK"/>
              </w:rPr>
              <w:t xml:space="preserve"> </w:t>
            </w:r>
          </w:p>
        </w:tc>
      </w:tr>
    </w:tbl>
    <w:p w:rsidR="00E70319" w:rsidRDefault="00E70319" w:rsidP="008711DF">
      <w:pPr>
        <w:rPr>
          <w:snapToGrid w:val="0"/>
          <w:u w:val="single"/>
          <w:lang w:eastAsia="sk-SK"/>
        </w:rPr>
      </w:pPr>
    </w:p>
    <w:bookmarkEnd w:id="6"/>
    <w:p w:rsidR="00E70319" w:rsidRDefault="00E70319">
      <w:pPr>
        <w:pStyle w:val="Nadpis2"/>
        <w:numPr>
          <w:ilvl w:val="1"/>
          <w:numId w:val="24"/>
        </w:numPr>
      </w:pPr>
      <w:r>
        <w:t>Informácie o nákladoch a výnosoch, ktoré majú výnimočný rozsah alebo výskyt</w:t>
      </w:r>
    </w:p>
    <w:p w:rsidR="00E70319" w:rsidRDefault="00E70319" w:rsidP="00E70319">
      <w:pPr>
        <w:rPr>
          <w:snapToGrid w:val="0"/>
        </w:rPr>
      </w:pPr>
    </w:p>
    <w:p w:rsidR="001E2635" w:rsidRPr="00CF12BA" w:rsidRDefault="001E2635" w:rsidP="001E2635">
      <w:pPr>
        <w:rPr>
          <w:snapToGrid w:val="0"/>
          <w:lang w:eastAsia="sk-SK"/>
        </w:rPr>
      </w:pPr>
    </w:p>
    <w:p w:rsidR="001E2635" w:rsidRPr="00CF12BA" w:rsidRDefault="001E2635" w:rsidP="001E2635">
      <w:pPr>
        <w:pStyle w:val="Nadpis1"/>
      </w:pPr>
      <w:r w:rsidRPr="00CF12BA">
        <w:t>INÉ AKTÍVA A INÉ PASÍVA</w:t>
      </w:r>
    </w:p>
    <w:p w:rsidR="001E2635" w:rsidRPr="00CF12BA" w:rsidRDefault="001E2635" w:rsidP="001E2635"/>
    <w:p w:rsidR="001E2635" w:rsidRPr="00CF12BA" w:rsidRDefault="001E2635" w:rsidP="001871D1">
      <w:pPr>
        <w:pStyle w:val="Nadpis2"/>
        <w:numPr>
          <w:ilvl w:val="1"/>
          <w:numId w:val="20"/>
        </w:numPr>
      </w:pPr>
      <w:r w:rsidRPr="00CF12BA">
        <w:t>Podmienené záväzky</w:t>
      </w:r>
    </w:p>
    <w:p w:rsidR="001E2635" w:rsidRPr="00CF12BA" w:rsidRDefault="001E2635" w:rsidP="001E2635">
      <w:pPr>
        <w:rPr>
          <w:snapToGrid w:val="0"/>
          <w:lang w:eastAsia="sk-SK"/>
        </w:rPr>
      </w:pPr>
    </w:p>
    <w:p w:rsidR="001E2635" w:rsidRPr="00CF12BA" w:rsidRDefault="001E2635" w:rsidP="001E2635">
      <w:pPr>
        <w:rPr>
          <w:snapToGrid w:val="0"/>
        </w:rPr>
      </w:pPr>
      <w:r w:rsidRPr="00CF12B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CF12BA">
        <w:rPr>
          <w:snapToGrid w:val="0"/>
        </w:rPr>
        <w:t>201</w:t>
      </w:r>
      <w:r w:rsidR="00A74D4F">
        <w:rPr>
          <w:snapToGrid w:val="0"/>
        </w:rPr>
        <w:t>7</w:t>
      </w:r>
      <w:r w:rsidR="00074CCA">
        <w:rPr>
          <w:snapToGrid w:val="0"/>
        </w:rPr>
        <w:t xml:space="preserve"> </w:t>
      </w:r>
      <w:r w:rsidRPr="00CF12BA">
        <w:rPr>
          <w:snapToGrid w:val="0"/>
        </w:rPr>
        <w:t xml:space="preserve">daňové priznania spoločnosti za roky </w:t>
      </w:r>
      <w:r w:rsidR="00F14CD1" w:rsidRPr="00CF12BA">
        <w:rPr>
          <w:snapToGrid w:val="0"/>
        </w:rPr>
        <w:t>201</w:t>
      </w:r>
      <w:r w:rsidR="00A74D4F">
        <w:rPr>
          <w:snapToGrid w:val="0"/>
        </w:rPr>
        <w:t>2</w:t>
      </w:r>
      <w:r w:rsidR="00AC79A3" w:rsidRPr="00CF12BA">
        <w:rPr>
          <w:snapToGrid w:val="0"/>
        </w:rPr>
        <w:t xml:space="preserve">až </w:t>
      </w:r>
      <w:r w:rsidR="00F14CD1" w:rsidRPr="00CF12BA">
        <w:rPr>
          <w:snapToGrid w:val="0"/>
        </w:rPr>
        <w:t>201</w:t>
      </w:r>
      <w:r w:rsidR="00A74D4F">
        <w:rPr>
          <w:snapToGrid w:val="0"/>
        </w:rPr>
        <w:t>6</w:t>
      </w:r>
      <w:r w:rsidRPr="00CF12BA">
        <w:rPr>
          <w:snapToGrid w:val="0"/>
        </w:rPr>
        <w:t>otvorené a môžu sa stať predmetom kontroly.</w:t>
      </w:r>
    </w:p>
    <w:p w:rsidR="00CE13FC" w:rsidRDefault="00CE13FC">
      <w:pPr>
        <w:jc w:val="left"/>
      </w:pPr>
    </w:p>
    <w:p w:rsidR="00AF52EE" w:rsidRDefault="00AF52EE">
      <w:pPr>
        <w:jc w:val="left"/>
      </w:pPr>
    </w:p>
    <w:p w:rsidR="00E70319" w:rsidRDefault="00E70319" w:rsidP="00F47687">
      <w:pPr>
        <w:pStyle w:val="Nadpis1"/>
      </w:pPr>
      <w:r>
        <w:t>SKUTOČNOSTI, KTORÉ NASTALI PO DNI, KU KTORÉMU SA ZOSTAVUJE ÚČTOVNÁ ZÁVIERKA, A DO DŇA ZOSTAVENIA ÚČTOVNEJ ZÁVIERKY</w:t>
      </w:r>
    </w:p>
    <w:p w:rsidR="00AF52EE" w:rsidRPr="00AF52EE" w:rsidRDefault="00AF52EE" w:rsidP="00AF52EE"/>
    <w:p w:rsidR="00E70319" w:rsidRDefault="00E70319" w:rsidP="00E70319">
      <w:pPr>
        <w:rPr>
          <w:snapToGrid w:val="0"/>
          <w:lang w:eastAsia="sk-SK"/>
        </w:rPr>
      </w:pPr>
      <w:r>
        <w:rPr>
          <w:snapToGrid w:val="0"/>
          <w:lang w:eastAsia="sk-SK"/>
        </w:rPr>
        <w:t>Po 31. decembri 2015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E70319" w:rsidRDefault="00E70319" w:rsidP="00E70319">
      <w:pPr>
        <w:rPr>
          <w:snapToGrid w:val="0"/>
          <w:lang w:eastAsia="sk-SK"/>
        </w:rPr>
      </w:pPr>
    </w:p>
    <w:sectPr w:rsidR="00E70319" w:rsidSect="001871D1">
      <w:headerReference w:type="default" r:id="rId9"/>
      <w:footerReference w:type="default" r:id="rId10"/>
      <w:pgSz w:w="11907" w:h="16840" w:code="9"/>
      <w:pgMar w:top="1418" w:right="1418" w:bottom="992" w:left="1418" w:header="73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5ED8" w:rsidRDefault="007A5ED8">
      <w:r>
        <w:separator/>
      </w:r>
    </w:p>
  </w:endnote>
  <w:endnote w:type="continuationSeparator" w:id="1">
    <w:p w:rsidR="007A5ED8" w:rsidRDefault="007A5ED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C7E" w:rsidRDefault="007C6A03" w:rsidP="001B30A4">
    <w:pPr>
      <w:pStyle w:val="Pta"/>
      <w:framePr w:wrap="around" w:vAnchor="text" w:hAnchor="margin" w:xAlign="right" w:y="1"/>
      <w:rPr>
        <w:rStyle w:val="slostrany"/>
      </w:rPr>
    </w:pPr>
    <w:r>
      <w:rPr>
        <w:rStyle w:val="slostrany"/>
      </w:rPr>
      <w:fldChar w:fldCharType="begin"/>
    </w:r>
    <w:r w:rsidR="00907C7E">
      <w:rPr>
        <w:rStyle w:val="slostrany"/>
      </w:rPr>
      <w:instrText xml:space="preserve">PAGE  </w:instrText>
    </w:r>
    <w:r>
      <w:rPr>
        <w:rStyle w:val="slostrany"/>
      </w:rPr>
      <w:fldChar w:fldCharType="separate"/>
    </w:r>
    <w:r w:rsidR="00A74D4F">
      <w:rPr>
        <w:rStyle w:val="slostrany"/>
        <w:noProof/>
      </w:rPr>
      <w:t>4</w:t>
    </w:r>
    <w:r>
      <w:rPr>
        <w:rStyle w:val="slostrany"/>
      </w:rPr>
      <w:fldChar w:fldCharType="end"/>
    </w:r>
  </w:p>
  <w:p w:rsidR="00907C7E" w:rsidRDefault="00907C7E"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5ED8" w:rsidRDefault="007A5ED8">
      <w:r>
        <w:separator/>
      </w:r>
    </w:p>
  </w:footnote>
  <w:footnote w:type="continuationSeparator" w:id="1">
    <w:p w:rsidR="007A5ED8" w:rsidRDefault="007A5ED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C7E" w:rsidRDefault="00907C7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FC62B4">
      <w:t>45515441</w:t>
    </w:r>
    <w:r>
      <w:tab/>
      <w:t xml:space="preserve">DIČ: </w:t>
    </w:r>
    <w:r w:rsidR="00FC62B4">
      <w:t>2023031384</w:t>
    </w:r>
  </w:p>
  <w:p w:rsidR="00907C7E" w:rsidRDefault="00FC62B4" w:rsidP="00C81150">
    <w:pPr>
      <w:pStyle w:val="Hlavika"/>
    </w:pPr>
    <w:bookmarkStart w:id="8" w:name="Business_name"/>
    <w:bookmarkEnd w:id="8"/>
    <w:r>
      <w:t>LENET</w:t>
    </w:r>
    <w:r w:rsidR="00907C7E" w:rsidRPr="001871D1">
      <w:t xml:space="preserve"> spol. s r.o.</w:t>
    </w:r>
  </w:p>
  <w:p w:rsidR="00907C7E" w:rsidRDefault="00907C7E" w:rsidP="00C81150">
    <w:pPr>
      <w:pStyle w:val="Hlavika"/>
    </w:pPr>
    <w:r>
      <w:t>Poznámky individuálnej účtovnej závierky</w:t>
    </w:r>
  </w:p>
  <w:p w:rsidR="00907C7E" w:rsidRDefault="00907C7E" w:rsidP="00C81150">
    <w:pPr>
      <w:pStyle w:val="Hlavika"/>
    </w:pPr>
    <w:r>
      <w:t>Zostavenej k 31. decembru 201</w:t>
    </w:r>
    <w:r w:rsidR="00A74D4F">
      <w:t>7</w:t>
    </w:r>
  </w:p>
  <w:p w:rsidR="00907C7E" w:rsidRDefault="00907C7E" w:rsidP="00C81150">
    <w:pPr>
      <w:pStyle w:val="Hlavika"/>
      <w:pBdr>
        <w:bottom w:val="single" w:sz="4" w:space="1" w:color="auto"/>
      </w:pBdr>
    </w:pPr>
    <w:r>
      <w:t>(údaje v tabuľkách sú uvedené v celých eurách, ak nie je uvedené inak)</w:t>
    </w:r>
  </w:p>
  <w:p w:rsidR="00907C7E" w:rsidRDefault="00907C7E"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73D5F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3F71E5F"/>
    <w:multiLevelType w:val="hybridMultilevel"/>
    <w:tmpl w:val="522E28A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141EFF68">
      <w:numFmt w:val="bullet"/>
      <w:lvlText w:val="-"/>
      <w:lvlJc w:val="left"/>
      <w:pPr>
        <w:tabs>
          <w:tab w:val="num" w:pos="2160"/>
        </w:tabs>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7C217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9686D7C"/>
    <w:multiLevelType w:val="multilevel"/>
    <w:tmpl w:val="A51810DC"/>
    <w:lvl w:ilvl="0">
      <w:start w:val="1"/>
      <w:numFmt w:val="upperRoman"/>
      <w:pStyle w:val="Nadpis1"/>
      <w:lvlText w:val="%1."/>
      <w:lvlJc w:val="left"/>
      <w:pPr>
        <w:tabs>
          <w:tab w:val="num" w:pos="539"/>
        </w:tabs>
        <w:ind w:left="539" w:hanging="539"/>
      </w:pPr>
      <w:rPr>
        <w:rFonts w:hint="default"/>
      </w:rPr>
    </w:lvl>
    <w:lvl w:ilvl="1">
      <w:start w:val="9"/>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18"/>
  </w:num>
  <w:num w:numId="3">
    <w:abstractNumId w:val="2"/>
  </w:num>
  <w:num w:numId="4">
    <w:abstractNumId w:val="3"/>
  </w:num>
  <w:num w:numId="5">
    <w:abstractNumId w:val="10"/>
  </w:num>
  <w:num w:numId="6">
    <w:abstractNumId w:val="6"/>
  </w:num>
  <w:num w:numId="7">
    <w:abstractNumId w:val="14"/>
  </w:num>
  <w:num w:numId="8">
    <w:abstractNumId w:val="9"/>
  </w:num>
  <w:num w:numId="9">
    <w:abstractNumId w:val="15"/>
  </w:num>
  <w:num w:numId="10">
    <w:abstractNumId w:val="0"/>
  </w:num>
  <w:num w:numId="11">
    <w:abstractNumId w:val="8"/>
  </w:num>
  <w:num w:numId="12">
    <w:abstractNumId w:val="16"/>
  </w:num>
  <w:num w:numId="13">
    <w:abstractNumId w:val="4"/>
  </w:num>
  <w:num w:numId="14">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num>
  <w:num w:numId="21">
    <w:abstractNumId w:val="7"/>
  </w:num>
  <w:num w:numId="22">
    <w:abstractNumId w:val="1"/>
  </w:num>
  <w:num w:numId="23">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8"/>
  </w:num>
  <w:num w:numId="28">
    <w:abstractNumId w:val="11"/>
  </w:num>
  <w:num w:numId="29">
    <w:abstractNumId w:val="17"/>
  </w:num>
  <w:num w:numId="30">
    <w:abstractNumId w:val="18"/>
  </w:num>
  <w:num w:numId="31">
    <w:abstractNumId w:val="12"/>
  </w:num>
  <w:num w:numId="32">
    <w:abstractNumId w:val="18"/>
  </w:num>
  <w:num w:numId="33">
    <w:abstractNumId w:val="7"/>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18"/>
  </w:num>
  <w:num w:numId="37">
    <w:abstractNumId w:val="18"/>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efaultTabStop w:val="720"/>
  <w:hyphenationZone w:val="425"/>
  <w:noPunctuationKerning/>
  <w:characterSpacingControl w:val="doNotCompress"/>
  <w:hdrShapeDefaults>
    <o:shapedefaults v:ext="edit" spidmax="17410"/>
  </w:hdrShapeDefaults>
  <w:footnotePr>
    <w:footnote w:id="0"/>
    <w:footnote w:id="1"/>
  </w:footnotePr>
  <w:endnotePr>
    <w:endnote w:id="0"/>
    <w:endnote w:id="1"/>
  </w:endnotePr>
  <w:compat/>
  <w:docVars>
    <w:docVar w:name="AS2DocOpenMode" w:val="AS2DocumentEdit"/>
  </w:docVars>
  <w:rsids>
    <w:rsidRoot w:val="00C81150"/>
    <w:rsid w:val="000003CC"/>
    <w:rsid w:val="000006C1"/>
    <w:rsid w:val="00001636"/>
    <w:rsid w:val="0000253C"/>
    <w:rsid w:val="000042DC"/>
    <w:rsid w:val="00004FE7"/>
    <w:rsid w:val="00011C99"/>
    <w:rsid w:val="000152FD"/>
    <w:rsid w:val="00024D09"/>
    <w:rsid w:val="00025E11"/>
    <w:rsid w:val="0003554D"/>
    <w:rsid w:val="0003701A"/>
    <w:rsid w:val="000413F6"/>
    <w:rsid w:val="00042DF7"/>
    <w:rsid w:val="00042E14"/>
    <w:rsid w:val="000505CF"/>
    <w:rsid w:val="00056876"/>
    <w:rsid w:val="00060EA8"/>
    <w:rsid w:val="00061A44"/>
    <w:rsid w:val="00066AED"/>
    <w:rsid w:val="000670A7"/>
    <w:rsid w:val="00072D4F"/>
    <w:rsid w:val="00074CCA"/>
    <w:rsid w:val="000773CC"/>
    <w:rsid w:val="00086A37"/>
    <w:rsid w:val="000923F2"/>
    <w:rsid w:val="000A3022"/>
    <w:rsid w:val="000B638D"/>
    <w:rsid w:val="000B7D61"/>
    <w:rsid w:val="000C1342"/>
    <w:rsid w:val="000C3965"/>
    <w:rsid w:val="000C559C"/>
    <w:rsid w:val="000C6D1B"/>
    <w:rsid w:val="000D051D"/>
    <w:rsid w:val="000D4339"/>
    <w:rsid w:val="000D5BD0"/>
    <w:rsid w:val="000D6844"/>
    <w:rsid w:val="000D7DAD"/>
    <w:rsid w:val="000E123F"/>
    <w:rsid w:val="000E1EAB"/>
    <w:rsid w:val="000E4315"/>
    <w:rsid w:val="000E44F0"/>
    <w:rsid w:val="000F2546"/>
    <w:rsid w:val="000F3C33"/>
    <w:rsid w:val="000F3D4D"/>
    <w:rsid w:val="000F63F1"/>
    <w:rsid w:val="00100B64"/>
    <w:rsid w:val="00101342"/>
    <w:rsid w:val="00111C30"/>
    <w:rsid w:val="00113235"/>
    <w:rsid w:val="001145C2"/>
    <w:rsid w:val="001170F1"/>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303C"/>
    <w:rsid w:val="0018312B"/>
    <w:rsid w:val="00185803"/>
    <w:rsid w:val="001859DB"/>
    <w:rsid w:val="0018699A"/>
    <w:rsid w:val="001871D1"/>
    <w:rsid w:val="00193CFA"/>
    <w:rsid w:val="0019430E"/>
    <w:rsid w:val="001A054A"/>
    <w:rsid w:val="001B0DB0"/>
    <w:rsid w:val="001B30A4"/>
    <w:rsid w:val="001B5206"/>
    <w:rsid w:val="001B71C6"/>
    <w:rsid w:val="001D2B78"/>
    <w:rsid w:val="001D2C69"/>
    <w:rsid w:val="001D3064"/>
    <w:rsid w:val="001D4EAF"/>
    <w:rsid w:val="001D504C"/>
    <w:rsid w:val="001D673D"/>
    <w:rsid w:val="001E01F8"/>
    <w:rsid w:val="001E2635"/>
    <w:rsid w:val="001E3B2C"/>
    <w:rsid w:val="001E719C"/>
    <w:rsid w:val="001E7800"/>
    <w:rsid w:val="001F23FB"/>
    <w:rsid w:val="001F5DA0"/>
    <w:rsid w:val="001F6C2E"/>
    <w:rsid w:val="00202BDE"/>
    <w:rsid w:val="00204C96"/>
    <w:rsid w:val="00207794"/>
    <w:rsid w:val="0021323C"/>
    <w:rsid w:val="00214BAA"/>
    <w:rsid w:val="0021575F"/>
    <w:rsid w:val="0021576C"/>
    <w:rsid w:val="002162B9"/>
    <w:rsid w:val="0021669E"/>
    <w:rsid w:val="00223A9A"/>
    <w:rsid w:val="00234DAD"/>
    <w:rsid w:val="00234DD8"/>
    <w:rsid w:val="00240FEC"/>
    <w:rsid w:val="0024441D"/>
    <w:rsid w:val="002543B4"/>
    <w:rsid w:val="002548D4"/>
    <w:rsid w:val="002551CB"/>
    <w:rsid w:val="00256108"/>
    <w:rsid w:val="00262BF6"/>
    <w:rsid w:val="002643ED"/>
    <w:rsid w:val="002647F4"/>
    <w:rsid w:val="00264D66"/>
    <w:rsid w:val="00271FCD"/>
    <w:rsid w:val="002747FF"/>
    <w:rsid w:val="00276E90"/>
    <w:rsid w:val="00277F98"/>
    <w:rsid w:val="00280586"/>
    <w:rsid w:val="0028631C"/>
    <w:rsid w:val="002926EC"/>
    <w:rsid w:val="00295DB1"/>
    <w:rsid w:val="002966BD"/>
    <w:rsid w:val="002A472F"/>
    <w:rsid w:val="002A48FC"/>
    <w:rsid w:val="002B1694"/>
    <w:rsid w:val="002C2DC7"/>
    <w:rsid w:val="002C2E45"/>
    <w:rsid w:val="002C6F9D"/>
    <w:rsid w:val="002D03DC"/>
    <w:rsid w:val="002D055E"/>
    <w:rsid w:val="002D7595"/>
    <w:rsid w:val="002E02D1"/>
    <w:rsid w:val="002E19BA"/>
    <w:rsid w:val="002E2DB5"/>
    <w:rsid w:val="002E3D80"/>
    <w:rsid w:val="002E5681"/>
    <w:rsid w:val="002E6E96"/>
    <w:rsid w:val="002E7573"/>
    <w:rsid w:val="002E7E87"/>
    <w:rsid w:val="002F055A"/>
    <w:rsid w:val="002F1158"/>
    <w:rsid w:val="002F34E7"/>
    <w:rsid w:val="002F583C"/>
    <w:rsid w:val="002F6EDE"/>
    <w:rsid w:val="002F78A4"/>
    <w:rsid w:val="002F7F37"/>
    <w:rsid w:val="00306504"/>
    <w:rsid w:val="00310224"/>
    <w:rsid w:val="0031154A"/>
    <w:rsid w:val="0032199B"/>
    <w:rsid w:val="00321F75"/>
    <w:rsid w:val="00330565"/>
    <w:rsid w:val="00330AB2"/>
    <w:rsid w:val="00332B4B"/>
    <w:rsid w:val="00334470"/>
    <w:rsid w:val="003407DC"/>
    <w:rsid w:val="00342596"/>
    <w:rsid w:val="00354434"/>
    <w:rsid w:val="00354E22"/>
    <w:rsid w:val="003619F5"/>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811"/>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0F3"/>
    <w:rsid w:val="00432F9A"/>
    <w:rsid w:val="00442F90"/>
    <w:rsid w:val="004431DF"/>
    <w:rsid w:val="004476A0"/>
    <w:rsid w:val="00447B2C"/>
    <w:rsid w:val="004528D6"/>
    <w:rsid w:val="00452D7F"/>
    <w:rsid w:val="00453985"/>
    <w:rsid w:val="00454448"/>
    <w:rsid w:val="004570ED"/>
    <w:rsid w:val="00461CA9"/>
    <w:rsid w:val="00464078"/>
    <w:rsid w:val="004654CD"/>
    <w:rsid w:val="00465890"/>
    <w:rsid w:val="00465E18"/>
    <w:rsid w:val="00470A91"/>
    <w:rsid w:val="00473947"/>
    <w:rsid w:val="00477E08"/>
    <w:rsid w:val="004816DC"/>
    <w:rsid w:val="00481856"/>
    <w:rsid w:val="00482641"/>
    <w:rsid w:val="00482FA6"/>
    <w:rsid w:val="00487854"/>
    <w:rsid w:val="00491B66"/>
    <w:rsid w:val="004964F5"/>
    <w:rsid w:val="004A1F58"/>
    <w:rsid w:val="004A273B"/>
    <w:rsid w:val="004A40D5"/>
    <w:rsid w:val="004A4A5A"/>
    <w:rsid w:val="004A4D49"/>
    <w:rsid w:val="004B5701"/>
    <w:rsid w:val="004B7838"/>
    <w:rsid w:val="004C09F3"/>
    <w:rsid w:val="004C0F36"/>
    <w:rsid w:val="004C2171"/>
    <w:rsid w:val="004D02DC"/>
    <w:rsid w:val="004D4CB4"/>
    <w:rsid w:val="004D5DE6"/>
    <w:rsid w:val="004E1ADB"/>
    <w:rsid w:val="004E40B8"/>
    <w:rsid w:val="004E55F7"/>
    <w:rsid w:val="004F4E7B"/>
    <w:rsid w:val="004F5290"/>
    <w:rsid w:val="005009EF"/>
    <w:rsid w:val="00502A51"/>
    <w:rsid w:val="00502FB9"/>
    <w:rsid w:val="00507587"/>
    <w:rsid w:val="00510A3B"/>
    <w:rsid w:val="00510B3E"/>
    <w:rsid w:val="00511BA5"/>
    <w:rsid w:val="00511DA2"/>
    <w:rsid w:val="00514ACD"/>
    <w:rsid w:val="00516FB6"/>
    <w:rsid w:val="00517F4D"/>
    <w:rsid w:val="00520F36"/>
    <w:rsid w:val="00530EFE"/>
    <w:rsid w:val="00530F08"/>
    <w:rsid w:val="0053243B"/>
    <w:rsid w:val="00535CF2"/>
    <w:rsid w:val="00537BD5"/>
    <w:rsid w:val="0054112A"/>
    <w:rsid w:val="00541E0A"/>
    <w:rsid w:val="00542472"/>
    <w:rsid w:val="00542B27"/>
    <w:rsid w:val="00550E39"/>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4440"/>
    <w:rsid w:val="005A5BEE"/>
    <w:rsid w:val="005B27D0"/>
    <w:rsid w:val="005B2929"/>
    <w:rsid w:val="005B36DD"/>
    <w:rsid w:val="005B4A69"/>
    <w:rsid w:val="005B5695"/>
    <w:rsid w:val="005B57EA"/>
    <w:rsid w:val="005B6728"/>
    <w:rsid w:val="005C21A4"/>
    <w:rsid w:val="005C501F"/>
    <w:rsid w:val="005D447B"/>
    <w:rsid w:val="005D55FF"/>
    <w:rsid w:val="005D67E2"/>
    <w:rsid w:val="005E121C"/>
    <w:rsid w:val="005E41B9"/>
    <w:rsid w:val="005F07B4"/>
    <w:rsid w:val="005F1651"/>
    <w:rsid w:val="005F2E78"/>
    <w:rsid w:val="00603BE4"/>
    <w:rsid w:val="00607D6C"/>
    <w:rsid w:val="00610D50"/>
    <w:rsid w:val="00612589"/>
    <w:rsid w:val="00614C42"/>
    <w:rsid w:val="006150D4"/>
    <w:rsid w:val="00615A60"/>
    <w:rsid w:val="006204AE"/>
    <w:rsid w:val="006212A4"/>
    <w:rsid w:val="00621694"/>
    <w:rsid w:val="00626BD5"/>
    <w:rsid w:val="00626E13"/>
    <w:rsid w:val="00630717"/>
    <w:rsid w:val="006307C8"/>
    <w:rsid w:val="00634E56"/>
    <w:rsid w:val="00636A8D"/>
    <w:rsid w:val="00636E94"/>
    <w:rsid w:val="006373DA"/>
    <w:rsid w:val="00640E59"/>
    <w:rsid w:val="00642760"/>
    <w:rsid w:val="006439F2"/>
    <w:rsid w:val="0065080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939"/>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0A30"/>
    <w:rsid w:val="006D31EF"/>
    <w:rsid w:val="006D5A62"/>
    <w:rsid w:val="006D6F03"/>
    <w:rsid w:val="006D785A"/>
    <w:rsid w:val="006D7A59"/>
    <w:rsid w:val="006E06CF"/>
    <w:rsid w:val="006E31BF"/>
    <w:rsid w:val="006E4BB9"/>
    <w:rsid w:val="006E7560"/>
    <w:rsid w:val="006F040F"/>
    <w:rsid w:val="006F04CD"/>
    <w:rsid w:val="006F1A2F"/>
    <w:rsid w:val="006F1C45"/>
    <w:rsid w:val="006F4D01"/>
    <w:rsid w:val="006F4FB2"/>
    <w:rsid w:val="006F5391"/>
    <w:rsid w:val="006F6064"/>
    <w:rsid w:val="006F6823"/>
    <w:rsid w:val="00701898"/>
    <w:rsid w:val="00703B13"/>
    <w:rsid w:val="007051B1"/>
    <w:rsid w:val="00705FBF"/>
    <w:rsid w:val="007137B5"/>
    <w:rsid w:val="0071572C"/>
    <w:rsid w:val="00715E9D"/>
    <w:rsid w:val="00717044"/>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94B"/>
    <w:rsid w:val="007829D0"/>
    <w:rsid w:val="0078504A"/>
    <w:rsid w:val="00787F5D"/>
    <w:rsid w:val="00793B10"/>
    <w:rsid w:val="007978F7"/>
    <w:rsid w:val="007A1D05"/>
    <w:rsid w:val="007A1F27"/>
    <w:rsid w:val="007A3FCA"/>
    <w:rsid w:val="007A4E31"/>
    <w:rsid w:val="007A5D21"/>
    <w:rsid w:val="007A5ED8"/>
    <w:rsid w:val="007B0036"/>
    <w:rsid w:val="007B1DB6"/>
    <w:rsid w:val="007B357C"/>
    <w:rsid w:val="007C3562"/>
    <w:rsid w:val="007C439E"/>
    <w:rsid w:val="007C4C15"/>
    <w:rsid w:val="007C6A03"/>
    <w:rsid w:val="007C6D77"/>
    <w:rsid w:val="007D06E6"/>
    <w:rsid w:val="007D27F2"/>
    <w:rsid w:val="007D3F5B"/>
    <w:rsid w:val="007D506E"/>
    <w:rsid w:val="007D6303"/>
    <w:rsid w:val="007D6C8D"/>
    <w:rsid w:val="007D77C0"/>
    <w:rsid w:val="007E1978"/>
    <w:rsid w:val="007E30AE"/>
    <w:rsid w:val="007E619C"/>
    <w:rsid w:val="007F1711"/>
    <w:rsid w:val="007F2B64"/>
    <w:rsid w:val="007F6E27"/>
    <w:rsid w:val="007F7D0E"/>
    <w:rsid w:val="008000C6"/>
    <w:rsid w:val="00801D76"/>
    <w:rsid w:val="00802D05"/>
    <w:rsid w:val="0080344C"/>
    <w:rsid w:val="0081477F"/>
    <w:rsid w:val="008177C9"/>
    <w:rsid w:val="00824C92"/>
    <w:rsid w:val="00826D27"/>
    <w:rsid w:val="00831E06"/>
    <w:rsid w:val="00833541"/>
    <w:rsid w:val="00837CD1"/>
    <w:rsid w:val="00842042"/>
    <w:rsid w:val="00845108"/>
    <w:rsid w:val="00853C59"/>
    <w:rsid w:val="00853D7D"/>
    <w:rsid w:val="008561C1"/>
    <w:rsid w:val="00857186"/>
    <w:rsid w:val="00857755"/>
    <w:rsid w:val="00862276"/>
    <w:rsid w:val="00862487"/>
    <w:rsid w:val="008634D1"/>
    <w:rsid w:val="00864105"/>
    <w:rsid w:val="00864B7A"/>
    <w:rsid w:val="00866CFF"/>
    <w:rsid w:val="008711DF"/>
    <w:rsid w:val="00871876"/>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136A"/>
    <w:rsid w:val="00902506"/>
    <w:rsid w:val="00904FC4"/>
    <w:rsid w:val="00904FDA"/>
    <w:rsid w:val="009051D3"/>
    <w:rsid w:val="00907C7E"/>
    <w:rsid w:val="00914918"/>
    <w:rsid w:val="00916FF0"/>
    <w:rsid w:val="00920677"/>
    <w:rsid w:val="00923489"/>
    <w:rsid w:val="0092451C"/>
    <w:rsid w:val="00932E9E"/>
    <w:rsid w:val="00933086"/>
    <w:rsid w:val="00936F55"/>
    <w:rsid w:val="00941D7F"/>
    <w:rsid w:val="009422D7"/>
    <w:rsid w:val="0094772F"/>
    <w:rsid w:val="00950360"/>
    <w:rsid w:val="00950CBD"/>
    <w:rsid w:val="00951D53"/>
    <w:rsid w:val="009579CD"/>
    <w:rsid w:val="00957CE4"/>
    <w:rsid w:val="00960012"/>
    <w:rsid w:val="0096189C"/>
    <w:rsid w:val="009629A8"/>
    <w:rsid w:val="0096300B"/>
    <w:rsid w:val="00965C8E"/>
    <w:rsid w:val="00970061"/>
    <w:rsid w:val="00974390"/>
    <w:rsid w:val="00976E6D"/>
    <w:rsid w:val="0098481C"/>
    <w:rsid w:val="0098634D"/>
    <w:rsid w:val="00987921"/>
    <w:rsid w:val="00990976"/>
    <w:rsid w:val="009934F6"/>
    <w:rsid w:val="00996F4A"/>
    <w:rsid w:val="00997723"/>
    <w:rsid w:val="009B006E"/>
    <w:rsid w:val="009B2C12"/>
    <w:rsid w:val="009B5601"/>
    <w:rsid w:val="009C0027"/>
    <w:rsid w:val="009C239A"/>
    <w:rsid w:val="009C4F06"/>
    <w:rsid w:val="009D030F"/>
    <w:rsid w:val="009D18F8"/>
    <w:rsid w:val="009D37AE"/>
    <w:rsid w:val="009D5AA8"/>
    <w:rsid w:val="009D64A1"/>
    <w:rsid w:val="009D6B8B"/>
    <w:rsid w:val="009E051F"/>
    <w:rsid w:val="009E172B"/>
    <w:rsid w:val="009F4036"/>
    <w:rsid w:val="009F6044"/>
    <w:rsid w:val="009F7FD4"/>
    <w:rsid w:val="00A01ACD"/>
    <w:rsid w:val="00A04E0D"/>
    <w:rsid w:val="00A0722C"/>
    <w:rsid w:val="00A109AB"/>
    <w:rsid w:val="00A10FFF"/>
    <w:rsid w:val="00A113C2"/>
    <w:rsid w:val="00A12EDC"/>
    <w:rsid w:val="00A1305F"/>
    <w:rsid w:val="00A228D3"/>
    <w:rsid w:val="00A23D8A"/>
    <w:rsid w:val="00A2484E"/>
    <w:rsid w:val="00A25A3F"/>
    <w:rsid w:val="00A313C2"/>
    <w:rsid w:val="00A33809"/>
    <w:rsid w:val="00A33AF8"/>
    <w:rsid w:val="00A33FE8"/>
    <w:rsid w:val="00A35C6F"/>
    <w:rsid w:val="00A36CCE"/>
    <w:rsid w:val="00A372D1"/>
    <w:rsid w:val="00A37DB2"/>
    <w:rsid w:val="00A40BD1"/>
    <w:rsid w:val="00A45117"/>
    <w:rsid w:val="00A6041A"/>
    <w:rsid w:val="00A636C0"/>
    <w:rsid w:val="00A67049"/>
    <w:rsid w:val="00A72794"/>
    <w:rsid w:val="00A74D4F"/>
    <w:rsid w:val="00A7586B"/>
    <w:rsid w:val="00A76500"/>
    <w:rsid w:val="00A7655A"/>
    <w:rsid w:val="00A852DC"/>
    <w:rsid w:val="00A87675"/>
    <w:rsid w:val="00A9011B"/>
    <w:rsid w:val="00A94FC4"/>
    <w:rsid w:val="00AA01E0"/>
    <w:rsid w:val="00AA1C46"/>
    <w:rsid w:val="00AA43CE"/>
    <w:rsid w:val="00AA62FA"/>
    <w:rsid w:val="00AA6B6E"/>
    <w:rsid w:val="00AA772E"/>
    <w:rsid w:val="00AB3F00"/>
    <w:rsid w:val="00AB60DA"/>
    <w:rsid w:val="00AC1645"/>
    <w:rsid w:val="00AC172D"/>
    <w:rsid w:val="00AC3203"/>
    <w:rsid w:val="00AC485D"/>
    <w:rsid w:val="00AC76D6"/>
    <w:rsid w:val="00AC79A3"/>
    <w:rsid w:val="00AD2025"/>
    <w:rsid w:val="00AD2CE4"/>
    <w:rsid w:val="00AD4EB2"/>
    <w:rsid w:val="00AD4EC6"/>
    <w:rsid w:val="00AE0171"/>
    <w:rsid w:val="00AE6591"/>
    <w:rsid w:val="00AE66CD"/>
    <w:rsid w:val="00AE7683"/>
    <w:rsid w:val="00AF17E8"/>
    <w:rsid w:val="00AF3AFD"/>
    <w:rsid w:val="00AF3FB5"/>
    <w:rsid w:val="00AF52EE"/>
    <w:rsid w:val="00B03F2A"/>
    <w:rsid w:val="00B068A1"/>
    <w:rsid w:val="00B0734A"/>
    <w:rsid w:val="00B07A2F"/>
    <w:rsid w:val="00B1271B"/>
    <w:rsid w:val="00B16B56"/>
    <w:rsid w:val="00B17212"/>
    <w:rsid w:val="00B22433"/>
    <w:rsid w:val="00B23E54"/>
    <w:rsid w:val="00B2482F"/>
    <w:rsid w:val="00B26F12"/>
    <w:rsid w:val="00B3242B"/>
    <w:rsid w:val="00B3278B"/>
    <w:rsid w:val="00B33F31"/>
    <w:rsid w:val="00B36520"/>
    <w:rsid w:val="00B40F3C"/>
    <w:rsid w:val="00B4459D"/>
    <w:rsid w:val="00B451A4"/>
    <w:rsid w:val="00B46882"/>
    <w:rsid w:val="00B475A1"/>
    <w:rsid w:val="00B52CAC"/>
    <w:rsid w:val="00B53B39"/>
    <w:rsid w:val="00B53E59"/>
    <w:rsid w:val="00B54C9D"/>
    <w:rsid w:val="00B56377"/>
    <w:rsid w:val="00B604CF"/>
    <w:rsid w:val="00B63B55"/>
    <w:rsid w:val="00B6548F"/>
    <w:rsid w:val="00B66878"/>
    <w:rsid w:val="00B670B9"/>
    <w:rsid w:val="00B6770C"/>
    <w:rsid w:val="00B70EFA"/>
    <w:rsid w:val="00B7225B"/>
    <w:rsid w:val="00B736C2"/>
    <w:rsid w:val="00B761A8"/>
    <w:rsid w:val="00B77AA1"/>
    <w:rsid w:val="00B81497"/>
    <w:rsid w:val="00B82513"/>
    <w:rsid w:val="00B859D1"/>
    <w:rsid w:val="00B86243"/>
    <w:rsid w:val="00B87384"/>
    <w:rsid w:val="00B918B2"/>
    <w:rsid w:val="00B91B79"/>
    <w:rsid w:val="00B91D17"/>
    <w:rsid w:val="00B91EF2"/>
    <w:rsid w:val="00B93233"/>
    <w:rsid w:val="00B94B14"/>
    <w:rsid w:val="00B94D8D"/>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E09FD"/>
    <w:rsid w:val="00BE6691"/>
    <w:rsid w:val="00BE6F6C"/>
    <w:rsid w:val="00BF0B0D"/>
    <w:rsid w:val="00BF1666"/>
    <w:rsid w:val="00BF238A"/>
    <w:rsid w:val="00BF2474"/>
    <w:rsid w:val="00BF54D6"/>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42CB"/>
    <w:rsid w:val="00C67296"/>
    <w:rsid w:val="00C700F1"/>
    <w:rsid w:val="00C75CC2"/>
    <w:rsid w:val="00C81150"/>
    <w:rsid w:val="00C857F9"/>
    <w:rsid w:val="00C9186D"/>
    <w:rsid w:val="00C9225A"/>
    <w:rsid w:val="00C931C5"/>
    <w:rsid w:val="00C96ACD"/>
    <w:rsid w:val="00C97661"/>
    <w:rsid w:val="00CA36AE"/>
    <w:rsid w:val="00CA6376"/>
    <w:rsid w:val="00CB1400"/>
    <w:rsid w:val="00CB407B"/>
    <w:rsid w:val="00CB6134"/>
    <w:rsid w:val="00CB6321"/>
    <w:rsid w:val="00CC07E5"/>
    <w:rsid w:val="00CC209F"/>
    <w:rsid w:val="00CC2D00"/>
    <w:rsid w:val="00CC4625"/>
    <w:rsid w:val="00CC77A8"/>
    <w:rsid w:val="00CD0039"/>
    <w:rsid w:val="00CD0350"/>
    <w:rsid w:val="00CD1B3A"/>
    <w:rsid w:val="00CD2987"/>
    <w:rsid w:val="00CD4672"/>
    <w:rsid w:val="00CD6DA2"/>
    <w:rsid w:val="00CD7A43"/>
    <w:rsid w:val="00CE03C6"/>
    <w:rsid w:val="00CE13FC"/>
    <w:rsid w:val="00CE2768"/>
    <w:rsid w:val="00CE2989"/>
    <w:rsid w:val="00CE343B"/>
    <w:rsid w:val="00CE6287"/>
    <w:rsid w:val="00CE7C26"/>
    <w:rsid w:val="00CF12BA"/>
    <w:rsid w:val="00CF2070"/>
    <w:rsid w:val="00CF6902"/>
    <w:rsid w:val="00D0021B"/>
    <w:rsid w:val="00D01295"/>
    <w:rsid w:val="00D03E16"/>
    <w:rsid w:val="00D05278"/>
    <w:rsid w:val="00D06B8A"/>
    <w:rsid w:val="00D07BDD"/>
    <w:rsid w:val="00D10E9B"/>
    <w:rsid w:val="00D11406"/>
    <w:rsid w:val="00D11D52"/>
    <w:rsid w:val="00D145E3"/>
    <w:rsid w:val="00D157BA"/>
    <w:rsid w:val="00D22A1B"/>
    <w:rsid w:val="00D22B64"/>
    <w:rsid w:val="00D230B8"/>
    <w:rsid w:val="00D2560A"/>
    <w:rsid w:val="00D25ED3"/>
    <w:rsid w:val="00D26133"/>
    <w:rsid w:val="00D27DA5"/>
    <w:rsid w:val="00D301EA"/>
    <w:rsid w:val="00D31407"/>
    <w:rsid w:val="00D3184D"/>
    <w:rsid w:val="00D3502A"/>
    <w:rsid w:val="00D4139C"/>
    <w:rsid w:val="00D41691"/>
    <w:rsid w:val="00D418B9"/>
    <w:rsid w:val="00D43CBB"/>
    <w:rsid w:val="00D473B3"/>
    <w:rsid w:val="00D50748"/>
    <w:rsid w:val="00D50CFE"/>
    <w:rsid w:val="00D52BC7"/>
    <w:rsid w:val="00D52EBB"/>
    <w:rsid w:val="00D55A35"/>
    <w:rsid w:val="00D5663A"/>
    <w:rsid w:val="00D568DC"/>
    <w:rsid w:val="00D56AC4"/>
    <w:rsid w:val="00D56BE5"/>
    <w:rsid w:val="00D60195"/>
    <w:rsid w:val="00D6067B"/>
    <w:rsid w:val="00D61E51"/>
    <w:rsid w:val="00D636A0"/>
    <w:rsid w:val="00D636E6"/>
    <w:rsid w:val="00D64CF3"/>
    <w:rsid w:val="00D650AD"/>
    <w:rsid w:val="00D7004B"/>
    <w:rsid w:val="00D71A36"/>
    <w:rsid w:val="00D7273D"/>
    <w:rsid w:val="00D728CA"/>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482B"/>
    <w:rsid w:val="00DD5063"/>
    <w:rsid w:val="00DE135E"/>
    <w:rsid w:val="00DE151D"/>
    <w:rsid w:val="00DE242C"/>
    <w:rsid w:val="00DE29FC"/>
    <w:rsid w:val="00DE40F6"/>
    <w:rsid w:val="00DE5E07"/>
    <w:rsid w:val="00DE7D69"/>
    <w:rsid w:val="00DF0A8B"/>
    <w:rsid w:val="00DF1B3E"/>
    <w:rsid w:val="00DF2172"/>
    <w:rsid w:val="00DF228E"/>
    <w:rsid w:val="00DF3A12"/>
    <w:rsid w:val="00DF7431"/>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56C8F"/>
    <w:rsid w:val="00E60EEA"/>
    <w:rsid w:val="00E650B1"/>
    <w:rsid w:val="00E65E15"/>
    <w:rsid w:val="00E70319"/>
    <w:rsid w:val="00E82A4D"/>
    <w:rsid w:val="00E843C6"/>
    <w:rsid w:val="00E86226"/>
    <w:rsid w:val="00E865D4"/>
    <w:rsid w:val="00E9254D"/>
    <w:rsid w:val="00E97E6E"/>
    <w:rsid w:val="00EA3E71"/>
    <w:rsid w:val="00EA4095"/>
    <w:rsid w:val="00EA4DF9"/>
    <w:rsid w:val="00EA6B52"/>
    <w:rsid w:val="00EB02F1"/>
    <w:rsid w:val="00EB2CFC"/>
    <w:rsid w:val="00EB3114"/>
    <w:rsid w:val="00EB4F9D"/>
    <w:rsid w:val="00EB56EE"/>
    <w:rsid w:val="00EC3950"/>
    <w:rsid w:val="00EC6867"/>
    <w:rsid w:val="00EC6CC4"/>
    <w:rsid w:val="00EC786F"/>
    <w:rsid w:val="00ED01A2"/>
    <w:rsid w:val="00ED312A"/>
    <w:rsid w:val="00ED38FA"/>
    <w:rsid w:val="00ED48C7"/>
    <w:rsid w:val="00ED66AC"/>
    <w:rsid w:val="00EE084E"/>
    <w:rsid w:val="00EE0AD3"/>
    <w:rsid w:val="00EE359A"/>
    <w:rsid w:val="00EE3813"/>
    <w:rsid w:val="00EE4F99"/>
    <w:rsid w:val="00EF395A"/>
    <w:rsid w:val="00EF4646"/>
    <w:rsid w:val="00EF58B3"/>
    <w:rsid w:val="00F01A8D"/>
    <w:rsid w:val="00F03CF6"/>
    <w:rsid w:val="00F05C9B"/>
    <w:rsid w:val="00F062E8"/>
    <w:rsid w:val="00F07EBB"/>
    <w:rsid w:val="00F14CD1"/>
    <w:rsid w:val="00F15EDB"/>
    <w:rsid w:val="00F15FC0"/>
    <w:rsid w:val="00F20FAF"/>
    <w:rsid w:val="00F21631"/>
    <w:rsid w:val="00F228D0"/>
    <w:rsid w:val="00F2393E"/>
    <w:rsid w:val="00F23A47"/>
    <w:rsid w:val="00F246DF"/>
    <w:rsid w:val="00F33229"/>
    <w:rsid w:val="00F3588F"/>
    <w:rsid w:val="00F35AF5"/>
    <w:rsid w:val="00F41260"/>
    <w:rsid w:val="00F42AEA"/>
    <w:rsid w:val="00F44D28"/>
    <w:rsid w:val="00F4557C"/>
    <w:rsid w:val="00F46EBA"/>
    <w:rsid w:val="00F47687"/>
    <w:rsid w:val="00F47951"/>
    <w:rsid w:val="00F50A57"/>
    <w:rsid w:val="00F54E9A"/>
    <w:rsid w:val="00F66044"/>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4B14"/>
    <w:rsid w:val="00FB01DC"/>
    <w:rsid w:val="00FB19B5"/>
    <w:rsid w:val="00FB26B6"/>
    <w:rsid w:val="00FB77AB"/>
    <w:rsid w:val="00FC59AC"/>
    <w:rsid w:val="00FC5BA7"/>
    <w:rsid w:val="00FC62B4"/>
    <w:rsid w:val="00FD1CE3"/>
    <w:rsid w:val="00FD4DFC"/>
    <w:rsid w:val="00FD573A"/>
    <w:rsid w:val="00FD610B"/>
    <w:rsid w:val="00FE75F6"/>
    <w:rsid w:val="00FE7D5E"/>
    <w:rsid w:val="00FF054E"/>
    <w:rsid w:val="00FF24B1"/>
    <w:rsid w:val="00FF3591"/>
    <w:rsid w:val="00FF43E0"/>
    <w:rsid w:val="00FF6288"/>
    <w:rsid w:val="00FF6F6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Nadpis1Char">
    <w:name w:val="Nadpis 1 Char"/>
    <w:basedOn w:val="Predvolenpsmoodseku"/>
    <w:link w:val="Nadpis1"/>
    <w:rsid w:val="00E7031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E70319"/>
    <w:rPr>
      <w:rFonts w:ascii="Verdana" w:hAnsi="Verdana" w:cs="Arial"/>
      <w:bCs/>
      <w:sz w:val="17"/>
      <w:szCs w:val="26"/>
      <w:u w:val="singl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Nadpis1Char">
    <w:name w:val="Nadpis 1 Char"/>
    <w:basedOn w:val="Predvolenpsmoodseku"/>
    <w:link w:val="Nadpis1"/>
    <w:rsid w:val="00E7031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E70319"/>
    <w:rPr>
      <w:rFonts w:ascii="Verdana" w:hAnsi="Verdana" w:cs="Arial"/>
      <w:bCs/>
      <w:sz w:val="17"/>
      <w:szCs w:val="26"/>
      <w:u w:val="single"/>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262726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59985221">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316847">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2160968">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0297661">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4604">
      <w:bodyDiv w:val="1"/>
      <w:marLeft w:val="0"/>
      <w:marRight w:val="0"/>
      <w:marTop w:val="0"/>
      <w:marBottom w:val="0"/>
      <w:divBdr>
        <w:top w:val="none" w:sz="0" w:space="0" w:color="auto"/>
        <w:left w:val="none" w:sz="0" w:space="0" w:color="auto"/>
        <w:bottom w:val="none" w:sz="0" w:space="0" w:color="auto"/>
        <w:right w:val="none" w:sz="0" w:space="0" w:color="auto"/>
      </w:divBdr>
    </w:div>
    <w:div w:id="43825896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367479">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769432">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483720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2666786">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5171445">
      <w:bodyDiv w:val="1"/>
      <w:marLeft w:val="0"/>
      <w:marRight w:val="0"/>
      <w:marTop w:val="0"/>
      <w:marBottom w:val="0"/>
      <w:divBdr>
        <w:top w:val="none" w:sz="0" w:space="0" w:color="auto"/>
        <w:left w:val="none" w:sz="0" w:space="0" w:color="auto"/>
        <w:bottom w:val="none" w:sz="0" w:space="0" w:color="auto"/>
        <w:right w:val="none" w:sz="0" w:space="0" w:color="auto"/>
      </w:divBdr>
    </w:div>
    <w:div w:id="511574139">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495956">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0372767">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749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5639282">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49663547">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7359946">
      <w:bodyDiv w:val="1"/>
      <w:marLeft w:val="0"/>
      <w:marRight w:val="0"/>
      <w:marTop w:val="0"/>
      <w:marBottom w:val="0"/>
      <w:divBdr>
        <w:top w:val="none" w:sz="0" w:space="0" w:color="auto"/>
        <w:left w:val="none" w:sz="0" w:space="0" w:color="auto"/>
        <w:bottom w:val="none" w:sz="0" w:space="0" w:color="auto"/>
        <w:right w:val="none" w:sz="0" w:space="0" w:color="auto"/>
      </w:divBdr>
    </w:div>
    <w:div w:id="1172111719">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3938637">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5726454">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6576626">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51942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43333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406654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09694485">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657577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0318890">
      <w:bodyDiv w:val="1"/>
      <w:marLeft w:val="0"/>
      <w:marRight w:val="0"/>
      <w:marTop w:val="0"/>
      <w:marBottom w:val="0"/>
      <w:divBdr>
        <w:top w:val="none" w:sz="0" w:space="0" w:color="auto"/>
        <w:left w:val="none" w:sz="0" w:space="0" w:color="auto"/>
        <w:bottom w:val="none" w:sz="0" w:space="0" w:color="auto"/>
        <w:right w:val="none" w:sz="0" w:space="0" w:color="auto"/>
      </w:divBdr>
    </w:div>
    <w:div w:id="152629102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86811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66245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1737222">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3258371">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0875612">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888727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82876">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499804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0640531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6905997">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0346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38041548">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891309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4209146">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stylesWithEffects" Target="stylesWithEffect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1F4EF-DD70-40DF-A27B-A8443FE4C65A}">
  <ds:schemaRefs>
    <ds:schemaRef ds:uri="http://schemas.openxmlformats.org/officeDocument/2006/bibliography"/>
  </ds:schemaRefs>
</ds:datastoreItem>
</file>

<file path=customXml/itemProps2.xml><?xml version="1.0" encoding="utf-8"?>
<ds:datastoreItem xmlns:ds="http://schemas.openxmlformats.org/officeDocument/2006/customXml" ds:itemID="{4E5165EA-473E-4C13-B982-832743AFA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1273</Words>
  <Characters>7261</Characters>
  <Application>Microsoft Office Word</Application>
  <DocSecurity>0</DocSecurity>
  <Lines>60</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Magda</cp:lastModifiedBy>
  <cp:revision>4</cp:revision>
  <cp:lastPrinted>2017-06-30T03:10:00Z</cp:lastPrinted>
  <dcterms:created xsi:type="dcterms:W3CDTF">2018-07-02T21:58:00Z</dcterms:created>
  <dcterms:modified xsi:type="dcterms:W3CDTF">2018-07-02T22:00:00Z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