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tbl>
            <w:tblPr>
              <w:tblW w:w="9161" w:type="dxa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Layout w:type="fixed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/>
            </w:tblPr>
            <w:tblGrid>
              <w:gridCol w:w="2686"/>
              <w:gridCol w:w="567"/>
              <w:gridCol w:w="1134"/>
              <w:gridCol w:w="110"/>
              <w:gridCol w:w="110"/>
              <w:gridCol w:w="210"/>
              <w:gridCol w:w="110"/>
              <w:gridCol w:w="210"/>
              <w:gridCol w:w="150"/>
              <w:gridCol w:w="110"/>
              <w:gridCol w:w="604"/>
              <w:gridCol w:w="1470"/>
              <w:gridCol w:w="110"/>
              <w:gridCol w:w="270"/>
              <w:gridCol w:w="210"/>
              <w:gridCol w:w="210"/>
              <w:gridCol w:w="150"/>
              <w:gridCol w:w="150"/>
              <w:gridCol w:w="110"/>
              <w:gridCol w:w="210"/>
              <w:gridCol w:w="270"/>
            </w:tblGrid>
            <w:tr w:rsidR="00D50A40" w:rsidRPr="00683475" w:rsidTr="00752459">
              <w:trPr>
                <w:tblCellSpacing w:w="0" w:type="dxa"/>
              </w:trPr>
              <w:tc>
                <w:tcPr>
                  <w:tcW w:w="2686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Poznámky Uč MUJ 3 – 01</w:t>
                  </w:r>
                </w:p>
              </w:tc>
              <w:tc>
                <w:tcPr>
                  <w:tcW w:w="567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IČO</w:t>
                  </w:r>
                </w:p>
              </w:tc>
              <w:tc>
                <w:tcPr>
                  <w:tcW w:w="1134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C1E70" w:rsidRDefault="00D50A40" w:rsidP="0012754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  <w:r w:rsidR="0012754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44762585</w:t>
                  </w:r>
                </w:p>
              </w:tc>
              <w:tc>
                <w:tcPr>
                  <w:tcW w:w="1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604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DIČ</w:t>
                  </w:r>
                </w:p>
              </w:tc>
              <w:tc>
                <w:tcPr>
                  <w:tcW w:w="147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C1E70" w:rsidRDefault="001275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2022836662</w:t>
                  </w:r>
                  <w:r w:rsidR="00D50A40" w:rsidRPr="006C1E70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  <w:tc>
                <w:tcPr>
                  <w:tcW w:w="1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7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 </w:t>
                  </w:r>
                </w:p>
              </w:tc>
              <w:tc>
                <w:tcPr>
                  <w:tcW w:w="2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  <w:tc>
                <w:tcPr>
                  <w:tcW w:w="2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1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1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  <w:tc>
                <w:tcPr>
                  <w:tcW w:w="27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D50A40" w:rsidRPr="00683475" w:rsidRDefault="00D50A40" w:rsidP="007524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8347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 </w:t>
                  </w:r>
                </w:p>
              </w:tc>
            </w:tr>
          </w:tbl>
          <w:p w:rsidR="00D50A40" w:rsidRPr="00683475" w:rsidRDefault="00D50A40" w:rsidP="007524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Čl. I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sk-SK"/>
              </w:rPr>
              <w:t>Všeobecné údaje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pStyle w:val="Odsekzoznamu"/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právnickej osoby a jej sídlo alebo meno a priezvisko fyzickej osoby.</w:t>
            </w:r>
          </w:p>
          <w:p w:rsidR="00D50A40" w:rsidRPr="000F09B0" w:rsidRDefault="00127540" w:rsidP="00752459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STORE  HOUSES, s.r.o.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Podzámska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 xml:space="preserve"> 3</w:t>
            </w:r>
            <w:r w:rsidR="00D50A4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, 940 01 Nové Zámky</w:t>
            </w:r>
          </w:p>
          <w:p w:rsidR="00D50A40" w:rsidRPr="000F09B0" w:rsidRDefault="00D50A40" w:rsidP="00752459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D50A40" w:rsidRPr="00683475" w:rsidRDefault="00D50A40" w:rsidP="00752459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(2)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Údaje o konsolidovanom celku,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a)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</w:t>
            </w:r>
            <w:r w:rsidRPr="000F09B0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 xml:space="preserve"> </w:t>
            </w:r>
            <w:r w:rsidRPr="000F09B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b)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údaj, či účtovná jednotka je materskou účtovnou jednotkou a údaj, či je oslobodená od povinnosti zostaviť konsolidovanú účtovnú závierku a konsolidovanú výročnú správu podľa </w:t>
            </w:r>
            <w:hyperlink r:id="rId5" w:anchor="f2802843" w:history="1">
              <w:r w:rsidRPr="0068347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§ 22 zákona</w:t>
              </w:r>
            </w:hyperlink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pričom sa uvádzajú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6C1E7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1.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pri oslobodení podľa § 22 ods. 8 zákona obchodné meno a sídlo materskej účtovnej jednotky zostavujúcej konsolidovanú účtovnú závierku podľa osobitných predpisov,</w:t>
            </w:r>
            <w:hyperlink r:id="rId6" w:anchor="f4041014" w:history="1">
              <w:r w:rsidRPr="0068347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vertAlign w:val="superscript"/>
                  <w:lang w:eastAsia="sk-SK"/>
                </w:rPr>
                <w:t>4</w:t>
              </w:r>
              <w:r w:rsidRPr="0068347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)</w:t>
              </w:r>
            </w:hyperlink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2.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pri oslobodení podľa § 22 ods. 12 zákona obchodné meno a sídlo dcérskych účtovných jednotiek.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0F09B0" w:rsidRDefault="00D50A40" w:rsidP="00752459">
            <w:pPr>
              <w:pStyle w:val="Odsekzoznamu"/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prepočítaný počet zamestnancov</w:t>
            </w:r>
            <w:r w:rsidRPr="000F09B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.</w:t>
            </w:r>
            <w:r w:rsidR="0012754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0</w:t>
            </w:r>
          </w:p>
          <w:p w:rsidR="00D50A40" w:rsidRDefault="00D50A40" w:rsidP="00752459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D50A40" w:rsidRPr="00683475" w:rsidRDefault="00D50A40" w:rsidP="00752459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Čl. II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sk-SK"/>
              </w:rPr>
              <w:t>Informácie o prijatých postupoch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(1)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Informácia, či je účtovná závierka zostavená za splnenia predpokladu, že účtovná jednotka bude nepretržite pokračovať vo svojej činnosti.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Pr="000F09B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A</w:t>
            </w:r>
            <w:r w:rsidR="0012754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NO</w:t>
            </w:r>
          </w:p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(2)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Spôsob oceňovania jednotlivých položiek majetku a záväzkov, a to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a)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dlhodobého nehmotného majetku, dlhodobého hmotného majetku a dlhodobého finančného majetku,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spoločnosť nemá takýto majetok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b)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zásob obstaraných kúpou,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0F09B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eastAsia="sk-SK"/>
              </w:rPr>
              <w:t>Obstarávacia cena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----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zásob vytvorených vlastnou činnosťou,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nevytvára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c)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pohľadávok,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menovitá hodnota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d)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krátkodobého finančného majetku</w:t>
            </w:r>
            <w:r w:rsidRPr="0068347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</w:t>
            </w:r>
            <w:r w:rsidRP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menovitá hodnota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e)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záväzkov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menovitá hodnota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vrátane rezerv, dlhopisov, pôžičiek a úverov,</w:t>
            </w:r>
            <w:r w:rsidR="00127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nemá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f)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derivátových operácií.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Nemá</w:t>
            </w:r>
          </w:p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0F09B0" w:rsidRDefault="00D50A40" w:rsidP="00752459">
            <w:pPr>
              <w:pStyle w:val="Odsekzoznamu"/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Spôsob zostavenia odpisového plánu pre jednotlivé druhy dlhodobého hmotného majetku a dlhodobého nehmotného majetku, pričom sa uvádza doba odpisovania, použité sadzby odpisov a odpisové metódy pri určení odpisov. </w:t>
            </w:r>
            <w:r w:rsidRP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Spoločnosť </w:t>
            </w:r>
            <w:r w:rsidR="0077781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nevlastní odpisovaný majetok.</w:t>
            </w:r>
          </w:p>
          <w:p w:rsidR="00D50A40" w:rsidRPr="000F09B0" w:rsidRDefault="00D50A40" w:rsidP="00752459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0F09B0" w:rsidRDefault="00D50A40" w:rsidP="00752459">
            <w:pPr>
              <w:pStyle w:val="Odsekzoznamu"/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Zmeny účtovných zásad a zmeny účtovných metód s uvedením dôvodu týchto zmien a vyčíslením ich vplyvu na finančnú hodnotu majetku, záväzkov, základného imania a výsledku hospodárenia účtovnej jednotky.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</w:t>
            </w:r>
            <w:r w:rsidRP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ie </w:t>
            </w:r>
          </w:p>
          <w:p w:rsidR="00D50A40" w:rsidRPr="000F09B0" w:rsidRDefault="00D50A40" w:rsidP="00752459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0F09B0" w:rsidRDefault="00D50A40" w:rsidP="00752459">
            <w:pPr>
              <w:pStyle w:val="Odsekzoznamu"/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Informácie o dotáciách a ich oceňovanie v účtovníctve. </w:t>
            </w:r>
            <w:r w:rsidRPr="000F09B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  <w:p w:rsidR="00D50A40" w:rsidRPr="000F09B0" w:rsidRDefault="00D50A40" w:rsidP="00752459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0F09B0" w:rsidRDefault="00D50A40" w:rsidP="00752459">
            <w:pPr>
              <w:pStyle w:val="Odsekzoznamu"/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      </w:r>
            <w:r w:rsidR="00316A7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– viď čl. III. Ods. 1., 2.</w:t>
            </w:r>
          </w:p>
          <w:p w:rsidR="00D50A40" w:rsidRDefault="00D50A40" w:rsidP="00752459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D50A40" w:rsidRPr="000F09B0" w:rsidRDefault="00D50A40" w:rsidP="00752459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Čl. III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sk-SK"/>
              </w:rPr>
              <w:t>Informácie, ktoré vysvetľujú a dopĺňajú súvahu a výkaz ziskov a strát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0F09B0" w:rsidRDefault="00D50A40" w:rsidP="00752459">
            <w:pPr>
              <w:pStyle w:val="Odsekzoznamu"/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F09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      </w:r>
            <w:r w:rsidR="00316A7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Odpis premlčaných záväzkov z r. 2009 - 2011 v hodnote 4033,52 € na účte 648.</w:t>
            </w:r>
          </w:p>
          <w:p w:rsidR="00D50A40" w:rsidRPr="000F09B0" w:rsidRDefault="00D50A40" w:rsidP="00752459">
            <w:pPr>
              <w:pStyle w:val="Odsekzoznamu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(2)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Informácie o záväzkoch, a to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C1E70" w:rsidRDefault="00D50A40" w:rsidP="00316A7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a)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celkovej sume záväzkov so zostatkovou dobou splatnosti dlhšou ako päť rokov</w:t>
            </w:r>
            <w:r w:rsidR="00316A7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 hodnote 4033,52 € odpísané cez účet 648.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b)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celkovej sume zabezpečených záväzkov, opis a spôsoby zabezpečenia záväzkov.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(3)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Informácie o vlastných akciách,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a)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dôvode nadobudnutia vlastných akcií počas účtovného obdobia,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b)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informáciách, ktorými sú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F53724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1.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F53724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2.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počet a hodnota, za ktorú sa vlastné akcie počas účtovného obdobia nadobudli a počet a hodnota, za ktorú sa vlastné akcie počas účtovného obdobia previedli na inú osobu,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F53724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c)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počte, menovitej hodnote a hodnote, za ktorú sa vlastné akcie nadobudli a ktoré účtovná jednotka má v držbe k poslednému dňu účtovného obdobia; uvádza sa aj ich percentuálny podiel na upísanom základnom imaní.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741F0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(4)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Informácie o orgánoch účtovnej jednotky, a to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a)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výške jednotlivých druhov záruk alebo iných zabezpečení poskytnutých pre členov štatutárneho orgánu, dozorného orgánu a iného orgánu účtovnej jednotky, a to v členení za jednotlivé orgány,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lastRenderedPageBreak/>
              <w:t>b)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pôžičkách poskytnutých členom štatutárneho orgánu, dozorného orgánu a iného orgánu účtovnej jednotky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C1E70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1.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celková suma poskytnutých pôžičiek k poslednému dňu účtovného obdobia v členení za jednotlivé orgány,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2.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celková suma splatených pôžičiek k poslednému dňu účtovného obdobia v členení za jednotlivé orgány,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3.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celková suma odpustených pôžičiek a odpísaných pôžičiek k poslednému dňu účtovného obdobia v členení za jednotlivé orgány,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2370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c)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hlavných podmienkach, na základe ktorých im boli záruky alebo iné zabezpečenie a pôžičky poskytnuté; pri pôžičkách sa uvádzajú úrokové sadzby,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d)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celkovej sume použitých finančných prostriedkov alebo iného plnenia na súkromné účely členmi štatutárneho orgánu, dozorného orgánu a iného orgánu účtovnej jednotky, ktoré je potrebné vyúčtovať.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(5)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Informácie o povinnostiach účtovnej jednotky, a to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a)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b)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celkovej sume významných podmienených záväzkov, ktorými sa rozumie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1.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2.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existujúca povinnosť, ktorá vznikla ako dôsledok minulej udalosti, ale ktorá sa nevykazuje v súvahe, pretože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2a.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nie je pravdepodobné, že na splnenie tejto povinnosti bude potrebný úbytok ekonomických úžitkov, alebo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2b.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výška tejto povinnosti sa nedá spoľahlivo oceniť,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c)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opise významných finančných povinností a významných podmienených záväzkov,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d)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celkovej sume významných finančných povinností a významných podmienených záväzkoch voči dcérskej účtovnej jednotke a účtovnej jednotke s podstatným vplyvom,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e)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opise významných povinností účtovnej jednotky vyplývajúcich z dôchodkových programov pre zamestnancov.</w:t>
            </w:r>
          </w:p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(6)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a)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všetkých formách prijatej náhrady,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b)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účtovných zásadách použitých pri prideľovaní nákladov a výnosov,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c)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všetkých druhoch činností účtovnej jednotky.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Príloha č. 2 k opatreniu č. MF/15464/2013-74</w:t>
            </w:r>
          </w:p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sk-SK"/>
              </w:rPr>
              <w:lastRenderedPageBreak/>
              <w:t>Zoznam preberaných právne záväzných aktov Európskej únie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1.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Smernica Európskeho parlamentu a Rady </w:t>
            </w:r>
            <w:hyperlink r:id="rId7" w:tooltip="Smernica Európskeho parlamentu a Rady 2013/34/EÚ z  26. júna 2013 o ročných účtovných závierkach, konsolidovaných účtovných závierkach a súvisiacich správach určitých druhov podnikov, ktorou sa mení smernica Európskeho parlamentu a Rady 2006/43/ES a zrušujú sm" w:history="1">
              <w:r w:rsidRPr="0068347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2013/34/EÚ</w:t>
              </w:r>
            </w:hyperlink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 26. júna 2013 o ročných účtovných závierkach, konsolidovaných účtovných závierkach a súvisiacich správach určitých druhov podnikov, ktorou sa mení smernica Európskeho parlamentu a Rady 2006/43/ES a zrušujú smernice Rady 78/660/EHS a 83/349/EHS (Ú. v. EÚ L 182, 29. 6. 2013).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2.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Smernica Komisie </w:t>
            </w:r>
            <w:hyperlink r:id="rId8" w:tooltip="Smernica Komisie 2006/111/ES zo 16. novembra 2006 o transparentnosti finančných vzťahov členských štátov a verejných podnikov a o finančnej transparentnosti v niektorých podnikoch (kodifikované znenie) (Text s významom pre EHP)" w:history="1">
              <w:r w:rsidRPr="0068347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2006/111/ES</w:t>
              </w:r>
            </w:hyperlink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zo 16. novembra 2006 o transparentnosti finančných vzťahov členských štátov a verejných podnikov a o finančnej transparentnosti v niektorých podnikoch (kodifikované znenie) (Ú. v. EÚ L 318, 17. 11. 2006).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Poznámky pod čiarou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  <w:lang w:eastAsia="sk-SK"/>
              </w:rPr>
              <w:t>1</w:t>
            </w: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§ 4 ods. 2 zákona č. 431/2002 Z. z. o účtovníctve v znení neskorších predpisov.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>§ 3 opatrenia Ministerstva financií Slovenskej republiky zo 16. decembra 2002 č. 23054/2002-92, ktorým sa ustanovujú podrobnosti o postupoch účtovania a rámcovej účtovej osnove pre podnikateľov účtujúcich v sústave podvojného účtovníctva (oznámenie č. 740/2002 Z. z.).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  <w:lang w:eastAsia="sk-SK"/>
              </w:rPr>
              <w:t>2</w:t>
            </w: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Napríklad zákon č. 595/2003 Z. z. o dani z príjmov v znení neskorších predpisov.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  <w:lang w:eastAsia="sk-SK"/>
              </w:rPr>
              <w:t>3</w:t>
            </w: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§ 4 ods. 2 zákona č. 431/2002 Z. z. v znení neskorších predpisov.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>Opatrenie Ministerstva financií Slovenskej republiky z 31. marca 2003 č. 4455/2003-92, ktorým sa ustanovujú podrobnosti o usporiadaní, označovaní a obsahovom vymedzení položiek individuálnej účtovnej závierky a rozsahu údajov určených z individuálnej účtovnej závierky na zverejnenie pre podnikateľov účtujúcich v sústave podvojného účtovníctva (oznámenie č. 123/2003 Z. z.) v znení neskorších predpisov.</w:t>
            </w:r>
          </w:p>
        </w:tc>
      </w:tr>
      <w:tr w:rsidR="00D50A40" w:rsidRPr="00683475" w:rsidTr="00752459">
        <w:trPr>
          <w:tblCellSpacing w:w="15" w:type="dxa"/>
        </w:trPr>
        <w:tc>
          <w:tcPr>
            <w:tcW w:w="9102" w:type="dxa"/>
            <w:vAlign w:val="center"/>
            <w:hideMark/>
          </w:tcPr>
          <w:p w:rsidR="00D50A40" w:rsidRPr="00683475" w:rsidRDefault="00D50A40" w:rsidP="0075245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vertAlign w:val="superscript"/>
                <w:lang w:eastAsia="sk-SK"/>
              </w:rPr>
              <w:t>4</w:t>
            </w:r>
            <w:r w:rsidRPr="0068347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)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Nariadenie Európskeho parlamentu a Rady (ES) č. </w:t>
            </w:r>
            <w:hyperlink r:id="rId9" w:tgtFrame="_blank" w:tooltip="Nariadenie Európskeho parlamentu a Rady (ES) č. 1606/2002 z 19. júla 2002 o uplatňovaní medzinárodných účtovných noriem" w:history="1">
              <w:r w:rsidRPr="0068347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1606/2002</w:t>
              </w:r>
            </w:hyperlink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 19. júla 2002 o uplatňovaní medzinárodných účtovných noriem (Mimoriadne vydanie Ú. v. EÚ, kap. 13/zv. 29) v znení nariadenia Európskeho parlamentu a Rady (ES) č. 297/2008 z 11. marca 2008 (Ú. v. EÚ L 97, 9. 4. 2008).</w:t>
            </w:r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 xml:space="preserve">Nariadenie Komisie (ES) č. </w:t>
            </w:r>
            <w:hyperlink r:id="rId10" w:tgtFrame="_blank" w:tooltip="Nariadenie Komisie (ES) č. 1126/2008 z 3. novembra 2008 , ktorým sa v súlade s nariadením Európskeho parlamentu a Rady (ES) č. 1606/2002 prijímajú určité medzinárodné účtovné štandardy (Text s významom pre EHP)" w:history="1">
              <w:r w:rsidRPr="0068347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1126/2008</w:t>
              </w:r>
            </w:hyperlink>
            <w:r w:rsidRPr="0068347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 3. novembra 2008, ktorým sa v súlade s nariadením Európskeho parlamentu a Rady (ES) č. 1606/2002 prijímajú určité medzinárodné účtovné štandardy (Ú. v. EÚ L 320, 29. 11. 2008) v platnom znení.</w:t>
            </w:r>
          </w:p>
        </w:tc>
      </w:tr>
    </w:tbl>
    <w:p w:rsidR="00061A61" w:rsidRDefault="00061A61"/>
    <w:sectPr w:rsidR="00061A61" w:rsidSect="00061A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3445C4"/>
    <w:multiLevelType w:val="hybridMultilevel"/>
    <w:tmpl w:val="5C94FC08"/>
    <w:lvl w:ilvl="0" w:tplc="3BCA1C26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8C54261"/>
    <w:multiLevelType w:val="hybridMultilevel"/>
    <w:tmpl w:val="FC90B1DC"/>
    <w:lvl w:ilvl="0" w:tplc="DED89BD0">
      <w:start w:val="1"/>
      <w:numFmt w:val="decimal"/>
      <w:lvlText w:val="(%1)"/>
      <w:lvlJc w:val="left"/>
      <w:pPr>
        <w:ind w:left="720" w:hanging="360"/>
      </w:pPr>
      <w:rPr>
        <w:rFonts w:hint="default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D50A40"/>
    <w:rsid w:val="000175E3"/>
    <w:rsid w:val="00061A61"/>
    <w:rsid w:val="00127540"/>
    <w:rsid w:val="002316FE"/>
    <w:rsid w:val="00316A7D"/>
    <w:rsid w:val="00360C15"/>
    <w:rsid w:val="00777819"/>
    <w:rsid w:val="007A05DA"/>
    <w:rsid w:val="00A943EB"/>
    <w:rsid w:val="00D50A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0A4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50A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ur-lex.europa.eu/legal-content/SK/TXT/HTML/?uri=CELEX:32006L0111&amp;qid=1423227050967&amp;from=SK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ur-lex.europa.eu/legal-content/SK/TXT/HTML/?uri=CELEX:32013L0034&amp;qid=1423226979894&amp;from=S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pi.sk/zz/2013-457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epi.sk/zz/2002-431" TargetMode="External"/><Relationship Id="rId10" Type="http://schemas.openxmlformats.org/officeDocument/2006/relationships/hyperlink" Target="http://eur-lex.europa.eu/LexUriServ/LexUriServ.do?uri=OJ:L:2008:320:0001:01:SK: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ur-lex.europa.eu/LexUriServ/LexUriServ.do?uri=OJ:L:2002:243:0001:01:SK:HTM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1588</Words>
  <Characters>9052</Characters>
  <Application>Microsoft Office Word</Application>
  <DocSecurity>0</DocSecurity>
  <Lines>75</Lines>
  <Paragraphs>21</Paragraphs>
  <ScaleCrop>false</ScaleCrop>
  <Company/>
  <LinksUpToDate>false</LinksUpToDate>
  <CharactersWithSpaces>10619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dcterms:created xsi:type="dcterms:W3CDTF">2018-06-05T17:19:00Z</dcterms:created>
  <dcterms:modified xsi:type="dcterms:W3CDTF">2018-06-05T22:19:00Z</dcterms:modified>
</cp:coreProperties>
</file>