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tbl>
            <w:tblPr>
              <w:tblW w:w="916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686"/>
              <w:gridCol w:w="567"/>
              <w:gridCol w:w="1134"/>
              <w:gridCol w:w="110"/>
              <w:gridCol w:w="110"/>
              <w:gridCol w:w="210"/>
              <w:gridCol w:w="110"/>
              <w:gridCol w:w="210"/>
              <w:gridCol w:w="150"/>
              <w:gridCol w:w="110"/>
              <w:gridCol w:w="604"/>
              <w:gridCol w:w="1470"/>
              <w:gridCol w:w="110"/>
              <w:gridCol w:w="270"/>
              <w:gridCol w:w="210"/>
              <w:gridCol w:w="210"/>
              <w:gridCol w:w="150"/>
              <w:gridCol w:w="150"/>
              <w:gridCol w:w="110"/>
              <w:gridCol w:w="210"/>
              <w:gridCol w:w="270"/>
            </w:tblGrid>
            <w:tr w:rsidR="00D50A40" w:rsidRPr="00683475" w:rsidTr="00752459">
              <w:trPr>
                <w:tblCellSpacing w:w="0" w:type="dxa"/>
              </w:trPr>
              <w:tc>
                <w:tcPr>
                  <w:tcW w:w="26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Poznámky Uč MUJ 3 – 01</w:t>
                  </w:r>
                </w:p>
              </w:tc>
              <w:tc>
                <w:tcPr>
                  <w:tcW w:w="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IČO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C1E70" w:rsidRDefault="00D50A40" w:rsidP="00127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  <w:r w:rsidR="001275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44762585</w:t>
                  </w: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6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DIČ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C1E70" w:rsidRDefault="001275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2022836662</w:t>
                  </w:r>
                  <w:r w:rsidR="00D50A40" w:rsidRPr="006C1E7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 </w:t>
                  </w: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  <w:tc>
                <w:tcPr>
                  <w:tcW w:w="2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50A40" w:rsidRPr="00683475" w:rsidRDefault="00D50A40" w:rsidP="007524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834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 </w:t>
                  </w:r>
                </w:p>
              </w:tc>
            </w:tr>
          </w:tbl>
          <w:p w:rsidR="00D50A40" w:rsidRPr="00683475" w:rsidRDefault="00D50A40" w:rsidP="00752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Čl. I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Všeobecné údaje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právnickej osoby a jej sídlo alebo meno a priezvisko fyzickej osoby.</w:t>
            </w:r>
          </w:p>
          <w:p w:rsidR="00D50A40" w:rsidRPr="000F09B0" w:rsidRDefault="001275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STORE  HOUSES, s.r.o.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Podzámska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 xml:space="preserve"> 3</w:t>
            </w:r>
            <w:r w:rsidR="00D50A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, 940 01 Nové Zámky</w:t>
            </w:r>
          </w:p>
          <w:p w:rsidR="00D50A40" w:rsidRPr="000F09B0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D50A40" w:rsidRPr="00683475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(2)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Údaje o konsolidovanom celku,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</w:t>
            </w:r>
            <w:r w:rsidRPr="000F09B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0F09B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údaj, či účtovná jednotka je materskou účtovnou jednotkou a údaj, či je oslobodená od povinnosti zostaviť konsolidovanú účtovnú závierku a konsolidovanú výročnú správu podľa </w:t>
            </w:r>
            <w:hyperlink r:id="rId5" w:anchor="f2802843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§ 22 zákona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pričom sa uvádzajú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6C1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pri oslobodení podľa § 22 ods. 8 zákona obchodné meno a sídlo materskej účtovnej jednotky zostavujúcej konsolidovanú účtovnú závierku podľa osobitných predpisov,</w:t>
            </w:r>
            <w:hyperlink r:id="rId6" w:anchor="f4041014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sk-SK"/>
                </w:rPr>
                <w:t>4</w:t>
              </w:r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)</w:t>
              </w:r>
            </w:hyperlink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pri oslobodení podľa § 22 ods. 12 zákona obchodné meno a sídlo dcérskych účtovných jednotiek.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0F09B0" w:rsidRDefault="00D50A40" w:rsidP="00752459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prepočítaný počet zamestnancov</w:t>
            </w:r>
            <w:r w:rsidRPr="000F0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.</w:t>
            </w:r>
            <w:r w:rsidR="001275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0</w:t>
            </w:r>
          </w:p>
          <w:p w:rsidR="00D50A40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D50A40" w:rsidRPr="00683475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Čl. II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Informácie o prijatých postupoch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(1)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Informácia, či je účtovná závierka zostavená za splnenia predpokladu, že účtovná jednotka bude nepretržite pokračovať vo svojej činnosti.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F09B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A</w:t>
            </w:r>
            <w:r w:rsidR="0012754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NO</w:t>
            </w:r>
          </w:p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(2)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Spôsob oceňovania jednotlivých položiek majetku a záväzkov, a to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dlhodobého nehmotného majetku, dlhodobého hmotného majetku a dlhodobého finančného majetku,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spoločnosť nemá takýto majetok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zásob obstaraných kúpou,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F09B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Obstarávacia cena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----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zásob vytvorených vlastnou činnosťou,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nevytvára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pohľadávok,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menovitá hodnota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krátkodobého finančného majetku</w:t>
            </w:r>
            <w:r w:rsidRPr="00683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menovitá hodnota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záväzkov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menovitá hodnota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vrátane rezerv, dlhopisov, pôžičiek a úverov,</w:t>
            </w:r>
            <w:r w:rsidR="00127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nemá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derivátových operácií.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Nemá</w:t>
            </w:r>
          </w:p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0F09B0" w:rsidRDefault="00D50A40" w:rsidP="00752459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Spôsob zostavenia odpisového plánu pre jednotlivé druhy dlhodobého hmotného majetku a dlhodobého nehmotného majetku, pričom sa uvádza doba odpisovania, použité sadzby odpisov a odpisové metódy pri určení odpisov. </w:t>
            </w:r>
            <w:r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Spoločnosť </w:t>
            </w:r>
            <w:r w:rsidR="00777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nevlastní odpisovaný majetok.</w:t>
            </w:r>
          </w:p>
          <w:p w:rsidR="00D50A40" w:rsidRPr="000F09B0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0F09B0" w:rsidRDefault="00D50A40" w:rsidP="00752459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Zmeny účtovných zásad a zmeny účtovných metód s uvedením dôvodu týchto zmien a vyčíslením ich vplyvu na finančnú hodnotu majetku, záväzkov, základného imania a výsledku hospodárenia účtovnej jednotky.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</w:t>
            </w:r>
            <w:r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ie </w:t>
            </w:r>
          </w:p>
          <w:p w:rsidR="00D50A40" w:rsidRPr="000F09B0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0F09B0" w:rsidRDefault="00D50A40" w:rsidP="00752459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Informácie o dotáciách a ich oceňovanie v účtovníctve. </w:t>
            </w:r>
            <w:r w:rsidRPr="000F0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  <w:p w:rsidR="00D50A40" w:rsidRPr="000F09B0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0F09B0" w:rsidRDefault="00D50A40" w:rsidP="00752459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      </w:r>
            <w:r w:rsidR="00316A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viď čl. III. Ods. 1., 2.</w:t>
            </w:r>
          </w:p>
          <w:p w:rsidR="00D50A40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D50A40" w:rsidRPr="000F09B0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Čl. III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Informácie, ktoré vysvetľujú a dopĺňajú súvahu a výkaz ziskov a strát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0F09B0" w:rsidRDefault="00D50A40" w:rsidP="00752459">
            <w:pPr>
              <w:pStyle w:val="Odsekzoznamu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F09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      </w:r>
            <w:r w:rsidR="00316A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Odpis premlčaných záväzkov z r. 2009 - 2011 v hodnote 4033,52 € na účte 648.</w:t>
            </w:r>
          </w:p>
          <w:p w:rsidR="00D50A40" w:rsidRPr="000F09B0" w:rsidRDefault="00D50A40" w:rsidP="00752459">
            <w:pPr>
              <w:pStyle w:val="Odsekzoznamu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(2)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záväzkoch, a to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C1E70" w:rsidRDefault="00D50A40" w:rsidP="00316A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záväzkov so zostatkovou dobou splatnosti dlhšou ako päť rokov</w:t>
            </w:r>
            <w:r w:rsidR="00316A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 hodnote 4033,52 € odpísané cez účet 648.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zabezpečených záväzkov, opis a spôsoby zabezpečenia záväzkov.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(3)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vlastných akciách,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dôvode nadobudnutia vlastných akcií počas účtovného obdobia,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informáciách, ktorými sú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F53724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F53724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počet a hodnota, za ktorú sa vlastné akcie počas účtovného obdobia nadobudli a počet a hodnota, za ktorú sa vlastné akcie počas účtovného obdobia previedli na inú osobu,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F53724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počte, menovitej hodnote a hodnote, za ktorú sa vlastné akcie nadobudli a ktoré účtovná jednotka má v držbe k poslednému dňu účtovného obdobia; uvádza sa aj ich percentuálny podiel na upísanom základnom imaní.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741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(4)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orgánoch účtovnej jednotky, a to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výške jednotlivých druhov záruk alebo iných zabezpečení poskytnutých pre členov štatutárneho orgánu, dozorného orgánu a iného orgánu účtovnej jednotky, a to v členení za jednotlivé orgány,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lastRenderedPageBreak/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pôžičkách poskytnutých členom štatutárneho orgánu, dozorného orgánu a iného orgánu účtovnej jednotky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C1E70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celková suma poskytnutých pôžičiek k poslednému dňu účtovného obdobia v členení za jednotlivé orgány,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celková suma splatených pôžičiek k poslednému dňu účtovného obdobia v členení za jednotlivé orgány,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3.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celková suma odpustených pôžičiek a odpísaných pôžičiek k poslednému dňu účtovného obdobia v členení za jednotlivé orgány,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37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hlavných podmienkach, na základe ktorých im boli záruky alebo iné zabezpečenie a pôžičky poskytnuté; pri pôžičkách sa uvádzajú úrokové sadzby,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použitých finančných prostriedkov alebo iného plnenia na súkromné účely členmi štatutárneho orgánu, dozorného orgánu a iného orgánu účtovnej jednotky, ktoré je potrebné vyúčtovať.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(5)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povinnostiach účtovnej jednotky, a to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významných podmienených záväzkov, ktorými sa rozumie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existujúca povinnosť, ktorá vznikla ako dôsledok minulej udalosti, ale ktorá sa nevykazuje v súvahe, pretože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2a.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nie je pravdepodobné, že na splnenie tejto povinnosti bude potrebný úbytok ekonomických úžitkov, alebo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2b.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výška tejto povinnosti sa nedá spoľahlivo oceniť,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opise významných finančných povinností a významných podmienených záväzkov,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celkovej sume významných finančných povinností a významných podmienených záväzkoch voči dcérskej účtovnej jednotke a účtovnej jednotke s podstatným vplyvom,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opise významných povinností účtovnej jednotky vyplývajúcich z dôchodkových programov pre zamestnancov.</w:t>
            </w:r>
          </w:p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(6)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všetkých formách prijatej náhrady,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účtovných zásadách použitých pri prideľovaní nákladov a výnosov,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všetkých druhoch činností účtovnej jednotky.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Príloha č. 2 k opatreniu č. MF/15464/2013-74</w:t>
            </w:r>
          </w:p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lastRenderedPageBreak/>
              <w:t>Zoznam preberaných právne záväzných aktov Európskej únie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1.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Smernica Európskeho parlamentu a Rady </w:t>
            </w:r>
            <w:hyperlink r:id="rId7" w:tooltip="Smernica Európskeho parlamentu a Rady 2013/34/EÚ z  26. júna 2013 o ročných účtovných závierkach, konsolidovaných účtovných závierkach a súvisiacich správach určitých druhov podnikov, ktorou sa mení smernica Európskeho parlamentu a Rady 2006/43/ES a zrušujú sm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2013/34/EÚ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 26. júna 2013 o ročných účtovných závierkach, konsolidovaných účtovných závierkach a súvisiacich správach určitých druhov podnikov, ktorou sa mení smernica Európskeho parlamentu a Rady 2006/43/ES a zrušujú smernice Rady 78/660/EHS a 83/349/EHS (Ú. v. EÚ L 182, 29. 6. 2013).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2.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Smernica Komisie </w:t>
            </w:r>
            <w:hyperlink r:id="rId8" w:tooltip="Smernica Komisie 2006/111/ES zo 16. novembra 2006 o transparentnosti finančných vzťahov členských štátov a verejných podnikov a o finančnej transparentnosti v niektorých podnikoch (kodifikované znenie) (Text s významom pre EHP)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2006/111/ES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zo 16. novembra 2006 o transparentnosti finančných vzťahov členských štátov a verejných podnikov a o finančnej transparentnosti v niektorých podnikoch (kodifikované znenie) (Ú. v. EÚ L 318, 17. 11. 2006).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 pod čiarou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sk-SK"/>
              </w:rPr>
              <w:t>1</w:t>
            </w: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§ 4 ods. 2 zákona č. 431/2002 Z. z. o účtovníctve v znení neskorších predpisov.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§ 3 opatrenia Ministerstva financií Slovenskej republiky zo 16. decembra 2002 č. 23054/2002-92, ktorým sa ustanovujú podrobnosti o postupoch účtovania a rámcovej účtovej osnove pre podnikateľov účtujúcich v sústave podvojného účtovníctva (oznámenie č. 740/2002 Z. z.).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sk-SK"/>
              </w:rPr>
              <w:t>2</w:t>
            </w: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Napríklad zákon č. 595/2003 Z. z. o dani z príjmov v znení neskorších predpisov.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sk-SK"/>
              </w:rPr>
              <w:t>3</w:t>
            </w: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§ 4 ods. 2 zákona č. 431/2002 Z. z. v znení neskorších predpisov.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Opatrenie Ministerstva financií Slovenskej republiky z 31. marca 2003 č. 4455/2003-92, ktorým sa ustanovujú podrobnosti o usporiadaní, označovaní a obsahovom vymedzení položiek individuálnej účtovnej závierky a rozsahu údajov určených z individuálnej účtovnej závierky na zverejnenie pre podnikateľov účtujúcich v sústave podvojného účtovníctva (oznámenie č. 123/2003 Z. z.) v znení neskorších predpisov.</w:t>
            </w:r>
          </w:p>
        </w:tc>
      </w:tr>
      <w:tr w:rsidR="00D50A40" w:rsidRPr="00683475" w:rsidTr="00752459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D50A40" w:rsidRPr="00683475" w:rsidRDefault="00D50A40" w:rsidP="00752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sk-SK"/>
              </w:rPr>
              <w:t>4</w:t>
            </w:r>
            <w:r w:rsidRPr="006834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Nariadenie Európskeho parlamentu a Rady (ES) č. </w:t>
            </w:r>
            <w:hyperlink r:id="rId9" w:tgtFrame="_blank" w:tooltip="Nariadenie Európskeho parlamentu a Rady (ES) č. 1606/2002 z 19. júla 2002 o uplatňovaní medzinárodných účtovných noriem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1606/2002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 19. júla 2002 o uplatňovaní medzinárodných účtovných noriem (Mimoriadne vydanie Ú. v. EÚ, kap. 13/zv. 29) v znení nariadenia Európskeho parlamentu a Rady (ES) č. 297/2008 z 11. marca 2008 (Ú. v. EÚ L 97, 9. 4. 2008).</w:t>
            </w:r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Nariadenie Komisie (ES) č. </w:t>
            </w:r>
            <w:hyperlink r:id="rId10" w:tgtFrame="_blank" w:tooltip="Nariadenie Komisie (ES) č. 1126/2008 z 3. novembra 2008 , ktorým sa v súlade s nariadením Európskeho parlamentu a Rady (ES) č. 1606/2002 prijímajú určité medzinárodné účtovné štandardy (Text s významom pre EHP)" w:history="1">
              <w:r w:rsidRPr="006834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1126/2008</w:t>
              </w:r>
            </w:hyperlink>
            <w:r w:rsidRPr="006834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 3. novembra 2008, ktorým sa v súlade s nariadením Európskeho parlamentu a Rady (ES) č. 1606/2002 prijímajú určité medzinárodné účtovné štandardy (Ú. v. EÚ L 320, 29. 11. 2008) v platnom znení.</w:t>
            </w:r>
          </w:p>
        </w:tc>
      </w:tr>
    </w:tbl>
    <w:p w:rsidR="00061A61" w:rsidRDefault="00061A61"/>
    <w:sectPr w:rsidR="00061A61" w:rsidSect="00061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445C4"/>
    <w:multiLevelType w:val="hybridMultilevel"/>
    <w:tmpl w:val="5C94FC08"/>
    <w:lvl w:ilvl="0" w:tplc="3BCA1C2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54261"/>
    <w:multiLevelType w:val="hybridMultilevel"/>
    <w:tmpl w:val="FC90B1DC"/>
    <w:lvl w:ilvl="0" w:tplc="DED89BD0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50A40"/>
    <w:rsid w:val="000175E3"/>
    <w:rsid w:val="00061A61"/>
    <w:rsid w:val="00127540"/>
    <w:rsid w:val="002316FE"/>
    <w:rsid w:val="00316A7D"/>
    <w:rsid w:val="00360C15"/>
    <w:rsid w:val="00777819"/>
    <w:rsid w:val="007A05DA"/>
    <w:rsid w:val="00A943EB"/>
    <w:rsid w:val="00D5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0A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0A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HTML/?uri=CELEX:32006L0111&amp;qid=1423227050967&amp;from=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HTML/?uri=CELEX:32013L0034&amp;qid=1423226979894&amp;from=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i.sk/zz/2013-45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pi.sk/zz/2002-431" TargetMode="External"/><Relationship Id="rId10" Type="http://schemas.openxmlformats.org/officeDocument/2006/relationships/hyperlink" Target="http://eur-lex.europa.eu/LexUriServ/LexUriServ.do?uri=OJ:L:2008:320:0001:01:SK: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xUriServ/LexUriServ.do?uri=OJ:L:2002:243:0001:01:SK: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1588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2018-06-05T17:19:00Z</dcterms:created>
  <dcterms:modified xsi:type="dcterms:W3CDTF">2018-06-05T22:19:00Z</dcterms:modified>
</cp:coreProperties>
</file>