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sz w:val="24"/>
          <w:szCs w:val="24"/>
        </w:rPr>
        <w:t>Poznámky</w:t>
      </w:r>
    </w:p>
    <w:p w:rsidR="003A470A" w:rsidRDefault="004E7157">
      <w:pPr>
        <w:pStyle w:val="normal"/>
        <w:jc w:val="center"/>
        <w:rPr>
          <w:sz w:val="24"/>
          <w:szCs w:val="24"/>
        </w:rPr>
      </w:pPr>
      <w:r>
        <w:rPr>
          <w:sz w:val="24"/>
          <w:szCs w:val="24"/>
        </w:rPr>
        <w:t>individuálnej účtovnej závierky zostavenej k 31. decembru 2016</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w:t>
      </w:r>
    </w:p>
    <w:p w:rsidR="003A470A" w:rsidRDefault="004E7157">
      <w:pPr>
        <w:pStyle w:val="normal"/>
        <w:jc w:val="center"/>
        <w:rPr>
          <w:sz w:val="24"/>
          <w:szCs w:val="24"/>
        </w:rPr>
      </w:pPr>
      <w:r>
        <w:rPr>
          <w:b/>
          <w:sz w:val="24"/>
          <w:szCs w:val="24"/>
        </w:rPr>
        <w:t>Všeobecné informáci</w:t>
      </w:r>
    </w:p>
    <w:p w:rsidR="003A470A" w:rsidRDefault="004E7157">
      <w:pPr>
        <w:pStyle w:val="normal"/>
        <w:jc w:val="both"/>
        <w:rPr>
          <w:sz w:val="24"/>
          <w:szCs w:val="24"/>
        </w:rPr>
      </w:pPr>
      <w:r>
        <w:rPr>
          <w:sz w:val="24"/>
          <w:szCs w:val="24"/>
        </w:rPr>
        <w:t xml:space="preserve">(1) Názov, sídlo, predmet podnikania: </w:t>
      </w:r>
    </w:p>
    <w:p w:rsidR="003A470A" w:rsidRDefault="004E7157">
      <w:pPr>
        <w:pStyle w:val="normal"/>
        <w:jc w:val="both"/>
        <w:rPr>
          <w:sz w:val="24"/>
          <w:szCs w:val="24"/>
        </w:rPr>
      </w:pPr>
      <w:r>
        <w:rPr>
          <w:sz w:val="24"/>
          <w:szCs w:val="24"/>
        </w:rPr>
        <w:t xml:space="preserve">spoločnosť  RIDATRANS, spol. s r.o. (ďalej len Spoločnosť), bola založená 01.11.2014 a do obchodného registra bola zapísaná 12.11.2014 (Obchodný register Okresného súdu Bratislava I, oddiel s.r.o., vložka 40015/B).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Hlavnými činnosťami Spoločnosti sú: </w:t>
      </w:r>
    </w:p>
    <w:p w:rsidR="003A470A" w:rsidRDefault="004E7157">
      <w:pPr>
        <w:pStyle w:val="normal"/>
        <w:jc w:val="both"/>
        <w:rPr>
          <w:sz w:val="24"/>
          <w:szCs w:val="24"/>
        </w:rPr>
      </w:pPr>
      <w:r>
        <w:rPr>
          <w:sz w:val="24"/>
          <w:szCs w:val="24"/>
        </w:rPr>
        <w:t>- nákladná cestná doprava</w:t>
      </w:r>
    </w:p>
    <w:p w:rsidR="003A470A" w:rsidRDefault="004E7157">
      <w:pPr>
        <w:pStyle w:val="normal"/>
        <w:jc w:val="both"/>
        <w:rPr>
          <w:sz w:val="24"/>
          <w:szCs w:val="24"/>
        </w:rPr>
      </w:pPr>
      <w:r>
        <w:rPr>
          <w:sz w:val="24"/>
          <w:szCs w:val="24"/>
        </w:rPr>
        <w:t>- vedenie účtovníctva</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Dátum schválenia účtovnej závierky za predchádzajúce účtovné obdobie: </w:t>
      </w:r>
    </w:p>
    <w:p w:rsidR="003A470A" w:rsidRDefault="004E7157">
      <w:pPr>
        <w:pStyle w:val="normal"/>
        <w:jc w:val="both"/>
        <w:rPr>
          <w:sz w:val="24"/>
          <w:szCs w:val="24"/>
        </w:rPr>
      </w:pPr>
      <w:r>
        <w:rPr>
          <w:sz w:val="24"/>
          <w:szCs w:val="24"/>
        </w:rPr>
        <w:t>účtovná závierka Spoločnosti k 31. decembru 201</w:t>
      </w:r>
      <w:r w:rsidR="001E6830">
        <w:rPr>
          <w:sz w:val="24"/>
          <w:szCs w:val="24"/>
        </w:rPr>
        <w:t>7</w:t>
      </w:r>
      <w:r>
        <w:rPr>
          <w:sz w:val="24"/>
          <w:szCs w:val="24"/>
        </w:rPr>
        <w:t xml:space="preserve"> za predchádzajúce účtovné obdobie bola schválená Valným zhromaždením Spoločnosti dňa </w:t>
      </w:r>
      <w:r w:rsidR="001E6830">
        <w:rPr>
          <w:sz w:val="24"/>
          <w:szCs w:val="24"/>
        </w:rPr>
        <w:t>01.07</w:t>
      </w:r>
      <w:r>
        <w:rPr>
          <w:sz w:val="24"/>
          <w:szCs w:val="24"/>
        </w:rPr>
        <w:t>.201</w:t>
      </w:r>
      <w:r w:rsidR="001E6830">
        <w:rPr>
          <w:sz w:val="24"/>
          <w:szCs w:val="24"/>
        </w:rPr>
        <w:t>8</w:t>
      </w:r>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Právny dôvod na zostavenie účtovnej závierky: </w:t>
      </w:r>
    </w:p>
    <w:p w:rsidR="003A470A" w:rsidRDefault="004E7157">
      <w:pPr>
        <w:pStyle w:val="normal"/>
        <w:jc w:val="both"/>
        <w:rPr>
          <w:sz w:val="24"/>
          <w:szCs w:val="24"/>
        </w:rPr>
      </w:pPr>
      <w:r>
        <w:rPr>
          <w:sz w:val="24"/>
          <w:szCs w:val="24"/>
        </w:rPr>
        <w:t>účtovná závierka Spoločnosti k 31. decembru 201</w:t>
      </w:r>
      <w:r w:rsidR="001E6830">
        <w:rPr>
          <w:sz w:val="24"/>
          <w:szCs w:val="24"/>
        </w:rPr>
        <w:t>7</w:t>
      </w:r>
      <w:r>
        <w:rPr>
          <w:sz w:val="24"/>
          <w:szCs w:val="24"/>
        </w:rPr>
        <w:t xml:space="preserve"> je zostavená ako riadna účtovná závierka podľa § 17 ods. 6 zákona NR SR č. 431/2002 Z. z. o účtovníctve v znení neskorších predpisov za účtovné obdobie od 1. januára 201</w:t>
      </w:r>
      <w:r w:rsidR="001E6830">
        <w:rPr>
          <w:sz w:val="24"/>
          <w:szCs w:val="24"/>
        </w:rPr>
        <w:t>7</w:t>
      </w:r>
      <w:r>
        <w:rPr>
          <w:sz w:val="24"/>
          <w:szCs w:val="24"/>
        </w:rPr>
        <w:t xml:space="preserve"> do 31. decembra 201</w:t>
      </w:r>
      <w:r w:rsidR="001E6830">
        <w:rPr>
          <w:sz w:val="24"/>
          <w:szCs w:val="24"/>
        </w:rPr>
        <w:t>7</w:t>
      </w:r>
      <w:r>
        <w:rPr>
          <w:sz w:val="24"/>
          <w:szCs w:val="24"/>
        </w:rPr>
        <w: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(4) Údaje o skupine účtovných jednotiek: </w:t>
      </w:r>
    </w:p>
    <w:p w:rsidR="003A470A" w:rsidRDefault="004E7157">
      <w:pPr>
        <w:pStyle w:val="normal"/>
        <w:jc w:val="both"/>
        <w:rPr>
          <w:sz w:val="24"/>
          <w:szCs w:val="24"/>
        </w:rPr>
      </w:pPr>
      <w:r>
        <w:rPr>
          <w:sz w:val="24"/>
          <w:szCs w:val="24"/>
        </w:rPr>
        <w:t>Spoločnosť nie je súčasťou skupiny.</w:t>
      </w:r>
    </w:p>
    <w:p w:rsidR="003A470A" w:rsidRDefault="004E7157">
      <w:pPr>
        <w:pStyle w:val="normal"/>
        <w:jc w:val="both"/>
        <w:rPr>
          <w:sz w:val="24"/>
          <w:szCs w:val="24"/>
        </w:rPr>
      </w:pPr>
      <w:r>
        <w:rPr>
          <w:sz w:val="24"/>
          <w:szCs w:val="24"/>
        </w:rPr>
        <w:t xml:space="preserve">Spoločnosť nie je neobmedzene ručiacim spoločníkom v iných spoločnostiach podľa § 56 ods. 5 Obchodného zákonníka.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(5) Priemerný prepočítaný počet zamestnancov: </w:t>
      </w:r>
    </w:p>
    <w:p w:rsidR="003A470A" w:rsidRDefault="004E7157">
      <w:pPr>
        <w:pStyle w:val="normal"/>
        <w:jc w:val="both"/>
        <w:rPr>
          <w:sz w:val="24"/>
          <w:szCs w:val="24"/>
        </w:rPr>
      </w:pPr>
      <w:r>
        <w:rPr>
          <w:sz w:val="24"/>
          <w:szCs w:val="24"/>
        </w:rPr>
        <w:t>údaje o počte zamestnancov za bežné účtovné obdobie a bezprostredne predchádzajúce účtovné obdobie sú uvedené v nasledujúcom prehľade: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tbl>
      <w:tblPr>
        <w:tblStyle w:val="a"/>
        <w:tblW w:w="9291"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814"/>
        <w:gridCol w:w="2849"/>
        <w:gridCol w:w="2628"/>
      </w:tblGrid>
      <w:tr w:rsidR="003A470A">
        <w:trPr>
          <w:jc w:val="center"/>
        </w:trPr>
        <w:tc>
          <w:tcPr>
            <w:tcW w:w="3814"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849"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Bežné účtovné obdobie</w:t>
            </w:r>
          </w:p>
        </w:tc>
        <w:tc>
          <w:tcPr>
            <w:tcW w:w="2628"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Bezprostredne predchádzajúce účtovné obdobie</w:t>
            </w:r>
          </w:p>
        </w:tc>
      </w:tr>
      <w:tr w:rsidR="003A470A">
        <w:trPr>
          <w:jc w:val="center"/>
        </w:trPr>
        <w:tc>
          <w:tcPr>
            <w:tcW w:w="3814" w:type="dxa"/>
            <w:tcBorders>
              <w:top w:val="single" w:sz="12" w:space="0" w:color="000000"/>
              <w:bottom w:val="single" w:sz="12" w:space="0" w:color="000000"/>
              <w:right w:val="single" w:sz="12" w:space="0" w:color="000000"/>
            </w:tcBorders>
          </w:tcPr>
          <w:p w:rsidR="003A470A" w:rsidRDefault="004E7157">
            <w:pPr>
              <w:pStyle w:val="normal"/>
              <w:rPr>
                <w:sz w:val="24"/>
                <w:szCs w:val="24"/>
              </w:rPr>
            </w:pPr>
            <w:r>
              <w:rPr>
                <w:sz w:val="24"/>
                <w:szCs w:val="24"/>
              </w:rPr>
              <w:t>Priemerný prepočítaný počet zamestnancov ku dňu závierky</w:t>
            </w:r>
          </w:p>
        </w:tc>
        <w:tc>
          <w:tcPr>
            <w:tcW w:w="2849" w:type="dxa"/>
            <w:tcBorders>
              <w:top w:val="single" w:sz="12" w:space="0" w:color="000000"/>
              <w:left w:val="single" w:sz="12" w:space="0" w:color="000000"/>
              <w:bottom w:val="single" w:sz="12" w:space="0" w:color="000000"/>
              <w:right w:val="single" w:sz="12" w:space="0" w:color="000000"/>
            </w:tcBorders>
          </w:tcPr>
          <w:p w:rsidR="003A470A" w:rsidRDefault="004E7157">
            <w:pPr>
              <w:pStyle w:val="normal"/>
              <w:spacing w:line="360" w:lineRule="auto"/>
              <w:jc w:val="center"/>
              <w:rPr>
                <w:sz w:val="24"/>
                <w:szCs w:val="24"/>
              </w:rPr>
            </w:pPr>
            <w:r>
              <w:rPr>
                <w:sz w:val="24"/>
                <w:szCs w:val="24"/>
              </w:rPr>
              <w:t>0</w:t>
            </w:r>
          </w:p>
        </w:tc>
        <w:tc>
          <w:tcPr>
            <w:tcW w:w="2628" w:type="dxa"/>
            <w:tcBorders>
              <w:top w:val="single" w:sz="12" w:space="0" w:color="000000"/>
              <w:left w:val="single" w:sz="12" w:space="0" w:color="000000"/>
              <w:bottom w:val="single" w:sz="12" w:space="0" w:color="000000"/>
            </w:tcBorders>
          </w:tcPr>
          <w:p w:rsidR="003A470A" w:rsidRDefault="004E7157">
            <w:pPr>
              <w:pStyle w:val="normal"/>
              <w:spacing w:line="360" w:lineRule="auto"/>
              <w:jc w:val="center"/>
              <w:rPr>
                <w:sz w:val="24"/>
                <w:szCs w:val="24"/>
              </w:rPr>
            </w:pPr>
            <w:r>
              <w:rPr>
                <w:sz w:val="24"/>
                <w:szCs w:val="24"/>
              </w:rPr>
              <w:t>0</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w:t>
      </w:r>
    </w:p>
    <w:p w:rsidR="003A470A" w:rsidRDefault="004E7157">
      <w:pPr>
        <w:pStyle w:val="normal"/>
        <w:jc w:val="center"/>
        <w:rPr>
          <w:sz w:val="24"/>
          <w:szCs w:val="24"/>
        </w:rPr>
      </w:pPr>
      <w:r>
        <w:rPr>
          <w:b/>
          <w:sz w:val="24"/>
          <w:szCs w:val="24"/>
        </w:rPr>
        <w:t>Informácie o orgánoch spoločnosti</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Údaje o štatutárnych orgánoch Spoločnosti sú uvedené v Obchodnom registri.</w:t>
      </w:r>
    </w:p>
    <w:p w:rsidR="003A470A" w:rsidRDefault="004E7157">
      <w:pPr>
        <w:pStyle w:val="normal"/>
        <w:jc w:val="both"/>
        <w:rPr>
          <w:sz w:val="24"/>
          <w:szCs w:val="24"/>
        </w:rPr>
      </w:pPr>
      <w:r>
        <w:rPr>
          <w:sz w:val="24"/>
          <w:szCs w:val="24"/>
        </w:rPr>
        <w:t>Štatutárnym orgánom Spoločnosti je konateľ Jakub Kmeťko.</w:t>
      </w:r>
    </w:p>
    <w:p w:rsidR="003A470A" w:rsidRDefault="004E7157">
      <w:pPr>
        <w:pStyle w:val="normal"/>
        <w:jc w:val="both"/>
        <w:rPr>
          <w:sz w:val="24"/>
          <w:szCs w:val="24"/>
        </w:rPr>
      </w:pPr>
      <w:r>
        <w:rPr>
          <w:sz w:val="24"/>
          <w:szCs w:val="24"/>
        </w:rPr>
        <w:lastRenderedPageBreak/>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III</w:t>
      </w:r>
    </w:p>
    <w:p w:rsidR="003A470A" w:rsidRDefault="004E7157">
      <w:pPr>
        <w:pStyle w:val="normal"/>
        <w:jc w:val="center"/>
        <w:rPr>
          <w:sz w:val="24"/>
          <w:szCs w:val="24"/>
        </w:rPr>
      </w:pPr>
      <w:r>
        <w:rPr>
          <w:b/>
          <w:sz w:val="24"/>
          <w:szCs w:val="24"/>
        </w:rPr>
        <w:t>Informácie o prijatých postupoch</w:t>
      </w:r>
    </w:p>
    <w:p w:rsidR="003A470A" w:rsidRDefault="004E7157">
      <w:pPr>
        <w:pStyle w:val="normal"/>
        <w:jc w:val="both"/>
        <w:rPr>
          <w:sz w:val="24"/>
          <w:szCs w:val="24"/>
        </w:rPr>
      </w:pPr>
      <w:r>
        <w:rPr>
          <w:sz w:val="24"/>
          <w:szCs w:val="24"/>
        </w:rPr>
        <w:t xml:space="preserve">(1) Východiská pre zostavenie účtovnej závierky: </w:t>
      </w:r>
    </w:p>
    <w:p w:rsidR="003A470A" w:rsidRDefault="004E7157">
      <w:pPr>
        <w:pStyle w:val="normal"/>
        <w:jc w:val="both"/>
        <w:rPr>
          <w:sz w:val="24"/>
          <w:szCs w:val="24"/>
        </w:rPr>
      </w:pPr>
      <w:r>
        <w:rPr>
          <w:sz w:val="24"/>
          <w:szCs w:val="24"/>
        </w:rPr>
        <w:t xml:space="preserve">účtovná závierka bola zostavená za predpokladu nepretržitého trvania Spoločnosti (going concern).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Účtovné metódy a všeobecné účtovné zásady boli účtovnou jednotkou konzistentne aplikované.</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V súvahe sú uvedené všetky transakcie, uskutočnené Spoločnosťou v účtovnom období.</w:t>
      </w:r>
    </w:p>
    <w:p w:rsidR="003A470A" w:rsidRDefault="004E7157">
      <w:pPr>
        <w:pStyle w:val="normal"/>
        <w:jc w:val="both"/>
        <w:rPr>
          <w:sz w:val="24"/>
          <w:szCs w:val="24"/>
        </w:rPr>
      </w:pPr>
      <w:r>
        <w:rPr>
          <w:sz w:val="24"/>
          <w:szCs w:val="24"/>
        </w:rPr>
        <w:t xml:space="preserve"> </w:t>
      </w:r>
    </w:p>
    <w:p w:rsidR="003A470A" w:rsidRDefault="004E7157">
      <w:pPr>
        <w:pStyle w:val="normal"/>
        <w:jc w:val="both"/>
        <w:rPr>
          <w:sz w:val="24"/>
          <w:szCs w:val="24"/>
        </w:rPr>
      </w:pPr>
      <w:r>
        <w:rPr>
          <w:sz w:val="24"/>
          <w:szCs w:val="24"/>
        </w:rPr>
        <w:t>(4) Spôsob a určenie ocenenia majetku a záväzkov vrátane odhadov:</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a) dlhodobý nehmotný majetok a dlhodobý hmotný majetok:</w:t>
      </w:r>
    </w:p>
    <w:p w:rsidR="003A470A" w:rsidRDefault="004E7157">
      <w:pPr>
        <w:pStyle w:val="normal"/>
        <w:jc w:val="both"/>
        <w:rPr>
          <w:sz w:val="24"/>
          <w:szCs w:val="24"/>
        </w:rPr>
      </w:pPr>
      <w:r>
        <w:rPr>
          <w:sz w:val="24"/>
          <w:szCs w:val="24"/>
        </w:rPr>
        <w:t>dlhodobý majetok nakupovaný sa oceňuje obstarávacou cenou, ktorá zahŕňa cenu obstarania a náklady súvisiace s obstaraním (clo, prepravu, montáž, poistné a pod.).</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hmotného majetku nie sú úroky z cudzích zdrojov ani realizované kurzové rozdiely, ktoré vznikli do momentu uvedenia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nehmotného majetku nie sú úroky z cudzích zdrojov, ktoré vznikli do momentu zaradenia dlhodobého nehmotného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1E6830">
        <w:rPr>
          <w:sz w:val="24"/>
          <w:szCs w:val="24"/>
        </w:rPr>
        <w:t>n</w:t>
      </w:r>
      <w:r>
        <w:rPr>
          <w:sz w:val="24"/>
          <w:szCs w:val="24"/>
        </w:rPr>
        <w:t xml:space="preserve">gu, ktorý sa začína odpisovať dňom zaradenia do majetku.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Drobný nehmotný majetok, ktorého ocenenie sa rovná alebo je nižšie ako 2400 € s dobou použiteľnosti dlhšou ako jeden rok sa účtuje na ťarchu účtu 518.</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Pozemky ani zásoby sa neodpisujú. </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Predpokladaná doba používania, metóda odpisovania a odpisová sadzba sú uvedené v nasledujúcej tabuľke:</w:t>
      </w:r>
    </w:p>
    <w:p w:rsidR="003A470A" w:rsidRDefault="003A470A">
      <w:pPr>
        <w:pStyle w:val="normal"/>
        <w:jc w:val="both"/>
        <w:rPr>
          <w:sz w:val="24"/>
          <w:szCs w:val="24"/>
        </w:rPr>
      </w:pPr>
    </w:p>
    <w:p w:rsidR="003A470A" w:rsidRDefault="003A470A">
      <w:pPr>
        <w:pStyle w:val="normal"/>
        <w:widowControl w:val="0"/>
        <w:rPr>
          <w:rFonts w:ascii="Arial Narrow" w:eastAsia="Arial Narrow" w:hAnsi="Arial Narrow" w:cs="Arial Narrow"/>
          <w:b/>
          <w:sz w:val="22"/>
          <w:szCs w:val="22"/>
        </w:rPr>
      </w:pPr>
    </w:p>
    <w:tbl>
      <w:tblPr>
        <w:tblStyle w:val="a0"/>
        <w:tblW w:w="9288"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168"/>
        <w:gridCol w:w="2040"/>
        <w:gridCol w:w="2040"/>
        <w:gridCol w:w="2040"/>
      </w:tblGrid>
      <w:tr w:rsidR="003A470A">
        <w:trPr>
          <w:jc w:val="center"/>
        </w:trPr>
        <w:tc>
          <w:tcPr>
            <w:tcW w:w="3168"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Doba odpisovania</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Sadzba odpisov</w:t>
            </w:r>
          </w:p>
        </w:tc>
        <w:tc>
          <w:tcPr>
            <w:tcW w:w="2040"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Odpisová metóda</w:t>
            </w:r>
          </w:p>
        </w:tc>
      </w:tr>
      <w:tr w:rsidR="003A470A">
        <w:trPr>
          <w:trHeight w:val="220"/>
          <w:jc w:val="center"/>
        </w:trPr>
        <w:tc>
          <w:tcPr>
            <w:tcW w:w="3168" w:type="dxa"/>
            <w:tcBorders>
              <w:top w:val="nil"/>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a</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b</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C</w:t>
            </w:r>
          </w:p>
        </w:tc>
        <w:tc>
          <w:tcPr>
            <w:tcW w:w="2040" w:type="dxa"/>
            <w:tcBorders>
              <w:top w:val="nil"/>
              <w:left w:val="single" w:sz="12" w:space="0" w:color="000000"/>
              <w:bottom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d</w:t>
            </w:r>
          </w:p>
        </w:tc>
      </w:tr>
      <w:tr w:rsidR="003A470A">
        <w:trPr>
          <w:jc w:val="center"/>
        </w:trPr>
        <w:tc>
          <w:tcPr>
            <w:tcW w:w="9288" w:type="dxa"/>
            <w:gridSpan w:val="4"/>
            <w:tcBorders>
              <w:bottom w:val="single" w:sz="12" w:space="0" w:color="000000"/>
            </w:tcBorders>
            <w:vAlign w:val="center"/>
          </w:tcPr>
          <w:p w:rsidR="003A470A" w:rsidRDefault="004E7157">
            <w:pPr>
              <w:pStyle w:val="normal"/>
              <w:rPr>
                <w:sz w:val="24"/>
                <w:szCs w:val="24"/>
              </w:rPr>
            </w:pPr>
            <w:r>
              <w:rPr>
                <w:b/>
                <w:sz w:val="24"/>
                <w:szCs w:val="24"/>
              </w:rPr>
              <w:t>Druh majetku</w:t>
            </w:r>
          </w:p>
        </w:tc>
      </w:tr>
      <w:tr w:rsidR="003A470A">
        <w:trPr>
          <w:jc w:val="center"/>
        </w:trPr>
        <w:tc>
          <w:tcPr>
            <w:tcW w:w="3168" w:type="dxa"/>
            <w:tcBorders>
              <w:top w:val="single" w:sz="12" w:space="0" w:color="000000"/>
              <w:right w:val="single" w:sz="12" w:space="0" w:color="000000"/>
            </w:tcBorders>
            <w:vAlign w:val="center"/>
          </w:tcPr>
          <w:p w:rsidR="003A470A" w:rsidRDefault="004E7157">
            <w:pPr>
              <w:pStyle w:val="normal"/>
              <w:rPr>
                <w:sz w:val="24"/>
                <w:szCs w:val="24"/>
              </w:rPr>
            </w:pPr>
            <w:r>
              <w:rPr>
                <w:sz w:val="24"/>
                <w:szCs w:val="24"/>
              </w:rPr>
              <w:t>Dlhodobý nehmotný majetok</w:t>
            </w:r>
          </w:p>
        </w:tc>
        <w:tc>
          <w:tcPr>
            <w:tcW w:w="2040" w:type="dxa"/>
            <w:tcBorders>
              <w:top w:val="single" w:sz="12" w:space="0" w:color="000000"/>
              <w:left w:val="single" w:sz="12" w:space="0" w:color="000000"/>
            </w:tcBorders>
            <w:vAlign w:val="center"/>
          </w:tcPr>
          <w:p w:rsidR="003A470A" w:rsidRDefault="004E7157">
            <w:pPr>
              <w:pStyle w:val="normal"/>
              <w:jc w:val="center"/>
              <w:rPr>
                <w:sz w:val="24"/>
                <w:szCs w:val="24"/>
              </w:rPr>
            </w:pPr>
            <w:r>
              <w:rPr>
                <w:sz w:val="24"/>
                <w:szCs w:val="24"/>
              </w:rPr>
              <w:t>2 – 4 roky</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Podľa doby použiteľnosti. Účtovné a daňové odpisy sa rovnajú</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Dlhodobý hmotný majetok</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Majetok obstaraný na finančný leasing</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bottom w:val="single" w:sz="6" w:space="0" w:color="000000"/>
              <w:right w:val="single" w:sz="12" w:space="0" w:color="000000"/>
            </w:tcBorders>
            <w:vAlign w:val="center"/>
          </w:tcPr>
          <w:p w:rsidR="003A470A" w:rsidRDefault="004E7157">
            <w:pPr>
              <w:pStyle w:val="normal"/>
              <w:rPr>
                <w:sz w:val="24"/>
                <w:szCs w:val="24"/>
              </w:rPr>
            </w:pPr>
            <w:r>
              <w:rPr>
                <w:sz w:val="24"/>
                <w:szCs w:val="24"/>
              </w:rPr>
              <w:t>Iný majetok</w:t>
            </w:r>
          </w:p>
        </w:tc>
        <w:tc>
          <w:tcPr>
            <w:tcW w:w="2040" w:type="dxa"/>
            <w:tcBorders>
              <w:left w:val="single" w:sz="12" w:space="0" w:color="000000"/>
              <w:bottom w:val="single" w:sz="6" w:space="0" w:color="000000"/>
            </w:tcBorders>
            <w:vAlign w:val="center"/>
          </w:tcPr>
          <w:p w:rsidR="003A470A" w:rsidRDefault="004E7157">
            <w:pPr>
              <w:pStyle w:val="normal"/>
              <w:jc w:val="center"/>
              <w:rPr>
                <w:sz w:val="24"/>
                <w:szCs w:val="24"/>
              </w:rPr>
            </w:pPr>
            <w:r>
              <w:rPr>
                <w:sz w:val="24"/>
                <w:szCs w:val="24"/>
              </w:rPr>
              <w:t>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Vstupná cena : 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Lineárne</w:t>
            </w:r>
          </w:p>
        </w:tc>
      </w:tr>
      <w:tr w:rsidR="003A470A">
        <w:trPr>
          <w:trHeight w:val="380"/>
          <w:jc w:val="center"/>
        </w:trPr>
        <w:tc>
          <w:tcPr>
            <w:tcW w:w="3168" w:type="dxa"/>
            <w:tcBorders>
              <w:top w:val="single" w:sz="6" w:space="0" w:color="000000"/>
              <w:right w:val="single" w:sz="12" w:space="0" w:color="000000"/>
            </w:tcBorders>
            <w:vAlign w:val="center"/>
          </w:tcPr>
          <w:p w:rsidR="003A470A" w:rsidRDefault="004E7157">
            <w:pPr>
              <w:pStyle w:val="normal"/>
              <w:rPr>
                <w:sz w:val="24"/>
                <w:szCs w:val="24"/>
              </w:rPr>
            </w:pPr>
            <w:r>
              <w:rPr>
                <w:sz w:val="24"/>
                <w:szCs w:val="24"/>
              </w:rPr>
              <w:t>Drobný hmotný majetok</w:t>
            </w:r>
          </w:p>
        </w:tc>
        <w:tc>
          <w:tcPr>
            <w:tcW w:w="2040" w:type="dxa"/>
            <w:tcBorders>
              <w:top w:val="single" w:sz="6" w:space="0" w:color="000000"/>
              <w:left w:val="single" w:sz="12" w:space="0" w:color="000000"/>
            </w:tcBorders>
            <w:vAlign w:val="center"/>
          </w:tcPr>
          <w:p w:rsidR="003A470A" w:rsidRDefault="004E7157">
            <w:pPr>
              <w:pStyle w:val="normal"/>
              <w:jc w:val="center"/>
              <w:rPr>
                <w:sz w:val="24"/>
                <w:szCs w:val="24"/>
              </w:rPr>
            </w:pPr>
            <w:r>
              <w:rPr>
                <w:sz w:val="24"/>
                <w:szCs w:val="24"/>
              </w:rPr>
              <w:t>4 roky</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¼</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Lineárne</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b) zásoby :</w:t>
      </w:r>
    </w:p>
    <w:p w:rsidR="003A470A" w:rsidRDefault="004E7157">
      <w:pPr>
        <w:pStyle w:val="normal"/>
        <w:jc w:val="both"/>
        <w:rPr>
          <w:sz w:val="24"/>
          <w:szCs w:val="24"/>
        </w:rPr>
      </w:pPr>
      <w:r>
        <w:rPr>
          <w:sz w:val="24"/>
          <w:szCs w:val="24"/>
        </w:rPr>
        <w:t xml:space="preserve">zásoby sa oceňujú nižšou z nasledujúcich hodnôt: obstarávacou cenou (nakupované zásoby) alebo vlastnými nákladmi (zásoby vytvorené vlastnou činnosťou) alebo čistou realizačnou hodnotou. </w:t>
      </w:r>
    </w:p>
    <w:p w:rsidR="003A470A" w:rsidRDefault="004E7157">
      <w:pPr>
        <w:pStyle w:val="normal"/>
        <w:jc w:val="both"/>
        <w:rPr>
          <w:sz w:val="24"/>
          <w:szCs w:val="24"/>
        </w:rPr>
      </w:pPr>
      <w:r>
        <w:rPr>
          <w:sz w:val="24"/>
          <w:szCs w:val="24"/>
        </w:rPr>
        <w:t xml:space="preserve">Obstarávacia cena zahŕňa cenu zásob a náklady súvisiace s obstaraním (clo, prepravu, poistné, provízie, skonto a pod.). Úroky z cudzích zdrojov nie sú súčasťou obstarávacej ceny. </w:t>
      </w:r>
    </w:p>
    <w:p w:rsidR="003A470A" w:rsidRDefault="004E7157">
      <w:pPr>
        <w:pStyle w:val="normal"/>
        <w:jc w:val="both"/>
        <w:rPr>
          <w:sz w:val="24"/>
          <w:szCs w:val="24"/>
        </w:rPr>
      </w:pPr>
      <w:r>
        <w:rPr>
          <w:sz w:val="24"/>
          <w:szCs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rsidR="003A470A" w:rsidRDefault="004E7157">
      <w:pPr>
        <w:pStyle w:val="normal"/>
        <w:jc w:val="both"/>
        <w:rPr>
          <w:sz w:val="24"/>
          <w:szCs w:val="24"/>
        </w:rPr>
      </w:pPr>
      <w:r>
        <w:rPr>
          <w:sz w:val="24"/>
          <w:szCs w:val="24"/>
        </w:rPr>
        <w:t xml:space="preserve">Čistá realizačná hodnota je predpokladaná predajná cena znížená o predpokladané náklady na ich dokončenie a o predpokladané náklady súvisiace s ich predajom. </w:t>
      </w:r>
    </w:p>
    <w:p w:rsidR="003A470A" w:rsidRDefault="004E7157">
      <w:pPr>
        <w:pStyle w:val="normal"/>
        <w:jc w:val="both"/>
        <w:rPr>
          <w:sz w:val="24"/>
          <w:szCs w:val="24"/>
        </w:rPr>
      </w:pPr>
      <w:r>
        <w:rPr>
          <w:sz w:val="24"/>
          <w:szCs w:val="24"/>
        </w:rPr>
        <w:t xml:space="preserve">Zníženie hodnoty zásob sa upravuje vytvorením opravnej položky.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c) pohľadávky :</w:t>
      </w:r>
    </w:p>
    <w:p w:rsidR="003A470A" w:rsidRDefault="004E7157">
      <w:pPr>
        <w:pStyle w:val="normal"/>
        <w:jc w:val="both"/>
        <w:rPr>
          <w:sz w:val="24"/>
          <w:szCs w:val="24"/>
        </w:rPr>
      </w:pPr>
      <w:r>
        <w:rPr>
          <w:sz w:val="24"/>
          <w:szCs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 peňažné prostriedky a ceniny :</w:t>
      </w:r>
    </w:p>
    <w:p w:rsidR="003A470A" w:rsidRDefault="004E7157">
      <w:pPr>
        <w:pStyle w:val="normal"/>
        <w:jc w:val="both"/>
        <w:rPr>
          <w:sz w:val="24"/>
          <w:szCs w:val="24"/>
        </w:rPr>
      </w:pPr>
      <w:r>
        <w:rPr>
          <w:sz w:val="24"/>
          <w:szCs w:val="24"/>
        </w:rPr>
        <w:t xml:space="preserve">peňažné prostriedky a ceniny sa oceňujú ich menovitou hodnotou. Zníženie ich hodnoty sa vyjadruje opravnou položkou.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e) náklady budúcich období a príjmy budúcich období :</w:t>
      </w:r>
    </w:p>
    <w:p w:rsidR="003A470A" w:rsidRDefault="004E7157">
      <w:pPr>
        <w:pStyle w:val="normal"/>
        <w:jc w:val="both"/>
        <w:rPr>
          <w:sz w:val="24"/>
          <w:szCs w:val="24"/>
        </w:rPr>
      </w:pPr>
      <w:r>
        <w:rPr>
          <w:sz w:val="24"/>
          <w:szCs w:val="24"/>
        </w:rPr>
        <w:t>náklady budúcich období a príjmy budúcich období sa vykazujú vo výške, ktorá je potrebná na dodržanie zásady vecnej a časovej súvislosti s účtovným obdobím.</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f) rezervy :</w:t>
      </w:r>
    </w:p>
    <w:p w:rsidR="003A470A" w:rsidRDefault="004E7157">
      <w:pPr>
        <w:pStyle w:val="normal"/>
        <w:jc w:val="both"/>
        <w:rPr>
          <w:sz w:val="24"/>
          <w:szCs w:val="24"/>
        </w:rPr>
      </w:pPr>
      <w:r>
        <w:rPr>
          <w:sz w:val="24"/>
          <w:szCs w:val="24"/>
        </w:rPr>
        <w:lastRenderedPageBreak/>
        <w:t>rezervy sú záväzky s neurčitým časovým vymedzením alebo výškou; tvoria sa na krytie známych rizík alebo strát z podnikania. Oceňujú sa v očakávanej výške záväzku.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g) záväzky :</w:t>
      </w:r>
    </w:p>
    <w:p w:rsidR="003A470A" w:rsidRDefault="004E7157">
      <w:pPr>
        <w:pStyle w:val="normal"/>
        <w:jc w:val="both"/>
        <w:rPr>
          <w:sz w:val="24"/>
          <w:szCs w:val="24"/>
        </w:rPr>
      </w:pPr>
      <w:r>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h) odložené dane :</w:t>
      </w:r>
    </w:p>
    <w:p w:rsidR="003A470A" w:rsidRDefault="004E7157">
      <w:pPr>
        <w:pStyle w:val="normal"/>
        <w:jc w:val="both"/>
        <w:rPr>
          <w:sz w:val="24"/>
          <w:szCs w:val="24"/>
        </w:rPr>
      </w:pPr>
      <w:r>
        <w:rPr>
          <w:sz w:val="24"/>
          <w:szCs w:val="24"/>
        </w:rPr>
        <w:t xml:space="preserve">odložené dane (odložená daňová pohľadávka a odložený daňový záväzok) sa vzťahujú na: </w:t>
      </w:r>
    </w:p>
    <w:p w:rsidR="003A470A" w:rsidRDefault="004E7157">
      <w:pPr>
        <w:pStyle w:val="normal"/>
        <w:jc w:val="both"/>
        <w:rPr>
          <w:sz w:val="24"/>
          <w:szCs w:val="24"/>
        </w:rPr>
      </w:pPr>
      <w:r>
        <w:rPr>
          <w:sz w:val="24"/>
          <w:szCs w:val="24"/>
        </w:rPr>
        <w:t xml:space="preserve">a) dočasné rozdiely medzi účtovnou hodnotou majetku a účtovnou hodnotou záväzkov vykázanou v súvahe a ich daňovou základňou, </w:t>
      </w:r>
    </w:p>
    <w:p w:rsidR="003A470A" w:rsidRDefault="004E7157">
      <w:pPr>
        <w:pStyle w:val="normal"/>
        <w:jc w:val="both"/>
        <w:rPr>
          <w:sz w:val="24"/>
          <w:szCs w:val="24"/>
        </w:rPr>
      </w:pPr>
      <w:r>
        <w:rPr>
          <w:sz w:val="24"/>
          <w:szCs w:val="24"/>
        </w:rPr>
        <w:t xml:space="preserve">b) možnosť umorovať daňovú stratu v budúcnosti, ktorou sa rozumie možnosť odpočítať daňovú stratu od základu dane v budúcnosti, </w:t>
      </w:r>
    </w:p>
    <w:p w:rsidR="003A470A" w:rsidRDefault="004E7157">
      <w:pPr>
        <w:pStyle w:val="normal"/>
        <w:jc w:val="both"/>
        <w:rPr>
          <w:sz w:val="24"/>
          <w:szCs w:val="24"/>
        </w:rPr>
      </w:pPr>
      <w:r>
        <w:rPr>
          <w:sz w:val="24"/>
          <w:szCs w:val="24"/>
        </w:rPr>
        <w:t xml:space="preserve">c) možnosť previesť nevyužité daňové odpočty a iné daňové nároky do budúcich období. </w:t>
      </w:r>
    </w:p>
    <w:p w:rsidR="003A470A" w:rsidRDefault="004E7157">
      <w:pPr>
        <w:pStyle w:val="normal"/>
        <w:jc w:val="both"/>
        <w:rPr>
          <w:sz w:val="24"/>
          <w:szCs w:val="24"/>
        </w:rPr>
      </w:pPr>
      <w:r>
        <w:rPr>
          <w:sz w:val="24"/>
          <w:szCs w:val="24"/>
        </w:rPr>
        <w:t xml:space="preserve">O odloženom daňovom záväzku účtuje spoločnosť vždy, o pohľadávke účtuje, ak je realizovateľná.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i) výdavky budúcich období a výnosy budúcich období :</w:t>
      </w:r>
    </w:p>
    <w:p w:rsidR="003A470A" w:rsidRDefault="004E7157">
      <w:pPr>
        <w:pStyle w:val="normal"/>
        <w:jc w:val="both"/>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j) prenájom (lízing) :</w:t>
      </w:r>
    </w:p>
    <w:p w:rsidR="003A470A" w:rsidRDefault="004E7157">
      <w:pPr>
        <w:pStyle w:val="normal"/>
        <w:jc w:val="both"/>
        <w:rPr>
          <w:sz w:val="24"/>
          <w:szCs w:val="24"/>
        </w:rPr>
      </w:pPr>
      <w:r>
        <w:rPr>
          <w:sz w:val="24"/>
          <w:szCs w:val="24"/>
        </w:rPr>
        <w:t xml:space="preserve">majetok prenajatý na základe operatívneho prenájmu bez kúpnej opcie je považovaný za operatívny prenájom. Majetok vykazuje ako svoj majetok jeho vlastník, nie nájomca. </w:t>
      </w:r>
    </w:p>
    <w:p w:rsidR="003A470A" w:rsidRDefault="004E7157">
      <w:pPr>
        <w:pStyle w:val="normal"/>
        <w:jc w:val="both"/>
        <w:rPr>
          <w:sz w:val="24"/>
          <w:szCs w:val="24"/>
        </w:rPr>
      </w:pPr>
      <w:r>
        <w:rPr>
          <w:sz w:val="24"/>
          <w:szCs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k) cudzia mena :</w:t>
      </w:r>
    </w:p>
    <w:p w:rsidR="003A470A" w:rsidRDefault="004E7157">
      <w:pPr>
        <w:pStyle w:val="normal"/>
        <w:jc w:val="both"/>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A470A" w:rsidRDefault="004E7157">
      <w:pPr>
        <w:pStyle w:val="normal"/>
        <w:jc w:val="both"/>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w:t>
      </w:r>
    </w:p>
    <w:p w:rsidR="003A470A" w:rsidRDefault="004E7157">
      <w:pPr>
        <w:pStyle w:val="normal"/>
        <w:jc w:val="both"/>
        <w:rPr>
          <w:sz w:val="24"/>
          <w:szCs w:val="24"/>
        </w:rPr>
      </w:pPr>
      <w:r>
        <w:rPr>
          <w:sz w:val="24"/>
          <w:szCs w:val="24"/>
        </w:rPr>
        <w:t>Prijaté a poskytnuté preddavky sa ku dňu, ku ktorému sa zostavuje účtovná závierka, na menu euro už neprepočítavajú.</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l) výnosy :</w:t>
      </w:r>
    </w:p>
    <w:p w:rsidR="003A470A" w:rsidRDefault="004E7157">
      <w:pPr>
        <w:pStyle w:val="normal"/>
        <w:jc w:val="both"/>
        <w:rPr>
          <w:sz w:val="24"/>
          <w:szCs w:val="24"/>
        </w:rPr>
      </w:pPr>
      <w:r>
        <w:rPr>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m) náklady:</w:t>
      </w:r>
    </w:p>
    <w:p w:rsidR="003A470A" w:rsidRDefault="004E7157">
      <w:pPr>
        <w:pStyle w:val="normal"/>
        <w:jc w:val="both"/>
        <w:rPr>
          <w:sz w:val="24"/>
          <w:szCs w:val="24"/>
        </w:rPr>
      </w:pPr>
      <w:r>
        <w:rPr>
          <w:sz w:val="24"/>
          <w:szCs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n) poskytnuté dotácie:</w:t>
      </w:r>
    </w:p>
    <w:p w:rsidR="003A470A" w:rsidRDefault="004E7157">
      <w:pPr>
        <w:pStyle w:val="normal"/>
        <w:jc w:val="both"/>
        <w:rPr>
          <w:sz w:val="24"/>
          <w:szCs w:val="24"/>
        </w:rPr>
      </w:pPr>
      <w:r>
        <w:rPr>
          <w:sz w:val="24"/>
          <w:szCs w:val="24"/>
        </w:rPr>
        <w:t>Spoločnosť nedostala dotácie ani na náhradu prevádzkových nákladov, ani na obstaranie dlhodobého majetku.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opravy chýb minulých období:</w:t>
      </w:r>
    </w:p>
    <w:p w:rsidR="003A470A" w:rsidRDefault="004E7157">
      <w:pPr>
        <w:pStyle w:val="normal"/>
        <w:jc w:val="both"/>
        <w:rPr>
          <w:sz w:val="24"/>
          <w:szCs w:val="24"/>
        </w:rPr>
      </w:pPr>
      <w:r>
        <w:rPr>
          <w:sz w:val="24"/>
          <w:szCs w:val="24"/>
        </w:rPr>
        <w:t>opravy významných chýb minulých účtovných období, účtované s vplyvom na nerozdelený zisk minulých rokov, sa v bežnom účtovnom období nevyskytli.</w:t>
      </w:r>
    </w:p>
    <w:p w:rsidR="003A470A" w:rsidRDefault="004E7157">
      <w:pPr>
        <w:pStyle w:val="normal"/>
        <w:jc w:val="both"/>
        <w:rPr>
          <w:sz w:val="24"/>
          <w:szCs w:val="24"/>
        </w:rPr>
      </w:pPr>
      <w:r>
        <w:rPr>
          <w:sz w:val="24"/>
          <w:szCs w:val="24"/>
        </w:rPr>
        <w:t>Nevýznamné opravy chýb minulých účtovných období vykonané v bežnom účtovnom období nemajú významný vplyv na výsledok hospodárenia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IV</w:t>
      </w:r>
    </w:p>
    <w:p w:rsidR="003A470A" w:rsidRDefault="004E7157">
      <w:pPr>
        <w:pStyle w:val="normal"/>
        <w:jc w:val="center"/>
        <w:rPr>
          <w:sz w:val="24"/>
          <w:szCs w:val="24"/>
        </w:rPr>
      </w:pPr>
      <w:r>
        <w:rPr>
          <w:b/>
          <w:sz w:val="24"/>
          <w:szCs w:val="24"/>
        </w:rPr>
        <w:t>Informácie, ktoré vysvetľujú a dopĺňajú súvahu a výkaz ziskov a strát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(1) Na účtovanie goodwillu ani záporného goodwillu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Na účtovanie o derivátoch, ani o majetku a záväzkoch zabezpečených derivátmi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Spoločnosť nemá ku koncu bežného účtovného obdobia záväzky so zostatkovou dobou splatnosti dlhšou ako päť rokov. Spoločnosť neeviduje ku koncu bežného účtovného obdobia žiadne zabezpečené záväzky.</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(4) Spoločnosť nenadobudla v bežnom účtovnom období žiadne vlastné akcie, ani ku koncu bežného účtovného obdobia nevlastní žiadne vlastné akcie.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(5) Žiadne položky nákladov ani výnosov bežného účtovného obdobia nemajú výnimočný charakter.</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w:t>
      </w:r>
    </w:p>
    <w:p w:rsidR="003A470A" w:rsidRDefault="004E7157">
      <w:pPr>
        <w:pStyle w:val="normal"/>
        <w:jc w:val="center"/>
        <w:rPr>
          <w:sz w:val="24"/>
          <w:szCs w:val="24"/>
        </w:rPr>
      </w:pPr>
      <w:r>
        <w:rPr>
          <w:b/>
          <w:sz w:val="24"/>
          <w:szCs w:val="24"/>
        </w:rPr>
        <w:t>Informácie o iných aktívach a iných pasívach</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Spoločnosť neeviduje ku koncu bežného účtovného obdobia žiadny podmienený majetok ani žiadne podmienené záväzky.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(2) Spoločnosť nemá žiadne finančné povinnosti, ktoré nie sú vykazované v súvahe ku koncu bežného účtovného obdobia.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Na podsúvahových účtoch neeviduje Spoločnosť žiadne významné položky ku koncu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w:t>
      </w:r>
    </w:p>
    <w:p w:rsidR="003A470A" w:rsidRDefault="004E7157">
      <w:pPr>
        <w:pStyle w:val="normal"/>
        <w:jc w:val="center"/>
        <w:rPr>
          <w:sz w:val="24"/>
          <w:szCs w:val="24"/>
        </w:rPr>
      </w:pPr>
      <w:r>
        <w:rPr>
          <w:b/>
          <w:sz w:val="24"/>
          <w:szCs w:val="24"/>
        </w:rPr>
        <w:t>Udalosti, ktoré nastali po dni, ku ktorému sa zostavuje účtovná závierka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Po 31. decembri 2016 nenastali také udalosti, ktoré majú významný vplyv na verné zobrazenie skutočností uvádzaných v tejto účtovnej závierke.</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VII</w:t>
      </w:r>
    </w:p>
    <w:p w:rsidR="003A470A" w:rsidRDefault="004E7157">
      <w:pPr>
        <w:pStyle w:val="normal"/>
        <w:jc w:val="center"/>
        <w:rPr>
          <w:sz w:val="24"/>
          <w:szCs w:val="24"/>
        </w:rPr>
      </w:pPr>
      <w:r>
        <w:rPr>
          <w:b/>
          <w:sz w:val="24"/>
          <w:szCs w:val="24"/>
        </w:rPr>
        <w:t>Ostatné informácie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(1)  Spoločnosť nemá výlučné ani osobitné práva poskytovať služby vo verejnom záujme.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Spoločnosť nie je zaradená do kategórie priemyselnej výroby podľa osobitného predpisu s čistým obratom väčším ako 250 000 000 €.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Spoločnosť nie je zaradená do kategórie priemyselnej výroby podľa osobitného predpisu s čistým obratom väčším ako 250 000 000 €. Preto Spoločnosť ani neeviduje finančné vzťahy medzi orgánom verejnej moci a Spoločnosťou.</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sectPr w:rsidR="003A470A" w:rsidSect="003A470A">
      <w:headerReference w:type="default" r:id="rId6"/>
      <w:pgSz w:w="11906" w:h="16838"/>
      <w:pgMar w:top="1417" w:right="1417" w:bottom="1417" w:left="1417" w:header="0" w:footer="7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36AA" w:rsidRDefault="001C36AA" w:rsidP="003A470A">
      <w:r>
        <w:separator/>
      </w:r>
    </w:p>
  </w:endnote>
  <w:endnote w:type="continuationSeparator" w:id="1">
    <w:p w:rsidR="001C36AA" w:rsidRDefault="001C36AA" w:rsidP="003A47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Georgia">
    <w:panose1 w:val="02040502050405020303"/>
    <w:charset w:val="00"/>
    <w:family w:val="auto"/>
    <w:pitch w:val="default"/>
    <w:sig w:usb0="00000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36AA" w:rsidRDefault="001C36AA" w:rsidP="003A470A">
      <w:r>
        <w:separator/>
      </w:r>
    </w:p>
  </w:footnote>
  <w:footnote w:type="continuationSeparator" w:id="1">
    <w:p w:rsidR="001C36AA" w:rsidRDefault="001C36AA" w:rsidP="003A47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70A" w:rsidRDefault="004E7157">
    <w:pPr>
      <w:pStyle w:val="normal"/>
      <w:tabs>
        <w:tab w:val="center" w:pos="4536"/>
        <w:tab w:val="right" w:pos="9072"/>
      </w:tabs>
      <w:spacing w:before="708"/>
      <w:rPr>
        <w:sz w:val="24"/>
        <w:szCs w:val="24"/>
      </w:rPr>
    </w:pPr>
    <w:r>
      <w:rPr>
        <w:sz w:val="24"/>
        <w:szCs w:val="24"/>
      </w:rPr>
      <w:t>Poznámky Úč PODV 3- 01</w:t>
    </w:r>
    <w:r>
      <w:rPr>
        <w:sz w:val="24"/>
        <w:szCs w:val="24"/>
      </w:rPr>
      <w:tab/>
      <w:t xml:space="preserve">                                                                           IČO:    36252735</w:t>
    </w:r>
    <w:r>
      <w:rPr>
        <w:sz w:val="24"/>
        <w:szCs w:val="24"/>
      </w:rPr>
      <w:tab/>
    </w:r>
  </w:p>
  <w:p w:rsidR="003A470A" w:rsidRDefault="004E7157">
    <w:pPr>
      <w:pStyle w:val="normal"/>
      <w:tabs>
        <w:tab w:val="center" w:pos="4536"/>
        <w:tab w:val="right" w:pos="9072"/>
      </w:tabs>
      <w:rPr>
        <w:sz w:val="24"/>
        <w:szCs w:val="24"/>
      </w:rPr>
    </w:pPr>
    <w:r>
      <w:rPr>
        <w:sz w:val="24"/>
        <w:szCs w:val="24"/>
      </w:rPr>
      <w:tab/>
      <w:t xml:space="preserve">                                                                                                                      DIČ:    2020167886</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hyphenationZone w:val="425"/>
  <w:characterSpacingControl w:val="doNotCompress"/>
  <w:footnotePr>
    <w:footnote w:id="0"/>
    <w:footnote w:id="1"/>
  </w:footnotePr>
  <w:endnotePr>
    <w:endnote w:id="0"/>
    <w:endnote w:id="1"/>
  </w:endnotePr>
  <w:compat/>
  <w:rsids>
    <w:rsidRoot w:val="003A470A"/>
    <w:rsid w:val="001C36AA"/>
    <w:rsid w:val="001E6830"/>
    <w:rsid w:val="003A470A"/>
    <w:rsid w:val="004E7157"/>
    <w:rsid w:val="00A25D0E"/>
    <w:rsid w:val="00EB36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lang w:val="sk-SK" w:eastAsia="sk-SK"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B3658"/>
  </w:style>
  <w:style w:type="paragraph" w:styleId="Nadpis1">
    <w:name w:val="heading 1"/>
    <w:basedOn w:val="normal"/>
    <w:next w:val="normal"/>
    <w:rsid w:val="003A470A"/>
    <w:pPr>
      <w:keepNext/>
      <w:keepLines/>
      <w:spacing w:before="480" w:after="120"/>
      <w:contextualSpacing/>
      <w:outlineLvl w:val="0"/>
    </w:pPr>
    <w:rPr>
      <w:b/>
      <w:sz w:val="48"/>
      <w:szCs w:val="48"/>
    </w:rPr>
  </w:style>
  <w:style w:type="paragraph" w:styleId="Nadpis2">
    <w:name w:val="heading 2"/>
    <w:basedOn w:val="normal"/>
    <w:next w:val="normal"/>
    <w:rsid w:val="003A470A"/>
    <w:pPr>
      <w:keepNext/>
      <w:keepLines/>
      <w:spacing w:before="360" w:after="80"/>
      <w:contextualSpacing/>
      <w:outlineLvl w:val="1"/>
    </w:pPr>
    <w:rPr>
      <w:b/>
      <w:sz w:val="36"/>
      <w:szCs w:val="36"/>
    </w:rPr>
  </w:style>
  <w:style w:type="paragraph" w:styleId="Nadpis3">
    <w:name w:val="heading 3"/>
    <w:basedOn w:val="normal"/>
    <w:next w:val="normal"/>
    <w:rsid w:val="003A470A"/>
    <w:pPr>
      <w:keepNext/>
      <w:keepLines/>
      <w:spacing w:before="280" w:after="80"/>
      <w:contextualSpacing/>
      <w:outlineLvl w:val="2"/>
    </w:pPr>
    <w:rPr>
      <w:b/>
      <w:sz w:val="28"/>
      <w:szCs w:val="28"/>
    </w:rPr>
  </w:style>
  <w:style w:type="paragraph" w:styleId="Nadpis4">
    <w:name w:val="heading 4"/>
    <w:basedOn w:val="normal"/>
    <w:next w:val="normal"/>
    <w:rsid w:val="003A470A"/>
    <w:pPr>
      <w:keepNext/>
      <w:keepLines/>
      <w:spacing w:before="240" w:after="40"/>
      <w:contextualSpacing/>
      <w:outlineLvl w:val="3"/>
    </w:pPr>
    <w:rPr>
      <w:b/>
      <w:sz w:val="24"/>
      <w:szCs w:val="24"/>
    </w:rPr>
  </w:style>
  <w:style w:type="paragraph" w:styleId="Nadpis5">
    <w:name w:val="heading 5"/>
    <w:basedOn w:val="normal"/>
    <w:next w:val="normal"/>
    <w:rsid w:val="003A470A"/>
    <w:pPr>
      <w:keepNext/>
      <w:keepLines/>
      <w:spacing w:before="220" w:after="40"/>
      <w:contextualSpacing/>
      <w:outlineLvl w:val="4"/>
    </w:pPr>
    <w:rPr>
      <w:b/>
      <w:sz w:val="22"/>
      <w:szCs w:val="22"/>
    </w:rPr>
  </w:style>
  <w:style w:type="paragraph" w:styleId="Nadpis6">
    <w:name w:val="heading 6"/>
    <w:basedOn w:val="normal"/>
    <w:next w:val="normal"/>
    <w:rsid w:val="003A470A"/>
    <w:pPr>
      <w:keepNext/>
      <w:keepLines/>
      <w:spacing w:before="200" w:after="40"/>
      <w:contextualSpacing/>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al">
    <w:name w:val="normal"/>
    <w:rsid w:val="003A470A"/>
  </w:style>
  <w:style w:type="table" w:customStyle="1" w:styleId="TableNormal">
    <w:name w:val="Table Normal"/>
    <w:rsid w:val="003A470A"/>
    <w:tblPr>
      <w:tblCellMar>
        <w:top w:w="0" w:type="dxa"/>
        <w:left w:w="0" w:type="dxa"/>
        <w:bottom w:w="0" w:type="dxa"/>
        <w:right w:w="0" w:type="dxa"/>
      </w:tblCellMar>
    </w:tblPr>
  </w:style>
  <w:style w:type="paragraph" w:styleId="Nzov">
    <w:name w:val="Title"/>
    <w:basedOn w:val="normal"/>
    <w:next w:val="normal"/>
    <w:rsid w:val="003A470A"/>
    <w:pPr>
      <w:keepNext/>
      <w:keepLines/>
      <w:spacing w:before="480" w:after="120"/>
      <w:contextualSpacing/>
    </w:pPr>
    <w:rPr>
      <w:b/>
      <w:sz w:val="72"/>
      <w:szCs w:val="72"/>
    </w:rPr>
  </w:style>
  <w:style w:type="paragraph" w:styleId="Podtitul">
    <w:name w:val="Subtitle"/>
    <w:basedOn w:val="normal"/>
    <w:next w:val="normal"/>
    <w:rsid w:val="003A470A"/>
    <w:pPr>
      <w:keepNext/>
      <w:keepLines/>
      <w:spacing w:before="360" w:after="80"/>
      <w:contextualSpacing/>
    </w:pPr>
    <w:rPr>
      <w:rFonts w:ascii="Georgia" w:eastAsia="Georgia" w:hAnsi="Georgia" w:cs="Georgia"/>
      <w:i/>
      <w:color w:val="666666"/>
      <w:sz w:val="48"/>
      <w:szCs w:val="48"/>
    </w:rPr>
  </w:style>
  <w:style w:type="table" w:customStyle="1" w:styleId="a">
    <w:basedOn w:val="TableNormal"/>
    <w:rsid w:val="003A470A"/>
    <w:tblPr>
      <w:tblStyleRowBandSize w:val="1"/>
      <w:tblStyleColBandSize w:val="1"/>
      <w:tblCellMar>
        <w:top w:w="0" w:type="dxa"/>
        <w:left w:w="70" w:type="dxa"/>
        <w:bottom w:w="0" w:type="dxa"/>
        <w:right w:w="70" w:type="dxa"/>
      </w:tblCellMar>
    </w:tblPr>
  </w:style>
  <w:style w:type="table" w:customStyle="1" w:styleId="a0">
    <w:basedOn w:val="TableNormal"/>
    <w:rsid w:val="003A470A"/>
    <w:tblPr>
      <w:tblStyleRowBandSize w:val="1"/>
      <w:tblStyleColBandSize w:val="1"/>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1871</Words>
  <Characters>10668</Characters>
  <Application>Microsoft Office Word</Application>
  <DocSecurity>0</DocSecurity>
  <Lines>88</Lines>
  <Paragraphs>25</Paragraphs>
  <ScaleCrop>false</ScaleCrop>
  <Company/>
  <LinksUpToDate>false</LinksUpToDate>
  <CharactersWithSpaces>12514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sirius</dc:creator>
  <cp:lastModifiedBy>sirius</cp:lastModifiedBy>
  <cp:revision>2</cp:revision>
  <dcterms:created xsi:type="dcterms:W3CDTF">2018-07-02T09:36:00Z</dcterms:created>
  <dcterms:modified xsi:type="dcterms:W3CDTF">2018-07-02T09:36:00Z</dcterms:modified>
</cp:coreProperties>
</file>