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enter" w:pos="4536" w:leader="none"/>
        </w:tabs>
        <w:jc w:val="center"/>
        <w:rPr>
          <w:rFonts w:ascii="Traditional Arabic" w:hAnsi="Traditional Arabic" w:cs="Traditional Arabic"/>
          <w:color w:val="0033CC"/>
        </w:rPr>
      </w:pPr>
      <w:r>
        <mc:AlternateContent>
          <mc:Choice Requires="wps">
            <w:drawing>
              <wp:anchor behindDoc="0" distT="0" distB="0" distL="113665" distR="114300" simplePos="0" locked="0" layoutInCell="1" allowOverlap="1" relativeHeight="2" wp14:anchorId="3E067EED">
                <wp:simplePos x="0" y="0"/>
                <wp:positionH relativeFrom="column">
                  <wp:posOffset>-4445</wp:posOffset>
                </wp:positionH>
                <wp:positionV relativeFrom="paragraph">
                  <wp:posOffset>-4445</wp:posOffset>
                </wp:positionV>
                <wp:extent cx="300990" cy="255905"/>
                <wp:effectExtent l="122555" t="122555" r="21590" b="28575"/>
                <wp:wrapNone/>
                <wp:docPr id="1" name="AutoShap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240" cy="255240"/>
                        </a:xfrm>
                        <a:prstGeom prst="cube">
                          <a:avLst>
                            <a:gd name="adj" fmla="val 25000"/>
                          </a:avLst>
                        </a:prstGeom>
                        <a:solidFill>
                          <a:srgbClr val="4f81bd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16" coordsize="21600,21600" o:spt="16" adj="5400" path="m0@0l@5@0l@5,21600l,21600xnsem@5@0l21600,l21600@1l@5,21600xnsem0@0l@0,l21600,l@5@0xnsem0@0l@0,l21600,l21600@1l@5,21600l,21600xm0@0l@5@0l21600,m@5@0l@5,21600nfe">
                <v:stroke joinstyle="miter"/>
                <v:formulas>
                  <v:f eqn="val #0"/>
                  <v:f eqn="sum height 0 @0"/>
                  <v:f eqn="prod @1 1 2"/>
                  <v:f eqn="sum @0 height 0"/>
                  <v:f eqn="prod 1 @3 2"/>
                  <v:f eqn="sum width 0 @0"/>
                  <v:f eqn="prod @5 1 2"/>
                  <v:f eqn="sum @0 width 0"/>
                  <v:f eqn="prod 1 @7 2"/>
                </v:formulas>
                <v:path gradientshapeok="t" o:connecttype="rect" textboxrect="0,@0,@5,21600"/>
                <v:handles>
                  <v:h position="0,@0"/>
                </v:handles>
              </v:shapetype>
              <v:shape id="shape_0" ID="AutoShape 2" fillcolor="#4f81bd" stroked="f" style="position:absolute;margin-left:-0.35pt;margin-top:-0.35pt;width:23.6pt;height:20.05pt" wp14:anchorId="3E067EED" type="shapetype_16">
                <w10:wrap type="none"/>
                <v:fill o:detectmouseclick="t" type="solid" color2="#b07e42"/>
                <v:stroke color="#3465a4" joinstyle="round" endcap="flat"/>
              </v:shape>
            </w:pict>
          </mc:Fallback>
        </mc:AlternateContent>
        <mc:AlternateContent>
          <mc:Choice Requires="wps">
            <w:drawing>
              <wp:anchor behindDoc="0" distT="0" distB="0" distL="114300" distR="114300" simplePos="0" locked="0" layoutInCell="1" allowOverlap="1" relativeHeight="3" wp14:anchorId="3DADFFBE">
                <wp:simplePos x="0" y="0"/>
                <wp:positionH relativeFrom="column">
                  <wp:posOffset>0</wp:posOffset>
                </wp:positionH>
                <wp:positionV relativeFrom="paragraph">
                  <wp:posOffset>247650</wp:posOffset>
                </wp:positionV>
                <wp:extent cx="5829935" cy="1270"/>
                <wp:effectExtent l="12700" t="19050" r="25400" b="19050"/>
                <wp:wrapNone/>
                <wp:docPr id="2" name="Lin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480" cy="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33cc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19.5pt" to="458.95pt,19.5pt" ID="Line 3" stroked="t" style="position:absolute" wp14:anchorId="3DADFFBE">
                <v:stroke color="#0033cc" weight="9360" joinstyle="round" endcap="flat"/>
                <v:fill o:detectmouseclick="t" on="false"/>
              </v:line>
            </w:pict>
          </mc:Fallback>
        </mc:AlternateContent>
      </w:r>
      <w:r>
        <w:rPr>
          <w:rFonts w:cs="Traditional Arabic" w:ascii="Traditional Arabic" w:hAnsi="Traditional Arabic"/>
          <w:color w:val="0033CC"/>
        </w:rPr>
        <w:t>ALLEA, n.o., Komenského 1310/103, 024 01 Kysucké Nové Mesto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ZA ROK 2017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Kysucké Nové Mesto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jún 2018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Predkladá:    Ing. Beáta Topoľská</w:t>
      </w:r>
    </w:p>
    <w:p>
      <w:pPr>
        <w:pStyle w:val="Normal"/>
        <w:rPr/>
      </w:pPr>
      <w:r>
        <w:rPr/>
        <w:t xml:space="preserve">                     </w:t>
      </w:r>
      <w:r>
        <w:rPr/>
        <w:t>riaditeľka n. o.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Základné údaje o neziskovej organizácii</w:t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Názov:</w:t>
        <w:tab/>
        <w:tab/>
      </w:r>
      <w:r>
        <w:rPr>
          <w:b/>
          <w:sz w:val="28"/>
          <w:szCs w:val="28"/>
        </w:rPr>
        <w:t>ALLEA, n.o.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Právna forma:</w:t>
        <w:tab/>
      </w:r>
      <w:r>
        <w:rPr>
          <w:b/>
          <w:sz w:val="28"/>
          <w:szCs w:val="28"/>
        </w:rPr>
        <w:t>nezisková organizácia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Sídlo:</w:t>
        <w:tab/>
        <w:tab/>
        <w:tab/>
      </w:r>
      <w:r>
        <w:rPr>
          <w:b/>
          <w:sz w:val="28"/>
          <w:szCs w:val="28"/>
        </w:rPr>
        <w:t>Komenského 1310/103, 024 01 Kysucké Nové Mesto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IČO:</w:t>
        <w:tab/>
        <w:tab/>
        <w:tab/>
      </w:r>
      <w:r>
        <w:rPr>
          <w:b/>
          <w:sz w:val="28"/>
          <w:szCs w:val="28"/>
        </w:rPr>
        <w:t>42165732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DIČ:</w:t>
        <w:tab/>
        <w:tab/>
        <w:tab/>
      </w:r>
      <w:r>
        <w:rPr>
          <w:b/>
          <w:sz w:val="28"/>
          <w:szCs w:val="28"/>
        </w:rPr>
        <w:t>2022724737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Registrácia:</w:t>
        <w:tab/>
        <w:tab/>
        <w:t>dňa 11.10.2008 pod č. OVVS/NO-15/08 ako nezisková organizácia poskytujúce všeobecne prospešné služby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Doba trvania:</w:t>
        <w:tab/>
        <w:t>nezisková organizácia založená na dobu neurčitú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Zakladatelia:</w:t>
        <w:tab/>
        <w:t>Naďa Ďurčeková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ab/>
        <w:t>Ing. Beáta Topoľská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Kontakt:</w:t>
        <w:tab/>
        <w:t>Ing. Beáta Topoľská, riaditeľka n.o.</w:t>
      </w:r>
    </w:p>
    <w:p>
      <w:pPr>
        <w:pStyle w:val="Normal"/>
        <w:spacing w:lineRule="auto" w:line="360"/>
        <w:ind w:left="2120" w:hanging="0"/>
        <w:jc w:val="both"/>
        <w:rPr/>
      </w:pPr>
      <w:r>
        <w:rPr>
          <w:sz w:val="28"/>
          <w:szCs w:val="28"/>
        </w:rPr>
        <w:t xml:space="preserve">e-mail: </w:t>
      </w:r>
      <w:hyperlink r:id="rId2">
        <w:r>
          <w:rPr>
            <w:rStyle w:val="Internetovodkaz"/>
            <w:color w:val="00000A"/>
            <w:sz w:val="28"/>
            <w:szCs w:val="28"/>
            <w:u w:val="none"/>
          </w:rPr>
          <w:t>alleanosk@gmail.com</w:t>
        </w:r>
      </w:hyperlink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História a identifikácia neziskovej organizácie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ALLEA, n.o. vznikla na základe Zakladacej listiny zo dňa 14.8.2008 a podľa zýákona NR SR č. 213/1997 Z.z. o neziskových organizáciách poskytujúcich všetobecne prospešné služby.</w:t>
      </w:r>
    </w:p>
    <w:p>
      <w:pPr>
        <w:pStyle w:val="Normal"/>
        <w:jc w:val="both"/>
        <w:rPr/>
      </w:pPr>
      <w:r>
        <w:rPr/>
        <w:t>Nezisková organizácia ALLEA, n.o. bola právoplatne zaregistrovaná na Obvodno úrade v Žiline. Dňa 10.11.2008 nadobudlo rozhodnutie o registrácii právoplatnosť a bola zapísaná do Registra neziskových organizácií.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Predmetom činnosti neziskovej organizácie je poskytovanie nasledujúcich všeobecne prospešných služieb: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v oblasti práva, financií, daní a účtovníctva, riadenia a rozvoja ľudských zdrojov, marketingu a obchodu, manažmentu, európskej integrácie, výpočtovej techniky, jazykov, cestovného ruchu a umenia,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pre študentov základných, stredných a vysokých škôl,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rôznych kultúrnych, spoločenských, športových a iných aktivít,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víkendových programov (táborov) pre deti  a mládež,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turistických jedno aj viacdňových výletov s cieľom prehĺbenia vzťahu detí, mldeže a dospelých k prírode,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organizačné poradenstvo (tvorba grantoých proejktov, analýza ponukových možností, poskytovanie prehľadov grantových schém),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vorba, odborná asistencia, vyplňovanie formulárov a manažovanie európskych projektov,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spracovanie a manažovanie grantových schém, posudzovanie a hodnotenie projektov.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Orgány neziskovej organizácie: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Správna rada  -  je najvyšší orgán</w:t>
      </w:r>
    </w:p>
    <w:p>
      <w:pPr>
        <w:pStyle w:val="Normal"/>
        <w:ind w:left="360" w:hanging="0"/>
        <w:jc w:val="both"/>
        <w:rPr/>
      </w:pPr>
      <w:r>
        <w:rPr/>
        <w:t>Riaditeľ          -  je štatutárnym orgánom</w:t>
      </w:r>
    </w:p>
    <w:p>
      <w:pPr>
        <w:pStyle w:val="Normal"/>
        <w:ind w:left="360" w:hanging="0"/>
        <w:jc w:val="both"/>
        <w:rPr/>
      </w:pPr>
      <w:r>
        <w:rPr/>
        <w:t>Revízor          -  je kontrolný orgán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Správna rada neziskovej organizácie má troch členov, z ktorých na prvom stretnutí bola jednomyseľne zvolená PhDr. Renáta Švarcová za predsedu správnej rady.</w:t>
      </w:r>
    </w:p>
    <w:p>
      <w:pPr>
        <w:pStyle w:val="Normal"/>
        <w:ind w:left="360" w:hanging="0"/>
        <w:jc w:val="both"/>
        <w:rPr/>
      </w:pPr>
      <w:r>
        <w:rPr/>
        <w:t>Členmi správnej rady sú :</w:t>
      </w:r>
    </w:p>
    <w:p>
      <w:pPr>
        <w:pStyle w:val="Normal"/>
        <w:ind w:left="360" w:hanging="0"/>
        <w:jc w:val="both"/>
        <w:rPr/>
      </w:pPr>
      <w:r>
        <w:rPr/>
        <w:t>PhDr. Renáta Švarcová</w:t>
      </w:r>
    </w:p>
    <w:p>
      <w:pPr>
        <w:pStyle w:val="Normal"/>
        <w:ind w:left="360" w:hanging="0"/>
        <w:jc w:val="both"/>
        <w:rPr/>
      </w:pPr>
      <w:r>
        <w:rPr/>
        <w:t>JUDr. Gabriela Marčanová</w:t>
      </w:r>
    </w:p>
    <w:p>
      <w:pPr>
        <w:pStyle w:val="Normal"/>
        <w:ind w:left="360" w:hanging="0"/>
        <w:jc w:val="both"/>
        <w:rPr/>
      </w:pPr>
      <w:r>
        <w:rPr/>
        <w:t>MUDr. Katarína Vargová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Riaditeľom neziskovej organizácie je :</w:t>
      </w:r>
    </w:p>
    <w:p>
      <w:pPr>
        <w:pStyle w:val="Normal"/>
        <w:ind w:left="360" w:hanging="0"/>
        <w:jc w:val="both"/>
        <w:rPr/>
      </w:pPr>
      <w:r>
        <w:rPr/>
        <w:t>Ing. Beáta Topoľská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Revízor neziskovej organizácie:</w:t>
      </w:r>
    </w:p>
    <w:p>
      <w:pPr>
        <w:pStyle w:val="Normal"/>
        <w:ind w:left="360" w:hanging="0"/>
        <w:jc w:val="both"/>
        <w:rPr/>
      </w:pPr>
      <w:r>
        <w:rPr/>
        <w:t>Bc. Jana Závodská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ind w:left="360" w:hanging="0"/>
        <w:jc w:val="both"/>
        <w:rPr/>
      </w:pPr>
      <w:r>
        <w:rPr/>
        <w:t>V orgánoch neziskovej organizácie ALLEA, n.o. v priebehu roka 2017 nenastali nijaké personálne ani organizačné zmeny.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</w:t>
      </w:r>
      <w:r>
        <w:rPr/>
        <w:tab/>
        <w:tab/>
        <w:tab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Prehľad činnosti a hospodárenia neziskovej organizácie v roku 2017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V období od 1.1.2017 do 31.12.2017 vykonala nezisková organizácia všetky všeobecne prospešné služby uvedené v zakladacej listine a štatúre. Zrealizovala najmä nasledujúce činnosti: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– realizácia vzdelávania so zameraním na mäkké zručnosti,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– pokračovala spolupráca pri poskytovaní kariérneho poradenstva vysokoškolským študentom v spolupráci s Vedecko-technologickým inkubátorom Žilinskej Univerzity,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/>
        <w:t>organizovanie rôznych kultúrnych, spoločenských, športových a iných aktivít – pomocné činnosti pri organizovaní viacerých spoločenských a kultúrnych podujatí,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víkendových programov pre deti a mládež – ôsmy tematicky zameraný víkendový pobyt pre deti, mládež a dospelých v Kalinčiakove vrátane návštevy kúpaliska Margita a Ilona v Leviciach, 3-dňový pobyt v Jabloňovciach,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výletov – jednodňový turistický výlet na Chatu pod Suchý</w:t>
      </w:r>
      <w:r>
        <w:rPr>
          <w:lang w:val="en-US"/>
        </w:rPr>
        <w:t>m</w:t>
      </w:r>
      <w:r>
        <w:rPr>
          <w:lang w:val="en-US"/>
        </w:rPr>
        <w:t xml:space="preserve"> v decembri 2017,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Mikulášske posedenie pre deti členov Rybárskeho zväzu, miestna organizácia Kysucké Nové Mesto,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organizačné poradenstvo, asistencia a manažovanie – gratny a projekty – samospráva (Obec Kolárovice, ZŠ s MŠ Kolárovice, Mesto Vráble, Základná škola P.J. Šafárika v Prievidzi).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>V roku 2017 bola ALLEA, n.o. prijímateľom 2% dane z príjmov. Celkom bol príjem 5 477,53  EUR rozdelený nasledovne: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>1. Na základe darovacej zmluvy pre Základnú školu s materskou školou Višňové, bol poskytnutý peňažný dar vo výške 3 719,53 EUR za účelom zabezpečenia kultúrnych, vzdelávacích, oddychových a športových aktivít pre mládež v rozsahu možností Základnej školy s materskou školou Višňové.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 xml:space="preserve">2. Na základe darovacej zmluvy pre seniorského reprezentanta Slovenskej republiky v plávaní Vladimíra Štefánika </w:t>
      </w:r>
      <w:r>
        <w:rPr/>
        <w:t>poskytnutý peňažný dar vo výške 1 758,00 EUR za účelom pokrytia nákladov spojený</w:t>
      </w:r>
      <w:bookmarkStart w:id="0" w:name="_GoBack"/>
      <w:bookmarkEnd w:id="0"/>
      <w:r>
        <w:rPr/>
        <w:t>ch s reprezentovaním Slovenskej republiky v plávaní a športových aktivít spojených s pretekmi a tréningovým procesom v plávaní.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ListParagraph"/>
        <w:jc w:val="both"/>
        <w:rPr>
          <w:highlight w:val="white"/>
          <w:lang w:val="en-US"/>
        </w:rPr>
      </w:pPr>
      <w:r>
        <w:rPr>
          <w:highlight w:val="white"/>
          <w:lang w:val="en-US"/>
        </w:rPr>
      </w:r>
    </w:p>
    <w:p>
      <w:pPr>
        <w:pStyle w:val="Normal"/>
        <w:jc w:val="center"/>
        <w:rPr>
          <w:b/>
          <w:b/>
        </w:rPr>
      </w:pPr>
      <w:r>
        <w:rPr>
          <w:b/>
          <w:highlight w:val="white"/>
        </w:rPr>
        <w:t>Prehľad o peňažných príjmoch podľa zdrojov a peňažných výdavkoch neziskovej organizácie za rok 2017</w:t>
      </w:r>
    </w:p>
    <w:p>
      <w:pPr>
        <w:pStyle w:val="Normal"/>
        <w:jc w:val="both"/>
        <w:rPr>
          <w:b/>
          <w:b/>
          <w:highlight w:val="white"/>
        </w:rPr>
      </w:pPr>
      <w:r>
        <w:rPr>
          <w:b/>
          <w:highlight w:val="white"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white"/>
        </w:rPr>
        <w:t xml:space="preserve">Peňažné príjmy </w:t>
      </w:r>
    </w:p>
    <w:p>
      <w:pPr>
        <w:pStyle w:val="Normal"/>
        <w:numPr>
          <w:ilvl w:val="0"/>
          <w:numId w:val="4"/>
        </w:numPr>
        <w:jc w:val="both"/>
        <w:rPr>
          <w:highlight w:val="white"/>
        </w:rPr>
      </w:pPr>
      <w:r>
        <w:rPr>
          <w:highlight w:val="white"/>
        </w:rPr>
        <w:t>úhrada pohľadávok za poskytované služby:</w:t>
        <w:tab/>
        <w:tab/>
        <w:t xml:space="preserve"> EUR                      </w:t>
      </w:r>
      <w:r>
        <w:rPr>
          <w:b/>
          <w:highlight w:val="white"/>
        </w:rPr>
        <w:t>7512,00</w:t>
      </w:r>
    </w:p>
    <w:p>
      <w:pPr>
        <w:pStyle w:val="Normal"/>
        <w:numPr>
          <w:ilvl w:val="0"/>
          <w:numId w:val="4"/>
        </w:numPr>
        <w:jc w:val="both"/>
        <w:rPr>
          <w:highlight w:val="white"/>
        </w:rPr>
      </w:pPr>
      <w:r>
        <w:rPr>
          <w:highlight w:val="white"/>
        </w:rPr>
        <w:t>kreditné bankové úroky:</w:t>
        <w:tab/>
        <w:tab/>
        <w:tab/>
        <w:tab/>
        <w:t xml:space="preserve"> EUR</w:t>
      </w:r>
      <w:r>
        <w:rPr>
          <w:b/>
          <w:highlight w:val="white"/>
        </w:rPr>
        <w:tab/>
      </w:r>
      <w:r>
        <w:rPr>
          <w:highlight w:val="white"/>
        </w:rPr>
        <w:t xml:space="preserve">                         </w:t>
      </w:r>
      <w:r>
        <w:rPr>
          <w:b/>
          <w:highlight w:val="white"/>
        </w:rPr>
        <w:t>0,74</w:t>
      </w:r>
    </w:p>
    <w:p>
      <w:pPr>
        <w:pStyle w:val="Normal"/>
        <w:jc w:val="both"/>
        <w:rPr>
          <w:b/>
          <w:b/>
          <w:highlight w:val="white"/>
        </w:rPr>
      </w:pPr>
      <w:r>
        <w:rPr>
          <w:b/>
          <w:highlight w:val="white"/>
        </w:rPr>
      </w:r>
    </w:p>
    <w:p>
      <w:pPr>
        <w:pStyle w:val="Normal"/>
        <w:ind w:firstLine="360"/>
        <w:jc w:val="both"/>
        <w:rPr>
          <w:highlight w:val="white"/>
        </w:rPr>
      </w:pPr>
      <w:r>
        <w:rPr>
          <w:highlight w:val="white"/>
        </w:rPr>
        <w:t>Nezisková organizácia neprijala v roku 2017 žiadne dary pre svoju vlatnú činnosť.</w:t>
      </w:r>
    </w:p>
    <w:p>
      <w:pPr>
        <w:pStyle w:val="Normal"/>
        <w:jc w:val="both"/>
        <w:rPr>
          <w:b/>
          <w:b/>
          <w:highlight w:val="white"/>
        </w:rPr>
      </w:pPr>
      <w:r>
        <w:rPr>
          <w:b/>
          <w:highlight w:val="white"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white"/>
        </w:rPr>
        <w:t>Peňažné výdavky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>spotreba materiálu:</w:t>
        <w:tab/>
        <w:tab/>
        <w:tab/>
        <w:tab/>
        <w:tab/>
        <w:t xml:space="preserve"> EUR                       </w:t>
      </w:r>
      <w:r>
        <w:rPr>
          <w:highlight w:val="white"/>
        </w:rPr>
        <w:t>1209,68</w:t>
      </w:r>
      <w:r>
        <w:rPr>
          <w:highlight w:val="white"/>
        </w:rPr>
        <w:t xml:space="preserve"> 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white"/>
        </w:rPr>
        <w:t>reprezentačné:</w:t>
        <w:tab/>
        <w:tab/>
        <w:tab/>
        <w:tab/>
        <w:tab/>
        <w:tab/>
        <w:t xml:space="preserve"> EUR                            0,00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>poštovné, kolkové známky a overovanie:</w:t>
        <w:tab/>
        <w:t xml:space="preserve">             EUR                        </w:t>
      </w:r>
      <w:r>
        <w:rPr>
          <w:highlight w:val="white"/>
        </w:rPr>
        <w:t>22,75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white"/>
        </w:rPr>
        <w:t>prenájom priestorov:</w:t>
        <w:tab/>
        <w:tab/>
        <w:tab/>
        <w:tab/>
        <w:t xml:space="preserve">             EUR                            0,00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>bankové a servisné poplatky:</w:t>
        <w:tab/>
        <w:tab/>
        <w:tab/>
        <w:t xml:space="preserve">   </w:t>
        <w:tab/>
        <w:t xml:space="preserve"> EUR                         </w:t>
      </w:r>
      <w:r>
        <w:rPr>
          <w:highlight w:val="white"/>
        </w:rPr>
        <w:t>81,50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white"/>
        </w:rPr>
        <w:t>zrážková daň z úrokov:</w:t>
        <w:tab/>
        <w:tab/>
        <w:tab/>
        <w:tab/>
        <w:t xml:space="preserve"> EUR                             0,10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white"/>
        </w:rPr>
        <w:t>Mzdové a sociálne náklady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 xml:space="preserve">predpis miezd (dohody v zmysle Zákonníka práce): EUR            </w:t>
        <w:tab/>
        <w:t xml:space="preserve">          </w:t>
      </w:r>
      <w:r>
        <w:rPr>
          <w:highlight w:val="white"/>
        </w:rPr>
        <w:t>1780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>zákonné sociálne poistenie:</w:t>
        <w:tab/>
        <w:tab/>
        <w:tab/>
        <w:tab/>
        <w:t xml:space="preserve"> EUR                         </w:t>
      </w:r>
      <w:r>
        <w:rPr>
          <w:highlight w:val="white"/>
        </w:rPr>
        <w:t>285,06</w:t>
      </w:r>
    </w:p>
    <w:p>
      <w:pPr>
        <w:pStyle w:val="Normal"/>
        <w:numPr>
          <w:ilvl w:val="0"/>
          <w:numId w:val="3"/>
        </w:numPr>
        <w:jc w:val="both"/>
        <w:rPr>
          <w:highlight w:val="white"/>
        </w:rPr>
      </w:pPr>
      <w:r>
        <w:rPr>
          <w:highlight w:val="white"/>
        </w:rPr>
        <w:t>daň zo závislej činnosti:</w:t>
        <w:tab/>
        <w:tab/>
        <w:tab/>
        <w:tab/>
        <w:t xml:space="preserve"> EUR</w:t>
        <w:tab/>
        <w:tab/>
        <w:t xml:space="preserve">          </w:t>
      </w:r>
      <w:r>
        <w:rPr>
          <w:highlight w:val="white"/>
        </w:rPr>
        <w:t>128,34</w:t>
      </w:r>
      <w:r>
        <w:rPr>
          <w:highlight w:val="white"/>
        </w:rPr>
        <w:tab/>
        <w:tab/>
        <w:tab/>
        <w:tab/>
        <w:tab/>
      </w:r>
    </w:p>
    <w:p>
      <w:pPr>
        <w:pStyle w:val="Normal"/>
        <w:jc w:val="both"/>
        <w:rPr>
          <w:b/>
          <w:b/>
          <w:highlight w:val="white"/>
        </w:rPr>
      </w:pPr>
      <w:r>
        <w:rPr>
          <w:b/>
          <w:highlight w:val="white"/>
        </w:rPr>
      </w:r>
    </w:p>
    <w:p>
      <w:pPr>
        <w:pStyle w:val="Normal"/>
        <w:jc w:val="center"/>
        <w:rPr>
          <w:b/>
          <w:b/>
          <w:highlight w:val="yellow"/>
        </w:rPr>
      </w:pPr>
      <w:r>
        <w:rPr>
          <w:b/>
          <w:highlight w:val="white"/>
        </w:rPr>
        <w:t xml:space="preserve"> </w:t>
      </w:r>
      <w:r>
        <w:rPr>
          <w:b/>
          <w:highlight w:val="white"/>
        </w:rPr>
        <w:t>Stav a pohyb majetku a záväzkov neziskovej organizácie</w:t>
      </w:r>
    </w:p>
    <w:p>
      <w:pPr>
        <w:pStyle w:val="Normal"/>
        <w:jc w:val="center"/>
        <w:rPr>
          <w:b/>
          <w:b/>
          <w:highlight w:val="white"/>
        </w:rPr>
      </w:pPr>
      <w:r>
        <w:rPr>
          <w:b/>
          <w:highlight w:val="white"/>
        </w:rPr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white"/>
        </w:rPr>
        <w:t>Inventarizovaný majetok, záväzky a vlastné imanie k 31.12.2017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Pokladnica:</w:t>
        <w:tab/>
        <w:tab/>
        <w:t xml:space="preserve">   EUR                                             </w:t>
      </w:r>
      <w:r>
        <w:rPr>
          <w:highlight w:val="white"/>
        </w:rPr>
        <w:t>126,20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Bankové účty:</w:t>
        <w:tab/>
        <w:tab/>
        <w:t xml:space="preserve">   EUR                                             </w:t>
      </w:r>
      <w:r>
        <w:rPr>
          <w:highlight w:val="white"/>
        </w:rPr>
        <w:t>10292,34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Dodávatelia:</w:t>
        <w:tab/>
        <w:tab/>
        <w:t xml:space="preserve">   EUR                                                       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Ostatné záväzky:</w:t>
        <w:tab/>
        <w:t xml:space="preserve">   EUR                                                </w:t>
      </w:r>
    </w:p>
    <w:p>
      <w:pPr>
        <w:pStyle w:val="Normal"/>
        <w:jc w:val="both"/>
        <w:rPr>
          <w:highlight w:val="yellow"/>
        </w:rPr>
      </w:pPr>
      <w:r>
        <w:rPr>
          <w:highlight w:val="white"/>
        </w:rPr>
        <w:t>Základné imanie:</w:t>
        <w:tab/>
        <w:t xml:space="preserve">   EUR                                                  66,39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Odberatelia:</w:t>
        <w:tab/>
        <w:tab/>
        <w:t xml:space="preserve">   EUR                                                       </w:t>
      </w:r>
      <w:r>
        <w:rPr>
          <w:highlight w:val="white"/>
        </w:rPr>
        <w:t>0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Nerozdelený zisk m.r.:  EUR                                                    0,00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 xml:space="preserve">Majetok neziskovej organizácie tvoria len peňažné prostriedky v pokladni a na bankovom účte organizácie. </w:t>
      </w:r>
    </w:p>
    <w:p>
      <w:pPr>
        <w:pStyle w:val="Normal"/>
        <w:jc w:val="both"/>
        <w:rPr>
          <w:b/>
          <w:b/>
        </w:rPr>
      </w:pPr>
      <w:r>
        <w:rPr>
          <w:b/>
          <w:highlight w:val="white"/>
        </w:rPr>
        <w:t xml:space="preserve">    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  <w:t>Nezisková organizácie vedie účtovníctvo podľa zákona č. 431/2002 Z.z. o účtovníctve v znení neskorších predpisov. Ročná účtovná závierka a daňové priznanie boli spracované dodávateľským spôsobom.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Záver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Výročná správa neziskovej organizácie ALLEA, n.o za rok 2017 bude zverejnená po schválení správnou radou vo verejnej časti registra účtovných závierok najneskôr do 15.7.2018.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Spracovala:</w:t>
      </w:r>
    </w:p>
    <w:p>
      <w:pPr>
        <w:pStyle w:val="Normal"/>
        <w:jc w:val="both"/>
        <w:rPr/>
      </w:pPr>
      <w:r>
        <w:rPr/>
        <w:t>Ing. Beáta Topoľská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raditional Arabic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50cc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ovodkaz">
    <w:name w:val="Internetový odkaz"/>
    <w:basedOn w:val="DefaultParagraphFont"/>
    <w:uiPriority w:val="99"/>
    <w:unhideWhenUsed/>
    <w:rsid w:val="00d26def"/>
    <w:rPr>
      <w:color w:val="0000FF" w:themeColor="hyperlink"/>
      <w:u w:val="single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eastAsia="Times New Roman" w:cs="Times New Roman"/>
    </w:rPr>
  </w:style>
  <w:style w:type="character" w:styleId="ListLabel3">
    <w:name w:val="ListLabel 3"/>
    <w:qFormat/>
    <w:rPr>
      <w:rFonts w:eastAsia="Times New Roman" w:cs="Times New Roman"/>
    </w:rPr>
  </w:style>
  <w:style w:type="character" w:styleId="ListLabel4">
    <w:name w:val="ListLabel 4"/>
    <w:qFormat/>
    <w:rPr>
      <w:rFonts w:eastAsia="Times New Roman" w:cs="Times New Roman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eastAsia="Times New Roman" w:cs="Times New Roman"/>
      <w:b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semiHidden/>
    <w:unhideWhenUsed/>
    <w:qFormat/>
    <w:rsid w:val="00250ccb"/>
    <w:pPr>
      <w:spacing w:beforeAutospacing="1" w:afterAutospacing="1"/>
    </w:pPr>
    <w:rPr/>
  </w:style>
  <w:style w:type="paragraph" w:styleId="ListParagraph">
    <w:name w:val="List Paragraph"/>
    <w:basedOn w:val="Normal"/>
    <w:uiPriority w:val="34"/>
    <w:qFormat/>
    <w:rsid w:val="00250ccb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lleanosk@gmail.com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Application>LibreOffice/5.2.4.2$Windows_x86 LibreOffice_project/3d5603e1122f0f102b62521720ab13a38a4e0eb0</Application>
  <Pages>5</Pages>
  <Words>830</Words>
  <Characters>5338</Characters>
  <CharactersWithSpaces>6881</CharactersWithSpaces>
  <Paragraphs>91</Paragraphs>
  <Company>PU Prešov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2017-06-17T14:06:00Z</dcterms:created>
  <dc:creator>strakova</dc:creator>
  <dc:description/>
  <dc:language>sk-SK</dc:language>
  <cp:lastModifiedBy/>
  <dcterms:modified xsi:type="dcterms:W3CDTF">2018-07-09T08:53:29Z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PU Prešov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