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  <w:t>Výročná  správa  neziskovej organizácie SENIOR ZOHOR n.o. za  rok  2017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V Zohore, 27.04.2018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OBSAH: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Úvod ....................................................................................................................3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Prehľad  činností  vykonávaných  v  kalendárnom  roku  2017  s uvedením vzťahu k účelu založenia neziskovej organizácie ............................................................3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Ročná účtovná závierka a zhodnotenie základných údajov v nej obsiahnutých ..6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Výrok audítora k ročnej účtovnej závierke ...........................................................6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Prehľad o peňažných príjmoch a výdavkoch .......................................................6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Prehľad rozsahu príjmov(výnosov) v členení podľa zdrojov .................................6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Stav a pohyb majetku a záväzkov neziskovej organizácie ...................................7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Ekonomicky oprávnené náklady ..........................................................................7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Zmeny  a nové  zloženie  orgánov  neziskovej  organizácie, ku ktorým  došlo v priebehu roka .......................................................................................................9</w:t>
      </w:r>
    </w:p>
    <w:p>
      <w:pPr>
        <w:pStyle w:val="Normal"/>
        <w:numPr>
          <w:ilvl w:val="0"/>
          <w:numId w:val="6"/>
        </w:numPr>
        <w:spacing w:before="0" w:after="0"/>
        <w:ind w:left="567" w:hanging="567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Ďalšie údaje určené správnou radou ...................................................................9</w:t>
      </w:r>
    </w:p>
    <w:p>
      <w:pPr>
        <w:pStyle w:val="Normal"/>
        <w:numPr>
          <w:ilvl w:val="0"/>
          <w:numId w:val="6"/>
        </w:numPr>
        <w:spacing w:before="0" w:after="0"/>
        <w:ind w:left="567" w:hanging="578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Vyjadrenie predsedu Dozornej rady .....................................................................9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jc w:val="both"/>
        <w:rPr>
          <w:rFonts w:ascii="Arial" w:hAnsi="Arial" w:eastAsia="Arial" w:cs="Arial"/>
          <w:i/>
          <w:i/>
          <w:sz w:val="24"/>
          <w:szCs w:val="24"/>
        </w:rPr>
      </w:pPr>
      <w:r>
        <w:rPr>
          <w:rFonts w:eastAsia="Arial" w:cs="Arial" w:ascii="Arial" w:hAnsi="Arial"/>
          <w:i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i/>
          <w:i/>
          <w:sz w:val="24"/>
          <w:szCs w:val="24"/>
        </w:rPr>
      </w:pPr>
      <w:r>
        <w:rPr>
          <w:rFonts w:eastAsia="Arial" w:cs="Arial" w:ascii="Arial" w:hAnsi="Arial"/>
          <w:i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i/>
          <w:i/>
          <w:sz w:val="24"/>
          <w:szCs w:val="24"/>
        </w:rPr>
      </w:pPr>
      <w:r>
        <w:rPr>
          <w:rFonts w:eastAsia="Arial" w:cs="Arial" w:ascii="Arial" w:hAnsi="Arial"/>
          <w:i/>
          <w:sz w:val="24"/>
          <w:szCs w:val="24"/>
        </w:rPr>
      </w:r>
    </w:p>
    <w:p>
      <w:pPr>
        <w:pStyle w:val="Normal"/>
        <w:jc w:val="center"/>
        <w:rPr>
          <w:rFonts w:ascii="Architects Daughter" w:hAnsi="Architects Daughter" w:eastAsia="Architects Daughter" w:cs="Architects Daughter"/>
          <w:b/>
          <w:b/>
          <w:sz w:val="24"/>
          <w:szCs w:val="24"/>
        </w:rPr>
      </w:pPr>
      <w:r>
        <w:rPr>
          <w:rFonts w:eastAsia="Architects Daughter" w:cs="Architects Daughter" w:ascii="Architects Daughter" w:hAnsi="Architects Daughter"/>
          <w:b/>
        </w:rPr>
        <w:t>Každý sa chce doži</w:t>
      </w:r>
      <w:r>
        <w:rPr>
          <w:rFonts w:eastAsia="Cambria" w:cs="Cambria" w:ascii="Cambria" w:hAnsi="Cambria"/>
          <w:b/>
        </w:rPr>
        <w:t>ť</w:t>
      </w:r>
      <w:r>
        <w:rPr>
          <w:rFonts w:eastAsia="Architects Daughter" w:cs="Architects Daughter" w:ascii="Architects Daughter" w:hAnsi="Architects Daughter"/>
          <w:b/>
        </w:rPr>
        <w:t xml:space="preserve"> vysokého veku, jediný spôsob ako to môžeme dosiahnu</w:t>
      </w:r>
      <w:r>
        <w:rPr>
          <w:rFonts w:eastAsia="Cambria" w:cs="Cambria" w:ascii="Cambria" w:hAnsi="Cambria"/>
          <w:b/>
        </w:rPr>
        <w:t>ť</w:t>
      </w:r>
      <w:r>
        <w:rPr>
          <w:rFonts w:eastAsia="Architects Daughter" w:cs="Architects Daughter" w:ascii="Architects Daughter" w:hAnsi="Architects Daughter"/>
          <w:b/>
        </w:rPr>
        <w:t xml:space="preserve"> je, že ZOSTÁRNEME!</w:t>
      </w:r>
    </w:p>
    <w:p>
      <w:pPr>
        <w:pStyle w:val="Normal"/>
        <w:jc w:val="both"/>
        <w:rPr>
          <w:rFonts w:ascii="Architects Daughter" w:hAnsi="Architects Daughter" w:eastAsia="Architects Daughter" w:cs="Architects Daughter"/>
          <w:b/>
          <w:b/>
          <w:sz w:val="24"/>
          <w:szCs w:val="24"/>
        </w:rPr>
      </w:pPr>
      <w:r>
        <w:rPr>
          <w:rFonts w:eastAsia="Architects Daughter" w:cs="Architects Daughter" w:ascii="Architects Daughter" w:hAnsi="Architects Daughter"/>
          <w:b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jc w:val="both"/>
        <w:rPr>
          <w:rFonts w:ascii="Arial" w:hAnsi="Arial" w:eastAsia="Arial" w:cs="Arial"/>
          <w:i/>
          <w:i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Obecné zastupiteľstvo v Zohore na svojom zasadnutí dňa 20.06.2014 schválilo založenie neziskovej organizácie s názvom SERNIOR ZOHOR n.o. uznesením  č.25.  Ďalej schválilo: - Zakladaciu listinu n.o.,  Štatút n.o.,  členov Správnej a Dozornej rady n.o., riaditeľku n.o.</w:t>
      </w:r>
    </w:p>
    <w:p>
      <w:pPr>
        <w:pStyle w:val="Normal"/>
        <w:jc w:val="both"/>
        <w:rPr>
          <w:rFonts w:ascii="Arial" w:hAnsi="Arial" w:eastAsia="Arial" w:cs="Arial"/>
          <w:b/>
          <w:b/>
          <w:sz w:val="24"/>
          <w:szCs w:val="24"/>
          <w:u w:val="single"/>
        </w:rPr>
      </w:pPr>
      <w:r>
        <w:rPr>
          <w:rFonts w:eastAsia="Arial" w:cs="Arial" w:ascii="Arial" w:hAnsi="Arial"/>
          <w:b/>
          <w:sz w:val="24"/>
          <w:szCs w:val="24"/>
          <w:u w:val="single"/>
        </w:rPr>
      </w:r>
    </w:p>
    <w:p>
      <w:pPr>
        <w:pStyle w:val="Normal"/>
        <w:numPr>
          <w:ilvl w:val="0"/>
          <w:numId w:val="7"/>
        </w:numPr>
        <w:spacing w:before="0" w:after="200"/>
        <w:contextualSpacing/>
        <w:jc w:val="both"/>
        <w:rPr/>
      </w:pPr>
      <w:r>
        <w:rPr>
          <w:rFonts w:eastAsia="Arial" w:cs="Arial" w:ascii="Arial" w:hAnsi="Arial"/>
          <w:b/>
          <w:sz w:val="24"/>
          <w:szCs w:val="24"/>
        </w:rPr>
        <w:t>Úvod</w:t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Nezisková organizácia SENIOR ZOHOR n.o. so sídlom Dolná 242/46, 900 51 Zohor vznikla 04.08.2014 bola zaregistrovaná Okresným úradom Bratislava  pod  registračným číslom:  OVVS-65098/442/2014-NO.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Druh všeobecne prospešných služieb:</w:t>
      </w:r>
    </w:p>
    <w:p>
      <w:pPr>
        <w:pStyle w:val="Normal"/>
        <w:spacing w:lineRule="auto" w:line="240" w:before="0" w:after="0"/>
        <w:ind w:right="-284" w:hanging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- zariadenie pre seniorov</w:t>
      </w:r>
      <w:r>
        <w:rPr>
          <w:rFonts w:eastAsia="Arial" w:cs="Arial" w:ascii="Arial" w:hAnsi="Arial"/>
          <w:sz w:val="24"/>
          <w:szCs w:val="24"/>
        </w:rPr>
        <w:t xml:space="preserve"> poskytuje sociálnu službu fyzickej osobe, ktorá dovŕšila dôchodkový vek a je odkázaná na pomoc inej fyzickej osoby, alebo fyzickej osobe, ktorá dovŕšila dôchodkový vek a poskytovanie sociálnej služby v tomto zariadení potrebuje z iných vážnych dôvodov,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v zariadení sa poskytuje: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pomoc pri odkázanosti na pomoc inej fyzickej osoby,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sociálne poradenstvo,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sociálna rehabilitácia,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ošetrovateľská starostlivosť,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ubytovanie,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stravovanie,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upratovanie, pranie, žehlenie a údržba bielizne a šatstva,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osobné vybavenie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utvárajú  sa podmienky na úschovu cenných vecí a zabezpečuje záujmová činnosť,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- </w:t>
      </w:r>
      <w:r>
        <w:rPr>
          <w:rFonts w:eastAsia="Arial" w:cs="Arial" w:ascii="Arial" w:hAnsi="Arial"/>
          <w:b/>
          <w:sz w:val="24"/>
          <w:szCs w:val="24"/>
        </w:rPr>
        <w:t>denný stacionár</w:t>
      </w:r>
      <w:r>
        <w:rPr>
          <w:rFonts w:eastAsia="Arial" w:cs="Arial" w:ascii="Arial" w:hAnsi="Arial"/>
          <w:sz w:val="24"/>
          <w:szCs w:val="24"/>
        </w:rPr>
        <w:t xml:space="preserve"> poskytuje sociálnu službu fyzickej osobe, ktorá je odkázaná na pomoc inej fyzickej osoby a je odkázaná na sociálnu službu v zariadení len na určitý čas počas dňa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poskytuje: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pomoc pri odkázanosti na pomoc inej fyzickej osoby,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sociálne poradenstvo,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sociálna rehabilitácia,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stravovanie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zabezpečuje: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pracovnú terapiu,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záujmovú činnosť,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 xml:space="preserve">- jedáleň </w:t>
      </w:r>
      <w:r>
        <w:rPr>
          <w:rFonts w:eastAsia="Arial" w:cs="Arial" w:ascii="Arial" w:hAnsi="Arial"/>
          <w:sz w:val="24"/>
          <w:szCs w:val="24"/>
        </w:rPr>
        <w:t>poskytuje stravovanie fyzickej osobe, ktorá nemá zabezpečené nevyhnutné podmienky na uspokojovanie základných životných potrieb,</w:t>
      </w:r>
    </w:p>
    <w:p>
      <w:pPr>
        <w:pStyle w:val="Normal"/>
        <w:spacing w:lineRule="auto" w:line="240" w:before="0" w:after="0"/>
        <w:ind w:left="426" w:hanging="284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má ťažké zdravotné postihnutie alebo nepriaznivý zdravotný stav, alebo</w:t>
      </w:r>
    </w:p>
    <w:p>
      <w:pPr>
        <w:pStyle w:val="Normal"/>
        <w:spacing w:lineRule="auto" w:line="240" w:before="0" w:after="0"/>
        <w:ind w:left="426" w:hanging="284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- dovŕšila dôchodkový vek</w:t>
      </w:r>
    </w:p>
    <w:p>
      <w:pPr>
        <w:pStyle w:val="Normal"/>
        <w:spacing w:lineRule="auto" w:line="240" w:before="0" w:after="0"/>
        <w:ind w:left="142" w:hanging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- môže poskytovať stravovanie aj prostredníctvom donášky stravy do domácnosti fyzickej osobe.  </w:t>
      </w:r>
    </w:p>
    <w:p>
      <w:pPr>
        <w:pStyle w:val="Normal"/>
        <w:spacing w:lineRule="auto" w:line="240" w:before="0" w:after="0"/>
        <w:ind w:left="284" w:hanging="142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left="142" w:hanging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Správna rada prerokovala a jednohlasne schválila dňa 20.04.2018 predloženú výročnú správu za rok 2017.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                                                                  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2. Prehľad  činností  vykonávaných  v  kalendárnom  roku  2017   s uvedením vzťahu k účelu založenia neziskovej organizácie.</w:t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Budova v ktorej sídli SENIOR ZOHOR n.o. prešla v roku 2017 rozsiahlou rekonštrukciou, od marca do augusta  sa vykonala prístavba spojovacej chodby a celkovou prestavbou priestorov  sa    vytvorili  4  priestranné  izby  pre  klientov  zariadenia  pre  seniorov. Počas tohto obdobia sme nadväzovali kontakty s rodinami budúcich klientov a tiež vybavovali tento priestor potrebným zariadením.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V priebehu celého roka sme sa zúčastňovali na odborných podujatiach zameraných na skvalitňovanie sociálnej, zdravotnej a rehabilitačnej starostlivosti o seniorov. Úzko sme spolupracovali s orgánmi miestnej samosprávy, s miestnymi organizáciami, realizovali sme aktivity na spropagovanie sociálnych služieb v našom zariadení. Nezisková organizácia  počas roka 2017 poskytovala všeobecne prospešné služby. Pomoc rodinám, aby umožnili svojim blízkym prežívať starobu. 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Kapacita denného stacionára sa znížila zo 16 klientov na 5 klientov, vytvorilo sa 11 miest v zariadení pre seniorov. Počas  celého obdobia nezisková organizácia nadväzovala aj kontakty s potenciálnymi klientmi a poskytovala im: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sociálne poradenstvo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sociálnu rehabilitáciu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dennú starostlivosť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liečebno – preventívnu starostlivosť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kontrolu krvného tlaku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kontrolu glykémie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dohľad nad užívaním liekov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pomoc pri hygiene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pracovnú terapiu zameranú na jemnú motoriku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záujmovú činnosť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pohybovo koncentračné cvičenia 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kondičné cvičenia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sprevádzanie pri vychádzkach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spomienkové terapie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tréning krátkodobej pamäti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prednášky o bezpečnosti a zdraví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kultúrne vyžitie (besedy, stretnutia so zaujímavými ľuďmi, čítanie, hry, športové súťaže a pod.)</w:t>
      </w:r>
    </w:p>
    <w:p>
      <w:pPr>
        <w:pStyle w:val="Normal"/>
        <w:numPr>
          <w:ilvl w:val="0"/>
          <w:numId w:val="8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duchovnú službu</w:t>
      </w:r>
    </w:p>
    <w:p>
      <w:pPr>
        <w:pStyle w:val="Normal"/>
        <w:numPr>
          <w:ilvl w:val="0"/>
          <w:numId w:val="8"/>
        </w:numPr>
        <w:spacing w:before="0" w:after="0"/>
        <w:jc w:val="both"/>
        <w:rPr/>
      </w:pPr>
      <w:r>
        <w:rPr>
          <w:rFonts w:eastAsia="Arial" w:cs="Arial" w:ascii="Arial" w:hAnsi="Arial"/>
          <w:sz w:val="24"/>
          <w:szCs w:val="24"/>
        </w:rPr>
        <w:t>muzikoterapiu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stravovanie dôchodcov – stravovanie dôchodcov zabezpečovala počas celého roka bezplatne pre občanov v spolupráci s obcou Zohor prostredníctvom školskej jedálne v ZŠ Zohor. Týmto sme sa snažili zamedziť spoločenskej izolácii, počas pracovného času zabezpečovali sme spoločenský kontakt, dohľad.</w:t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Denný stacionár bol otvorený do februára 2017, následne začal poskytovať svoje služby 02.10.2017.</w:t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ŠTATISTIKA ZA ROK 2017</w:t>
      </w:r>
      <w:r>
        <w:rPr>
          <w:rFonts w:eastAsia="Arial" w:cs="Arial" w:ascii="Arial" w:hAnsi="Arial"/>
          <w:sz w:val="24"/>
          <w:szCs w:val="24"/>
        </w:rPr>
        <w:t xml:space="preserve"> </w:t>
      </w:r>
    </w:p>
    <w:p>
      <w:pPr>
        <w:pStyle w:val="Normal"/>
        <w:spacing w:before="0" w:after="24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  <w:u w:val="single"/>
        </w:rPr>
        <w:t>Denný stacionár</w:t>
      </w:r>
      <w:r>
        <w:rPr>
          <w:rFonts w:eastAsia="Arial" w:cs="Arial" w:ascii="Arial" w:hAnsi="Arial"/>
          <w:sz w:val="24"/>
          <w:szCs w:val="24"/>
        </w:rPr>
        <w:t>: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klientov k 31.12.2017: </w:t>
      </w:r>
      <w:r>
        <w:rPr>
          <w:rFonts w:eastAsia="Arial" w:cs="Arial" w:ascii="Arial" w:hAnsi="Arial"/>
          <w:b/>
          <w:sz w:val="24"/>
          <w:szCs w:val="24"/>
        </w:rPr>
        <w:t xml:space="preserve">5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prijatých klientov za rok 2017:  </w:t>
      </w:r>
      <w:r>
        <w:rPr>
          <w:rFonts w:eastAsia="Arial" w:cs="Arial" w:ascii="Arial" w:hAnsi="Arial"/>
          <w:b/>
          <w:sz w:val="24"/>
          <w:szCs w:val="24"/>
        </w:rPr>
        <w:t>5</w:t>
      </w:r>
      <w:r>
        <w:rPr>
          <w:rFonts w:eastAsia="Arial" w:cs="Arial" w:ascii="Arial" w:hAnsi="Arial"/>
          <w:sz w:val="24"/>
          <w:szCs w:val="24"/>
        </w:rPr>
        <w:t xml:space="preserve">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klientov, ktorí ukončili starostlivosť: </w:t>
      </w:r>
      <w:r>
        <w:rPr>
          <w:rFonts w:eastAsia="Arial" w:cs="Arial" w:ascii="Arial" w:hAnsi="Arial"/>
          <w:b/>
          <w:sz w:val="24"/>
          <w:szCs w:val="24"/>
        </w:rPr>
        <w:t xml:space="preserve">3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žien: </w:t>
      </w:r>
      <w:r>
        <w:rPr>
          <w:rFonts w:eastAsia="Arial" w:cs="Arial" w:ascii="Arial" w:hAnsi="Arial"/>
          <w:b/>
          <w:sz w:val="24"/>
          <w:szCs w:val="24"/>
        </w:rPr>
        <w:t xml:space="preserve">5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mužov: </w:t>
      </w:r>
      <w:r>
        <w:rPr>
          <w:rFonts w:eastAsia="Arial" w:cs="Arial" w:ascii="Arial" w:hAnsi="Arial"/>
          <w:b/>
          <w:sz w:val="24"/>
          <w:szCs w:val="24"/>
        </w:rPr>
        <w:t xml:space="preserve">0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Celoročne sme dovážali bezplatne stravu občanom v spolupráci z obcou.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  <w:u w:val="single"/>
        </w:rPr>
      </w:pPr>
      <w:r>
        <w:rPr>
          <w:rFonts w:eastAsia="Arial" w:cs="Arial" w:ascii="Arial" w:hAnsi="Arial"/>
          <w:sz w:val="24"/>
          <w:szCs w:val="24"/>
          <w:u w:val="single"/>
        </w:rPr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  <w:u w:val="single"/>
        </w:rPr>
      </w:pPr>
      <w:r>
        <w:rPr>
          <w:rFonts w:eastAsia="Arial" w:cs="Arial" w:ascii="Arial" w:hAnsi="Arial"/>
          <w:sz w:val="24"/>
          <w:szCs w:val="24"/>
          <w:u w:val="single"/>
        </w:rPr>
        <w:t>Dovoz obedov: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  <w:u w:val="single"/>
        </w:rPr>
      </w:pPr>
      <w:r>
        <w:rPr>
          <w:rFonts w:eastAsia="Arial" w:cs="Arial" w:ascii="Arial" w:hAnsi="Arial"/>
          <w:sz w:val="24"/>
          <w:szCs w:val="24"/>
          <w:u w:val="single"/>
        </w:rPr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klientov k 31.12.2017: </w:t>
      </w:r>
      <w:r>
        <w:rPr>
          <w:rFonts w:eastAsia="Arial" w:cs="Arial" w:ascii="Arial" w:hAnsi="Arial"/>
          <w:b/>
          <w:sz w:val="24"/>
          <w:szCs w:val="24"/>
        </w:rPr>
        <w:t xml:space="preserve">40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prijatých klientov za rok 2017:  </w:t>
      </w:r>
      <w:r>
        <w:rPr>
          <w:rFonts w:eastAsia="Arial" w:cs="Arial" w:ascii="Arial" w:hAnsi="Arial"/>
          <w:b/>
          <w:sz w:val="24"/>
          <w:szCs w:val="24"/>
        </w:rPr>
        <w:t>10</w:t>
      </w:r>
      <w:r>
        <w:rPr>
          <w:rFonts w:eastAsia="Arial" w:cs="Arial" w:ascii="Arial" w:hAnsi="Arial"/>
          <w:sz w:val="24"/>
          <w:szCs w:val="24"/>
        </w:rPr>
        <w:t xml:space="preserve">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klientov, ktorí ukončili starostlivosť: </w:t>
      </w:r>
      <w:r>
        <w:rPr>
          <w:rFonts w:eastAsia="Arial" w:cs="Arial" w:ascii="Arial" w:hAnsi="Arial"/>
          <w:b/>
          <w:sz w:val="24"/>
          <w:szCs w:val="24"/>
        </w:rPr>
        <w:t xml:space="preserve">15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žien: </w:t>
      </w:r>
      <w:r>
        <w:rPr>
          <w:rFonts w:eastAsia="Arial" w:cs="Arial" w:ascii="Arial" w:hAnsi="Arial"/>
          <w:b/>
          <w:sz w:val="24"/>
          <w:szCs w:val="24"/>
        </w:rPr>
        <w:t xml:space="preserve">35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mužov: </w:t>
      </w:r>
      <w:r>
        <w:rPr>
          <w:rFonts w:eastAsia="Arial" w:cs="Arial" w:ascii="Arial" w:hAnsi="Arial"/>
          <w:b/>
          <w:sz w:val="24"/>
          <w:szCs w:val="24"/>
        </w:rPr>
        <w:t>5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Zariadenie pre seniorov začalo poskytovať sociálne služby dňa 02.10.2017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  <w:u w:val="single"/>
        </w:rPr>
      </w:pPr>
      <w:r>
        <w:rPr>
          <w:rFonts w:eastAsia="Arial" w:cs="Arial" w:ascii="Arial" w:hAnsi="Arial"/>
          <w:sz w:val="24"/>
          <w:szCs w:val="24"/>
          <w:u w:val="single"/>
        </w:rPr>
        <w:t>Zariadenie pre seniorov: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  <w:u w:val="single"/>
        </w:rPr>
      </w:pPr>
      <w:r>
        <w:rPr>
          <w:rFonts w:eastAsia="Arial" w:cs="Arial" w:ascii="Arial" w:hAnsi="Arial"/>
          <w:sz w:val="24"/>
          <w:szCs w:val="24"/>
          <w:u w:val="single"/>
        </w:rPr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klientov k 31.12.2017: </w:t>
      </w:r>
      <w:r>
        <w:rPr>
          <w:rFonts w:eastAsia="Arial" w:cs="Arial" w:ascii="Arial" w:hAnsi="Arial"/>
          <w:b/>
          <w:sz w:val="24"/>
          <w:szCs w:val="24"/>
        </w:rPr>
        <w:t xml:space="preserve"> 6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prijatých klientov za rok 2017:  </w:t>
      </w:r>
      <w:r>
        <w:rPr>
          <w:rFonts w:eastAsia="Arial" w:cs="Arial" w:ascii="Arial" w:hAnsi="Arial"/>
          <w:b/>
          <w:sz w:val="24"/>
          <w:szCs w:val="24"/>
        </w:rPr>
        <w:t>7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Počet klientov, ktorí ukončili starostlivosť: 1</w:t>
      </w:r>
      <w:r>
        <w:rPr>
          <w:rFonts w:eastAsia="Arial" w:cs="Arial" w:ascii="Arial" w:hAnsi="Arial"/>
          <w:b/>
          <w:sz w:val="24"/>
          <w:szCs w:val="24"/>
        </w:rPr>
        <w:t xml:space="preserve">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žien: </w:t>
      </w:r>
      <w:r>
        <w:rPr>
          <w:rFonts w:eastAsia="Arial" w:cs="Arial" w:ascii="Arial" w:hAnsi="Arial"/>
          <w:b/>
          <w:sz w:val="24"/>
          <w:szCs w:val="24"/>
        </w:rPr>
        <w:t>6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Počet mužov: </w:t>
      </w:r>
      <w:r>
        <w:rPr>
          <w:rFonts w:eastAsia="Arial" w:cs="Arial" w:ascii="Arial" w:hAnsi="Arial"/>
          <w:b/>
          <w:sz w:val="24"/>
          <w:szCs w:val="24"/>
        </w:rPr>
        <w:t xml:space="preserve">1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V spolupráci so stavovskými organizáciami obce (školou, škôlkou, obecným úradom, cirkvou) sme zabezpečovali v priebehu roka 2017 pestrý program: 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Pohybovo koncentračné cvičenia,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masáže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využívanie prvkov telesných cvičení a pohybových hier,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prechádzky,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práca s hudbou – tanec, počúvanie hudby, spev, hra na hudobné nástroje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kreslenie pri hudbe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rôzne výtvarné techniky - maľovanie na sklo, zhotovovanie jesenných, zimných, vianočných dekorácií, sadrové odliatky, koláže,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 </w:t>
      </w:r>
      <w:r>
        <w:rPr>
          <w:rFonts w:eastAsia="Arial" w:cs="Arial" w:ascii="Arial" w:hAnsi="Arial"/>
          <w:sz w:val="24"/>
          <w:szCs w:val="24"/>
        </w:rPr>
        <w:t xml:space="preserve">dekoratívne aranžovanie ikebany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práca s papierom (skladanie, výrobky z papiera) tzv. pletenie, práca s prírodným materiálom,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drobné kuchynské práce, ako je pečenie medovníkov a výroba iných nepečených zákuskov.      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ručné práce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športové hry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úcta k starším – besiedka (deti z MŠ Zohor)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mikulášska besiedka (deti z ZŠ a MŠ Zohor)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vianočné posedenie     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Vianočné koledy ( OZ Zohorské ozveny)                                            </w:t>
      </w:r>
    </w:p>
    <w:p>
      <w:pPr>
        <w:pStyle w:val="Normal"/>
        <w:spacing w:before="0" w:after="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3. Ročná účtovná závierka a zhodnotenie základných údajov v nej obsiahnutých.</w:t>
      </w:r>
    </w:p>
    <w:p>
      <w:pPr>
        <w:pStyle w:val="Normal"/>
        <w:spacing w:before="240" w:after="200"/>
        <w:jc w:val="both"/>
        <w:rPr/>
      </w:pPr>
      <w:r>
        <w:rPr>
          <w:rFonts w:eastAsia="Arial" w:cs="Arial" w:ascii="Arial" w:hAnsi="Arial"/>
          <w:sz w:val="24"/>
          <w:szCs w:val="24"/>
        </w:rPr>
        <w:t xml:space="preserve">Ročná účtovná závierka a daňové priznanie </w:t>
      </w:r>
      <w:r>
        <w:rPr>
          <w:rFonts w:eastAsia="Arial" w:cs="Arial" w:ascii="Arial" w:hAnsi="Arial"/>
          <w:color w:val="000000"/>
          <w:sz w:val="24"/>
          <w:szCs w:val="24"/>
          <w:highlight w:val="white"/>
        </w:rPr>
        <w:t>k dani z príjmov PO za obdobie 2017</w:t>
      </w:r>
      <w:r>
        <w:rPr>
          <w:rFonts w:eastAsia="Arial" w:cs="Arial" w:ascii="Arial" w:hAnsi="Arial"/>
          <w:sz w:val="24"/>
          <w:szCs w:val="24"/>
        </w:rPr>
        <w:t xml:space="preserve"> boli riadne vložené do registra dňa 27.04.2018.                                                                       </w:t>
      </w:r>
    </w:p>
    <w:p>
      <w:pPr>
        <w:pStyle w:val="Normal"/>
        <w:spacing w:before="240" w:after="200"/>
        <w:jc w:val="both"/>
        <w:rPr/>
      </w:pPr>
      <w:r>
        <w:rPr>
          <w:rFonts w:eastAsia="Arial" w:cs="Arial" w:ascii="Arial" w:hAnsi="Arial"/>
          <w:b/>
          <w:sz w:val="24"/>
          <w:szCs w:val="24"/>
        </w:rPr>
        <w:t xml:space="preserve">4. Výrok audítora k ročnej účtovnej závierke.   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Výrok audítora sa nachádza v prílohe k tejto správe.</w:t>
      </w:r>
    </w:p>
    <w:p>
      <w:pPr>
        <w:pStyle w:val="Normal"/>
        <w:spacing w:before="240" w:after="24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5. Prehľad o peňažných príjmoch a výdavkoch.</w:t>
      </w:r>
    </w:p>
    <w:p>
      <w:pPr>
        <w:pStyle w:val="Normal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Počiatočný stav v pokladni k 01.01.2017: 1 449,61€</w:t>
      </w:r>
    </w:p>
    <w:p>
      <w:pPr>
        <w:pStyle w:val="Normal"/>
        <w:spacing w:lineRule="auto" w:line="240" w:before="0" w:after="240"/>
        <w:rPr/>
      </w:pPr>
      <w:r>
        <w:rPr>
          <w:sz w:val="24"/>
          <w:szCs w:val="24"/>
        </w:rPr>
        <w:t>Počiatočný stav na účte k 01.01.2017: 7 992,11€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i/>
          <w:i/>
          <w:sz w:val="24"/>
          <w:szCs w:val="24"/>
          <w:u w:val="single"/>
        </w:rPr>
      </w:pPr>
      <w:r>
        <w:rPr>
          <w:rFonts w:eastAsia="Arial" w:cs="Arial" w:ascii="Arial" w:hAnsi="Arial"/>
          <w:i/>
          <w:sz w:val="24"/>
          <w:szCs w:val="24"/>
          <w:u w:val="single"/>
        </w:rPr>
        <w:t>Príjem za rok 2017: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644" w:hanging="360"/>
        <w:jc w:val="both"/>
        <w:rPr/>
      </w:pPr>
      <w:r>
        <w:rPr>
          <w:rFonts w:eastAsia="Arial" w:cs="Arial" w:ascii="Arial" w:hAnsi="Arial"/>
          <w:sz w:val="24"/>
          <w:szCs w:val="24"/>
        </w:rPr>
        <w:t>Úhrady za služby od klientov..............................................................10 406,89 €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644" w:hanging="360"/>
        <w:jc w:val="both"/>
        <w:rPr/>
      </w:pPr>
      <w:r>
        <w:rPr>
          <w:rFonts w:eastAsia="Arial" w:cs="Arial" w:ascii="Arial" w:hAnsi="Arial"/>
          <w:sz w:val="24"/>
          <w:szCs w:val="24"/>
        </w:rPr>
        <w:t>dotácia – Obec Zohor.........................................................................83 245,58 €</w:t>
      </w:r>
    </w:p>
    <w:p>
      <w:pPr>
        <w:pStyle w:val="ListParagraph"/>
        <w:numPr>
          <w:ilvl w:val="0"/>
          <w:numId w:val="2"/>
        </w:numPr>
        <w:spacing w:before="0" w:after="47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Prijaté príspevky od iných organizácií - FCC Zohor, s.r.o......</w:t>
      </w:r>
      <w:bookmarkStart w:id="0" w:name="_GoBack"/>
      <w:bookmarkEnd w:id="0"/>
      <w:r>
        <w:rPr>
          <w:rFonts w:cs="Arial" w:ascii="Arial" w:hAnsi="Arial"/>
          <w:sz w:val="24"/>
          <w:szCs w:val="24"/>
        </w:rPr>
        <w:t>................600,00 €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i/>
          <w:i/>
          <w:sz w:val="24"/>
          <w:szCs w:val="24"/>
          <w:u w:val="single"/>
        </w:rPr>
      </w:pPr>
      <w:r>
        <w:rPr>
          <w:rFonts w:eastAsia="Arial" w:cs="Arial" w:ascii="Arial" w:hAnsi="Arial"/>
          <w:i/>
          <w:sz w:val="24"/>
          <w:szCs w:val="24"/>
          <w:u w:val="single"/>
        </w:rPr>
        <w:t>Výdavky na správu: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Energie................................................................................................1 883,99 €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Nájomné.................................................................................................100,00 €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Účtovnícke služby, audit......................................................................2 343,06 €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Revízie...................................................................................................960,91 € </w:t>
      </w:r>
    </w:p>
    <w:p>
      <w:pPr>
        <w:pStyle w:val="Normal"/>
        <w:spacing w:lineRule="auto" w:line="240" w:before="0" w:after="0"/>
        <w:ind w:left="720" w:hanging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i/>
          <w:i/>
          <w:sz w:val="24"/>
          <w:szCs w:val="24"/>
          <w:u w:val="single"/>
        </w:rPr>
      </w:pPr>
      <w:r>
        <w:rPr>
          <w:rFonts w:eastAsia="Arial" w:cs="Arial" w:ascii="Arial" w:hAnsi="Arial"/>
          <w:i/>
          <w:sz w:val="24"/>
          <w:szCs w:val="24"/>
          <w:u w:val="single"/>
        </w:rPr>
        <w:t xml:space="preserve">Výdavky podľa druhu všeobecne prospešných služieb: </w:t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Materiál – klienti...................................................................................1 843,19 €           </w:t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Hygienické potreby.................................................................................441,06 €                                                                     </w:t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 xml:space="preserve">Ostatné výdavky (služby).....................................................................4 301,69 €                                                           </w:t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Mzdy..................................................................................................54 442,85 €</w:t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Poistenie............................................................................................19 060,52€</w:t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>
          <w:rFonts w:ascii="Arial" w:hAnsi="Arial" w:eastAsia="Arial" w:cs="Arial"/>
        </w:rPr>
      </w:pPr>
      <w:r>
        <w:rPr>
          <w:rFonts w:eastAsia="Arial" w:cs="Arial" w:ascii="Arial" w:hAnsi="Arial"/>
          <w:sz w:val="24"/>
          <w:szCs w:val="24"/>
        </w:rPr>
        <w:t>Príspevok zamestnancom...................................................................2 929,69 €</w:t>
      </w:r>
    </w:p>
    <w:p>
      <w:pPr>
        <w:pStyle w:val="Normal"/>
        <w:spacing w:lineRule="auto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i/>
          <w:sz w:val="24"/>
          <w:szCs w:val="24"/>
          <w:u w:val="single"/>
        </w:rPr>
        <w:t>Výdavky spolu</w:t>
      </w:r>
      <w:r>
        <w:rPr>
          <w:rFonts w:eastAsia="Arial" w:cs="Arial" w:ascii="Arial" w:hAnsi="Arial"/>
          <w:sz w:val="24"/>
          <w:szCs w:val="24"/>
        </w:rPr>
        <w:t xml:space="preserve">: </w:t>
      </w:r>
    </w:p>
    <w:p>
      <w:pPr>
        <w:pStyle w:val="Normal"/>
        <w:spacing w:lineRule="auto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Celkové výdavky za rok 2017: 85 157,29 €</w:t>
      </w:r>
    </w:p>
    <w:p>
      <w:pPr>
        <w:pStyle w:val="Normal"/>
        <w:spacing w:lineRule="auto" w:line="240" w:before="0" w:after="0"/>
        <w:ind w:left="720" w:hanging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rPr/>
      </w:pPr>
      <w:r>
        <w:rPr>
          <w:rFonts w:eastAsia="Arial" w:cs="Arial" w:ascii="Arial" w:hAnsi="Arial"/>
          <w:sz w:val="24"/>
          <w:szCs w:val="24"/>
        </w:rPr>
        <w:t xml:space="preserve">1. Konečný zostatok v pokladni k 31. 12. 2017: ...........................................1 977,53 € </w:t>
      </w:r>
    </w:p>
    <w:p>
      <w:pPr>
        <w:pStyle w:val="Normal"/>
        <w:spacing w:lineRule="auto" w:line="240" w:before="0" w:after="0"/>
        <w:rPr/>
      </w:pPr>
      <w:r>
        <w:rPr>
          <w:rFonts w:eastAsia="Arial" w:cs="Arial" w:ascii="Arial" w:hAnsi="Arial"/>
          <w:sz w:val="24"/>
          <w:szCs w:val="24"/>
        </w:rPr>
        <w:t>2. Konečný zostatok na účte k  31.12. 2017: ................................................5 978,58 €</w:t>
      </w:r>
    </w:p>
    <w:p>
      <w:pPr>
        <w:pStyle w:val="Normal"/>
        <w:spacing w:lineRule="auto" w:line="240" w:before="0" w:after="240"/>
        <w:rPr/>
      </w:pPr>
      <w:r>
        <w:rPr>
          <w:rFonts w:eastAsia="Arial" w:cs="Arial" w:ascii="Arial" w:hAnsi="Arial"/>
          <w:sz w:val="24"/>
          <w:szCs w:val="24"/>
        </w:rPr>
        <w:t xml:space="preserve">3. Konečný zostatok  spolu  k  31.12.2017: ..................................................7 956,11 €                       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b/>
          <w:b/>
          <w:sz w:val="28"/>
          <w:szCs w:val="28"/>
        </w:rPr>
      </w:pPr>
      <w:r>
        <w:rPr>
          <w:rFonts w:eastAsia="Arial" w:cs="Arial" w:ascii="Arial" w:hAnsi="Arial"/>
          <w:b/>
          <w:sz w:val="24"/>
          <w:szCs w:val="24"/>
        </w:rPr>
        <w:t>6. Prehľad rozsahu príjmov (výnosov) v členení podľa zdrojov.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Prehľad v prílohe k výročnej správe.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Príslušná  tabuľka  –  Prehľad  o  daroch,  príspevkoch  a  príjmoch za rok 2017, je zverejnená na webovej stránke Okresného úradu Bratislava. 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</w:r>
    </w:p>
    <w:p>
      <w:pPr>
        <w:pStyle w:val="Normal"/>
        <w:spacing w:before="240" w:after="20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7. Stav a pohyb majetku a záväzkov neziskovej organizácie.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Arial" w:cs="Arial" w:ascii="Arial" w:hAnsi="Arial"/>
          <w:sz w:val="24"/>
          <w:szCs w:val="24"/>
        </w:rPr>
        <w:t>Organizácia vlastní ostatný dlhodobý hmotný majetok v sume 171,86 €, finančné prostriedky v pokladni v sume 1 977,53 € a na bankovom účte v sume 5 978,58 €.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Style w:val="a"/>
        <w:tblW w:w="8898" w:type="dxa"/>
        <w:jc w:val="lef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1" w:lastRow="0" w:firstColumn="0" w:lastColumn="0" w:noHBand="0" w:val="0400"/>
      </w:tblPr>
      <w:tblGrid>
        <w:gridCol w:w="4449"/>
        <w:gridCol w:w="4448"/>
      </w:tblGrid>
      <w:tr>
        <w:trPr>
          <w:trHeight w:val="440" w:hRule="atLeast"/>
        </w:trPr>
        <w:tc>
          <w:tcPr>
            <w:tcW w:w="889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b/>
                <w:sz w:val="18"/>
                <w:szCs w:val="18"/>
              </w:rPr>
              <w:t>AKTÍVA</w:t>
            </w:r>
          </w:p>
        </w:tc>
      </w:tr>
      <w:tr>
        <w:trPr>
          <w:trHeight w:val="440" w:hRule="atLeast"/>
        </w:trPr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Pohľadávky z obchodného styku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4 781,50</w:t>
            </w:r>
          </w:p>
        </w:tc>
      </w:tr>
      <w:tr>
        <w:trPr>
          <w:trHeight w:val="440" w:hRule="atLeast"/>
        </w:trPr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Pohľadávky ostatné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11 408,04</w:t>
            </w:r>
          </w:p>
        </w:tc>
      </w:tr>
      <w:tr>
        <w:trPr>
          <w:trHeight w:val="440" w:hRule="atLeast"/>
        </w:trPr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Pokladnica,ceniny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2745,83</w:t>
            </w:r>
          </w:p>
        </w:tc>
      </w:tr>
      <w:tr>
        <w:trPr>
          <w:trHeight w:val="460" w:hRule="atLeast"/>
        </w:trPr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Bankové účty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bookmarkStart w:id="1" w:name="_gjdgxs"/>
            <w:bookmarkEnd w:id="1"/>
            <w:r>
              <w:rPr>
                <w:rFonts w:eastAsia="Arial" w:cs="Arial" w:ascii="Arial" w:hAnsi="Arial"/>
                <w:sz w:val="18"/>
                <w:szCs w:val="18"/>
              </w:rPr>
              <w:t>5 978,58</w:t>
            </w:r>
          </w:p>
        </w:tc>
      </w:tr>
      <w:tr>
        <w:trPr>
          <w:trHeight w:val="460" w:hRule="atLeast"/>
        </w:trPr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Náklady budúcich období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21,63</w:t>
            </w:r>
          </w:p>
        </w:tc>
      </w:tr>
      <w:tr>
        <w:trPr>
          <w:trHeight w:val="460" w:hRule="atLeast"/>
        </w:trPr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Majetok spolu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24935,58</w:t>
            </w:r>
          </w:p>
        </w:tc>
      </w:tr>
    </w:tbl>
    <w:p>
      <w:pPr>
        <w:pStyle w:val="Normal"/>
        <w:rPr>
          <w:rFonts w:ascii="Arial" w:hAnsi="Arial" w:eastAsia="Arial" w:cs="Arial"/>
          <w:sz w:val="18"/>
          <w:szCs w:val="18"/>
        </w:rPr>
      </w:pPr>
      <w:r>
        <w:rPr>
          <w:rFonts w:eastAsia="Arial" w:cs="Arial" w:ascii="Arial" w:hAnsi="Arial"/>
          <w:sz w:val="18"/>
          <w:szCs w:val="18"/>
        </w:rPr>
      </w:r>
    </w:p>
    <w:p>
      <w:pPr>
        <w:pStyle w:val="Normal"/>
        <w:rPr>
          <w:rFonts w:ascii="Arial" w:hAnsi="Arial" w:eastAsia="Arial" w:cs="Arial"/>
          <w:sz w:val="18"/>
          <w:szCs w:val="18"/>
        </w:rPr>
      </w:pPr>
      <w:r>
        <w:rPr>
          <w:rFonts w:eastAsia="Arial" w:cs="Arial" w:ascii="Arial" w:hAnsi="Arial"/>
          <w:sz w:val="18"/>
          <w:szCs w:val="18"/>
        </w:rPr>
      </w:r>
    </w:p>
    <w:tbl>
      <w:tblPr>
        <w:tblStyle w:val="a0"/>
        <w:tblW w:w="8896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1" w:lastRow="0" w:firstColumn="0" w:lastColumn="0" w:noHBand="0" w:val="0400"/>
      </w:tblPr>
      <w:tblGrid>
        <w:gridCol w:w="4447"/>
        <w:gridCol w:w="4448"/>
      </w:tblGrid>
      <w:tr>
        <w:trPr>
          <w:trHeight w:val="440" w:hRule="atLeast"/>
        </w:trPr>
        <w:tc>
          <w:tcPr>
            <w:tcW w:w="88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color w:val="1C1C1C"/>
              </w:rPr>
            </w:pPr>
            <w:r>
              <w:rPr>
                <w:rFonts w:eastAsia="Arial" w:cs="Arial" w:ascii="Arial" w:hAnsi="Arial"/>
                <w:b/>
                <w:color w:val="1C1C1C"/>
                <w:sz w:val="18"/>
                <w:szCs w:val="18"/>
              </w:rPr>
              <w:t>PASÍVA</w:t>
            </w:r>
          </w:p>
        </w:tc>
      </w:tr>
      <w:tr>
        <w:trPr>
          <w:trHeight w:val="440" w:hRule="atLeast"/>
        </w:trPr>
        <w:tc>
          <w:tcPr>
            <w:tcW w:w="88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b/>
                <w:b/>
                <w:sz w:val="18"/>
                <w:szCs w:val="18"/>
              </w:rPr>
            </w:pPr>
            <w:r>
              <w:rPr>
                <w:rFonts w:eastAsia="Arial" w:cs="Arial" w:ascii="Arial" w:hAnsi="Arial"/>
                <w:b/>
                <w:sz w:val="18"/>
                <w:szCs w:val="18"/>
              </w:rPr>
            </w:r>
          </w:p>
        </w:tc>
      </w:tr>
      <w:tr>
        <w:trPr>
          <w:trHeight w:val="44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HV minulé roky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492,10</w:t>
            </w:r>
          </w:p>
        </w:tc>
      </w:tr>
      <w:tr>
        <w:trPr>
          <w:trHeight w:val="44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Výsledok hospodárenia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9 095,18</w:t>
            </w:r>
          </w:p>
        </w:tc>
      </w:tr>
      <w:tr>
        <w:trPr>
          <w:trHeight w:val="44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Krátkodobé rezervy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3 691,99</w:t>
            </w:r>
          </w:p>
        </w:tc>
      </w:tr>
      <w:tr>
        <w:trPr>
          <w:trHeight w:val="44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Záväzky zo sociálneho fondu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248,27</w:t>
            </w:r>
          </w:p>
        </w:tc>
      </w:tr>
      <w:tr>
        <w:trPr>
          <w:trHeight w:val="46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Záväzky voči zamestnancom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6288,27</w:t>
            </w:r>
          </w:p>
        </w:tc>
      </w:tr>
      <w:tr>
        <w:trPr>
          <w:trHeight w:val="46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Zúčtovanie so Sociálnou poisťovňou a zdravotnými poisťovňami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4167,36</w:t>
            </w:r>
          </w:p>
        </w:tc>
      </w:tr>
      <w:tr>
        <w:trPr>
          <w:trHeight w:val="46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Daňové záväzky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952,41</w:t>
            </w:r>
          </w:p>
        </w:tc>
      </w:tr>
      <w:tr>
        <w:trPr>
          <w:trHeight w:val="460" w:hRule="atLeast"/>
        </w:trPr>
        <w:tc>
          <w:tcPr>
            <w:tcW w:w="44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Vlastné zdroje a cudzie zdroje spolu</w:t>
            </w:r>
          </w:p>
        </w:tc>
        <w:tc>
          <w:tcPr>
            <w:tcW w:w="4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24935,58</w:t>
            </w:r>
          </w:p>
        </w:tc>
      </w:tr>
    </w:tbl>
    <w:p>
      <w:pPr>
        <w:pStyle w:val="Normal"/>
        <w:rPr>
          <w:rFonts w:ascii="Arial" w:hAnsi="Arial" w:eastAsia="Arial" w:cs="Arial"/>
          <w:sz w:val="18"/>
          <w:szCs w:val="18"/>
        </w:rPr>
      </w:pPr>
      <w:bookmarkStart w:id="2" w:name="_30j0zll"/>
      <w:bookmarkStart w:id="3" w:name="_30j0zll"/>
      <w:bookmarkEnd w:id="3"/>
      <w:r>
        <w:rPr>
          <w:rFonts w:eastAsia="Arial" w:cs="Arial" w:ascii="Arial" w:hAnsi="Arial"/>
          <w:sz w:val="18"/>
          <w:szCs w:val="18"/>
        </w:rPr>
      </w:r>
    </w:p>
    <w:p>
      <w:pPr>
        <w:pStyle w:val="Normal"/>
        <w:spacing w:before="240" w:after="20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</w:r>
    </w:p>
    <w:p>
      <w:pPr>
        <w:pStyle w:val="Normal"/>
        <w:spacing w:before="240" w:after="20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8. Ekonomicky oprávnené náklady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SENIOR ZOHOR n.o. upravil počet klientov v dennom stacionári a vytvorila 11 miest v zariadení pre seniorov. Celkovo počas roka 2017 denný stacionár fungoval 5 mesiacov a zariadenie pre seniorov 2 mesiace. </w:t>
      </w:r>
    </w:p>
    <w:p>
      <w:pPr>
        <w:pStyle w:val="Normal"/>
        <w:rPr>
          <w:rFonts w:ascii="Arial" w:hAnsi="Arial" w:eastAsia="Arial" w:cs="Arial"/>
          <w:b/>
          <w:b/>
          <w:sz w:val="18"/>
          <w:szCs w:val="18"/>
        </w:rPr>
      </w:pPr>
      <w:r>
        <w:rPr>
          <w:rFonts w:eastAsia="Arial" w:cs="Arial" w:ascii="Arial" w:hAnsi="Arial"/>
          <w:b/>
          <w:sz w:val="18"/>
          <w:szCs w:val="18"/>
        </w:rPr>
        <w:t xml:space="preserve"> </w:t>
      </w:r>
    </w:p>
    <w:tbl>
      <w:tblPr>
        <w:tblStyle w:val="a1"/>
        <w:tblW w:w="7176" w:type="dxa"/>
        <w:jc w:val="left"/>
        <w:tblInd w:w="3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108" w:type="dxa"/>
        </w:tblCellMar>
        <w:tblLook w:firstRow="0" w:noVBand="1" w:lastRow="0" w:firstColumn="0" w:lastColumn="0" w:noHBand="0" w:val="0400"/>
      </w:tblPr>
      <w:tblGrid>
        <w:gridCol w:w="4342"/>
        <w:gridCol w:w="1273"/>
        <w:gridCol w:w="1561"/>
      </w:tblGrid>
      <w:tr>
        <w:trPr>
          <w:trHeight w:val="102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Položky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Celkové výdavky za rok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Prepočet na prijímateľa sociálnej služby/ mesiac</w:t>
            </w:r>
          </w:p>
        </w:tc>
      </w:tr>
      <w:tr>
        <w:trPr>
          <w:trHeight w:val="42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a) mzdy, platy a ostatné osobné vyrovnania vo výške, ktorá zodpovedá výške platu a ostatných osobných vyrovnaní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54 442,82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283,55 €</w:t>
            </w:r>
          </w:p>
        </w:tc>
      </w:tr>
      <w:tr>
        <w:trPr>
          <w:trHeight w:val="34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b) poistné na verejné zdravotné poistenie, poistné na sociálne poistenie a povinné príspevky na starobné dôchodkové sporenie platené zamestnávateľom v rozsahu určenom podľa písm. a)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eastAsia="Arial" w:cs="Arial" w:ascii="Arial" w:hAnsi="Arial"/>
                <w:sz w:val="18"/>
                <w:szCs w:val="18"/>
              </w:rPr>
              <w:t>19060,52 €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99,27 €</w:t>
            </w:r>
          </w:p>
        </w:tc>
      </w:tr>
      <w:tr>
        <w:trPr>
          <w:trHeight w:val="14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c) tuzemské cestovné náhrady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0 €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0, €</w:t>
            </w:r>
          </w:p>
        </w:tc>
      </w:tr>
      <w:tr>
        <w:trPr>
          <w:trHeight w:val="16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d) výdavky na energie, vodu a komunikácie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1883,99 €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9,81 €</w:t>
            </w:r>
          </w:p>
        </w:tc>
      </w:tr>
      <w:tr>
        <w:trPr>
          <w:trHeight w:val="24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e) výdavky na materiál okrem reprezentačného vybavenia nových interiérov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2 284,25  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11,89 €</w:t>
            </w:r>
          </w:p>
        </w:tc>
      </w:tr>
      <w:tr>
        <w:trPr>
          <w:trHeight w:val="16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f) dopravné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0 €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0 €</w:t>
            </w:r>
          </w:p>
        </w:tc>
      </w:tr>
      <w:tr>
        <w:trPr>
          <w:trHeight w:val="20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g) výdavky na rutinnú údržbu a štandardnú údržbu okrem jednorazovej údržby objektov alebo ich častí a riešenia havarijných stavov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0 €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0 €</w:t>
            </w:r>
          </w:p>
        </w:tc>
      </w:tr>
      <w:tr>
        <w:trPr>
          <w:trHeight w:val="42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j) výdavky na bežné transfery v rozsahu vreckového podľa osobitného predpisu, odstupného, odchodného, náhrady príjmu pri dočasnej pracovnej neschopnosti zamestnanca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0 €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0 €</w:t>
            </w:r>
          </w:p>
        </w:tc>
      </w:tr>
      <w:tr>
        <w:trPr>
          <w:trHeight w:val="438" w:hRule="atLeast"/>
        </w:trPr>
        <w:tc>
          <w:tcPr>
            <w:tcW w:w="43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k) odpisy hmotného majetku a nehmotného majetku podľa účtovných predpisov</w:t>
            </w:r>
          </w:p>
        </w:tc>
        <w:tc>
          <w:tcPr>
            <w:tcW w:w="12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0 €</w:t>
            </w:r>
          </w:p>
        </w:tc>
        <w:tc>
          <w:tcPr>
            <w:tcW w:w="156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0 €</w:t>
            </w:r>
          </w:p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</w:tc>
      </w:tr>
      <w:tr>
        <w:trPr>
          <w:trHeight w:val="207" w:hRule="atLeast"/>
        </w:trPr>
        <w:tc>
          <w:tcPr>
            <w:tcW w:w="434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both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</w:r>
          </w:p>
        </w:tc>
        <w:tc>
          <w:tcPr>
            <w:tcW w:w="12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ascii="Arial" w:hAnsi="Arial" w:eastAsia="Arial" w:cs="Arial"/>
                <w:sz w:val="18"/>
                <w:szCs w:val="18"/>
                <w:highlight w:val="red"/>
              </w:rPr>
            </w:pPr>
            <w:r>
              <w:rPr>
                <w:rFonts w:eastAsia="Arial" w:cs="Arial" w:ascii="Arial" w:hAnsi="Arial"/>
                <w:sz w:val="18"/>
                <w:szCs w:val="18"/>
                <w:highlight w:val="red"/>
              </w:rPr>
            </w:r>
          </w:p>
        </w:tc>
        <w:tc>
          <w:tcPr>
            <w:tcW w:w="156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before="0" w:after="0"/>
              <w:rPr>
                <w:rFonts w:ascii="Arial" w:hAnsi="Arial" w:eastAsia="Arial" w:cs="Arial"/>
                <w:sz w:val="18"/>
                <w:szCs w:val="18"/>
                <w:highlight w:val="red"/>
              </w:rPr>
            </w:pPr>
            <w:r>
              <w:rPr>
                <w:rFonts w:eastAsia="Arial" w:cs="Arial" w:ascii="Arial" w:hAnsi="Arial"/>
                <w:sz w:val="18"/>
                <w:szCs w:val="18"/>
                <w:highlight w:val="red"/>
              </w:rPr>
            </w:r>
          </w:p>
        </w:tc>
      </w:tr>
      <w:tr>
        <w:trPr>
          <w:trHeight w:val="16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Zdroje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 xml:space="preserve">Celkové príjmy </w:t>
            </w:r>
          </w:p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za rok 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Prepočet na prijímateľa sociálnej služby/sociálneho poradcu za mesiac</w:t>
            </w:r>
          </w:p>
        </w:tc>
      </w:tr>
      <w:tr>
        <w:trPr>
          <w:trHeight w:val="16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numPr>
                <w:ilvl w:val="0"/>
                <w:numId w:val="5"/>
              </w:numPr>
              <w:spacing w:before="0" w:after="0"/>
              <w:ind w:left="268" w:hanging="268"/>
              <w:jc w:val="both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z rozpočtu obce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83 245,58 €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433,57 €</w:t>
            </w:r>
          </w:p>
        </w:tc>
      </w:tr>
      <w:tr>
        <w:trPr>
          <w:trHeight w:val="160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numPr>
                <w:ilvl w:val="0"/>
                <w:numId w:val="5"/>
              </w:numPr>
              <w:spacing w:before="0" w:after="0"/>
              <w:ind w:left="268" w:hanging="268"/>
              <w:jc w:val="both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z úhrad za sociálnu službu</w:t>
            </w:r>
          </w:p>
        </w:tc>
        <w:tc>
          <w:tcPr>
            <w:tcW w:w="1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10 406,89 € 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eastAsia="Arial" w:cs="Arial" w:ascii="Arial" w:hAnsi="Arial"/>
                <w:sz w:val="18"/>
                <w:szCs w:val="18"/>
              </w:rPr>
              <w:t>54,20 €</w:t>
            </w:r>
          </w:p>
        </w:tc>
      </w:tr>
    </w:tbl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Výška ekonomicky oprávnených nákladov sa bude každoročne meniť v závislosti od bežných výdavkov na prevádzku za predchádzajúci kalendárny rok. 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9. Zmeny a nové  zloženie  orgánov  neziskovej  organizácie, ku ktorým  došlo v priebehu roka.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V sledovanom období neprišlo k žiadnej zmene v zložení orgánov neziskovej organizácie.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10. Ďalšie údaje určené správnou radou.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Správna rada neurčila žiadne ďalšie údaje na zverejnenie vo výročnej správe.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b/>
          <w:b/>
          <w:sz w:val="24"/>
          <w:szCs w:val="24"/>
        </w:rPr>
      </w:pPr>
      <w:r>
        <w:rPr>
          <w:rFonts w:eastAsia="Arial" w:cs="Arial" w:ascii="Arial" w:hAnsi="Arial"/>
          <w:b/>
          <w:sz w:val="24"/>
          <w:szCs w:val="24"/>
        </w:rPr>
        <w:t>11. Vyjadrenie predsedu Dozornej rady.</w:t>
      </w:r>
    </w:p>
    <w:p>
      <w:pPr>
        <w:pStyle w:val="Normal"/>
        <w:spacing w:before="240" w:after="20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>Predseda Dozornej rady SENIOR ZOHOR n.o. preskúmal hospodárenie neziskovej organizácie a nemá žiadne pripomienky.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Arial" w:cs="Arial" w:ascii="Arial" w:hAnsi="Arial"/>
        </w:rPr>
        <w:t xml:space="preserve">V Zohore 27.04.2018 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spacing w:lineRule="auto" w:line="240" w:before="0" w:after="0"/>
        <w:ind w:left="3540" w:hanging="0"/>
        <w:jc w:val="center"/>
        <w:rPr>
          <w:rFonts w:ascii="Arial" w:hAnsi="Arial" w:eastAsia="Arial" w:cs="Arial"/>
          <w:sz w:val="20"/>
          <w:szCs w:val="20"/>
        </w:rPr>
      </w:pPr>
      <w:r>
        <w:rPr/>
      </w:r>
    </w:p>
    <w:p>
      <w:pPr>
        <w:pStyle w:val="Normal"/>
        <w:spacing w:lineRule="auto" w:line="240" w:before="0" w:after="0"/>
        <w:ind w:left="3540" w:hanging="0"/>
        <w:jc w:val="center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Vypracovala: Mgr. Baďurová Martina </w:t>
      </w:r>
    </w:p>
    <w:p>
      <w:pPr>
        <w:pStyle w:val="Normal"/>
        <w:spacing w:lineRule="auto" w:line="240" w:before="0" w:after="0"/>
        <w:ind w:left="3540" w:hanging="0"/>
        <w:jc w:val="center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riaditeľka SENIOR ZOHOR n.o</w:t>
      </w:r>
    </w:p>
    <w:p>
      <w:pPr>
        <w:pStyle w:val="Normal"/>
        <w:spacing w:lineRule="auto" w:line="240" w:before="0" w:after="0"/>
        <w:jc w:val="center"/>
        <w:rPr>
          <w:rFonts w:ascii="Arial" w:hAnsi="Arial" w:eastAsia="Arial" w:cs="Arial"/>
          <w:sz w:val="20"/>
          <w:szCs w:val="20"/>
        </w:rPr>
      </w:pPr>
      <w:r>
        <w:rPr/>
      </w:r>
    </w:p>
    <w:p>
      <w:pPr>
        <w:pStyle w:val="Normal"/>
        <w:spacing w:lineRule="auto" w:line="240" w:before="0" w:after="0"/>
        <w:ind w:left="2832" w:hanging="0"/>
        <w:jc w:val="center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         </w:t>
      </w:r>
      <w:r>
        <w:rPr>
          <w:rFonts w:eastAsia="Arial" w:cs="Arial" w:ascii="Arial" w:hAnsi="Arial"/>
          <w:sz w:val="20"/>
          <w:szCs w:val="20"/>
        </w:rPr>
        <w:t>Gerthofer Jozef</w:t>
      </w:r>
    </w:p>
    <w:p>
      <w:pPr>
        <w:pStyle w:val="Normal"/>
        <w:spacing w:lineRule="auto" w:line="240" w:before="0" w:after="0"/>
        <w:ind w:left="2832" w:hanging="0"/>
        <w:jc w:val="center"/>
        <w:rPr/>
      </w:pPr>
      <w:r>
        <w:rPr>
          <w:rFonts w:eastAsia="Arial" w:cs="Arial" w:ascii="Arial" w:hAnsi="Arial"/>
          <w:sz w:val="20"/>
          <w:szCs w:val="20"/>
        </w:rPr>
        <w:t xml:space="preserve">        </w:t>
      </w:r>
      <w:r>
        <w:rPr>
          <w:rFonts w:eastAsia="Arial" w:cs="Arial" w:ascii="Arial" w:hAnsi="Arial"/>
          <w:sz w:val="20"/>
          <w:szCs w:val="20"/>
        </w:rPr>
        <w:t>Predseda Správnej rady</w:t>
      </w:r>
    </w:p>
    <w:p>
      <w:pPr>
        <w:pStyle w:val="Normal"/>
        <w:spacing w:lineRule="auto" w:line="240" w:before="0" w:after="0"/>
        <w:ind w:left="3540" w:hanging="0"/>
        <w:jc w:val="center"/>
        <w:rPr/>
      </w:pPr>
      <w:r>
        <w:rPr>
          <w:rFonts w:eastAsia="Arial" w:cs="Arial" w:ascii="Arial" w:hAnsi="Arial"/>
          <w:sz w:val="20"/>
          <w:szCs w:val="20"/>
        </w:rPr>
        <w:t xml:space="preserve">Mgr.   Zálesňáková Katarína </w:t>
      </w:r>
    </w:p>
    <w:p>
      <w:pPr>
        <w:pStyle w:val="Normal"/>
        <w:spacing w:lineRule="auto" w:line="240" w:before="0" w:after="0"/>
        <w:ind w:left="3540" w:hanging="0"/>
        <w:jc w:val="center"/>
        <w:rPr/>
      </w:pPr>
      <w:r>
        <w:rPr>
          <w:rFonts w:eastAsia="Arial" w:cs="Arial" w:ascii="Arial" w:hAnsi="Arial"/>
          <w:sz w:val="20"/>
          <w:szCs w:val="20"/>
        </w:rPr>
        <w:t>Predseda Dozornej rady</w:t>
      </w:r>
    </w:p>
    <w:p>
      <w:pPr>
        <w:pStyle w:val="Normal"/>
        <w:spacing w:lineRule="auto" w:line="240" w:before="0" w:after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 xml:space="preserve">                                                                        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footerReference w:type="default" r:id="rId2"/>
      <w:type w:val="nextPage"/>
      <w:pgSz w:w="11906" w:h="16838"/>
      <w:pgMar w:left="1417" w:right="1417" w:header="0" w:top="1417" w:footer="0" w:bottom="1417" w:gutter="0"/>
      <w:pgNumType w:start="1" w:fmt="decimal"/>
      <w:formProt w:val="false"/>
      <w:titlePg/>
      <w:textDirection w:val="lrTb"/>
      <w:docGrid w:type="default" w:linePitch="299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Architects Daughter">
    <w:charset w:val="ee"/>
    <w:family w:val="roman"/>
    <w:pitch w:val="variable"/>
  </w:font>
  <w:font w:name="Cambria">
    <w:charset w:val="ee"/>
    <w:family w:val="roman"/>
    <w:pitch w:val="variable"/>
  </w:font>
  <w:font w:name="OpenSymbol">
    <w:altName w:val="Arial Unicode MS"/>
    <w:charset w:val="01"/>
    <w:family w:val="auto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81996490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10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816"/>
      <w:numFmt w:val="bullet"/>
      <w:lvlText w:val="-"/>
      <w:lvlJc w:val="left"/>
      <w:pPr>
        <w:ind w:left="720" w:hanging="360"/>
      </w:pPr>
      <w:rPr>
        <w:rFonts w:ascii="OpenSymbol" w:hAnsi="OpenSymbol" w:cs="OpenSymbol" w:hint="default"/>
        <w:sz w:val="24"/>
        <w:szCs w:val="24"/>
        <w:rFonts w:cs="OpenSymbo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>
    <w:lvl w:ilvl="0">
      <w:start w:val="1"/>
      <w:numFmt w:val="bullet"/>
      <w:lvlText w:val=""/>
      <w:lvlJc w:val="left"/>
      <w:pPr>
        <w:ind w:left="644" w:hanging="359"/>
      </w:pPr>
      <w:rPr>
        <w:rFonts w:ascii="Wingdings" w:hAnsi="Wingdings" w:cs="Wingdings" w:hint="default"/>
        <w:sz w:val="24"/>
        <w:szCs w:val="24"/>
        <w:rFonts w:cs="Wingdings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l"/>
      <w:lvlJc w:val="left"/>
      <w:pPr>
        <w:ind w:left="2084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l"/>
      <w:lvlJc w:val="left"/>
      <w:pPr>
        <w:ind w:left="2804" w:hanging="360"/>
      </w:pPr>
      <w:rPr>
        <w:rFonts w:ascii="Wingdings" w:hAnsi="Wingdings" w:cs="Wingdings" w:hint="default"/>
        <w:rFonts w:cs="Wingdings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l"/>
      <w:lvlJc w:val="left"/>
      <w:pPr>
        <w:ind w:left="4244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l"/>
      <w:lvlJc w:val="left"/>
      <w:pPr>
        <w:ind w:left="4964" w:hanging="360"/>
      </w:pPr>
      <w:rPr>
        <w:rFonts w:ascii="Wingdings" w:hAnsi="Wingdings" w:cs="Wingdings" w:hint="default"/>
        <w:rFonts w:cs="Wingdings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l"/>
      <w:lvlJc w:val="left"/>
      <w:pPr>
        <w:ind w:left="6404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  <w:sz w:val="24"/>
        <w:szCs w:val="24"/>
        <w:rFonts w:cs="Wingding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l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l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l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l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l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  <w:sz w:val="24"/>
        <w:szCs w:val="24"/>
        <w:rFonts w:cs="Wingding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l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l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l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l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l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7">
    <w:lvl w:ilvl="0">
      <w:start w:val="1"/>
      <w:numFmt w:val="decimal"/>
      <w:lvlText w:val="%1."/>
      <w:lvlJc w:val="left"/>
      <w:pPr>
        <w:ind w:left="360" w:hanging="360"/>
      </w:pPr>
      <w:rPr>
        <w:sz w:val="24"/>
        <w:b/>
        <w:szCs w:val="24"/>
        <w:rFonts w:eastAsia="Arial" w:cs="Arial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lvl w:ilvl="0">
      <w:start w:val="1"/>
      <w:numFmt w:val="bullet"/>
      <w:lvlText w:val=""/>
      <w:lvlJc w:val="left"/>
      <w:pPr>
        <w:ind w:left="1800" w:hanging="360"/>
      </w:pPr>
      <w:rPr>
        <w:rFonts w:ascii="Wingdings" w:hAnsi="Wingdings" w:cs="Wingdings" w:hint="default"/>
        <w:sz w:val="24"/>
        <w:szCs w:val="24"/>
        <w:rFonts w:cs="Wingding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color w:val="00000A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00000A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1120b9"/>
    <w:rPr/>
  </w:style>
  <w:style w:type="character" w:styleId="PtaChar" w:customStyle="1">
    <w:name w:val="Päta Char"/>
    <w:basedOn w:val="DefaultParagraphFont"/>
    <w:link w:val="Pta"/>
    <w:uiPriority w:val="99"/>
    <w:qFormat/>
    <w:rsid w:val="001120b9"/>
    <w:rPr/>
  </w:style>
  <w:style w:type="character" w:styleId="ListLabel1">
    <w:name w:val="ListLabel 1"/>
    <w:qFormat/>
    <w:rPr>
      <w:rFonts w:ascii="Arial" w:hAnsi="Arial"/>
      <w:sz w:val="24"/>
      <w:szCs w:val="24"/>
    </w:rPr>
  </w:style>
  <w:style w:type="character" w:styleId="ListLabel2">
    <w:name w:val="ListLabel 2"/>
    <w:qFormat/>
    <w:rPr>
      <w:rFonts w:ascii="Arial" w:hAnsi="Arial"/>
      <w:sz w:val="24"/>
      <w:szCs w:val="24"/>
    </w:rPr>
  </w:style>
  <w:style w:type="character" w:styleId="ListLabel3">
    <w:name w:val="ListLabel 3"/>
    <w:qFormat/>
    <w:rPr>
      <w:rFonts w:ascii="Arial" w:hAnsi="Arial"/>
      <w:sz w:val="24"/>
      <w:szCs w:val="24"/>
    </w:rPr>
  </w:style>
  <w:style w:type="character" w:styleId="ListLabel4">
    <w:name w:val="ListLabel 4"/>
    <w:qFormat/>
    <w:rPr>
      <w:rFonts w:ascii="Arial" w:hAnsi="Arial"/>
      <w:sz w:val="24"/>
      <w:szCs w:val="24"/>
    </w:rPr>
  </w:style>
  <w:style w:type="character" w:styleId="ListLabel5">
    <w:name w:val="ListLabel 5"/>
    <w:qFormat/>
    <w:rPr>
      <w:rFonts w:eastAsia="Arial" w:cs="Arial"/>
      <w:b/>
      <w:sz w:val="24"/>
      <w:szCs w:val="24"/>
    </w:rPr>
  </w:style>
  <w:style w:type="character" w:styleId="ListLabel6">
    <w:name w:val="ListLabel 6"/>
    <w:qFormat/>
    <w:rPr>
      <w:rFonts w:ascii="Arial" w:hAnsi="Arial"/>
      <w:sz w:val="24"/>
      <w:szCs w:val="24"/>
    </w:rPr>
  </w:style>
  <w:style w:type="character" w:styleId="ListLabel7">
    <w:name w:val="ListLabel 7"/>
    <w:qFormat/>
    <w:rPr>
      <w:rFonts w:ascii="Arial" w:hAnsi="Arial" w:cs="OpenSymbol"/>
      <w:sz w:val="24"/>
      <w:szCs w:val="24"/>
    </w:rPr>
  </w:style>
  <w:style w:type="character" w:styleId="ListLabel8">
    <w:name w:val="ListLabel 8"/>
    <w:qFormat/>
    <w:rPr>
      <w:rFonts w:ascii="Arial" w:hAnsi="Arial" w:cs="Wingdings"/>
      <w:sz w:val="24"/>
      <w:szCs w:val="24"/>
    </w:rPr>
  </w:style>
  <w:style w:type="character" w:styleId="ListLabel9">
    <w:name w:val="ListLabel 9"/>
    <w:qFormat/>
    <w:rPr>
      <w:rFonts w:cs="OpenSymbol"/>
    </w:rPr>
  </w:style>
  <w:style w:type="character" w:styleId="ListLabel10">
    <w:name w:val="ListLabel 10"/>
    <w:qFormat/>
    <w:rPr>
      <w:rFonts w:cs="Wingdings"/>
    </w:rPr>
  </w:style>
  <w:style w:type="character" w:styleId="ListLabel11">
    <w:name w:val="ListLabel 11"/>
    <w:qFormat/>
    <w:rPr>
      <w:rFonts w:cs="Wingdings"/>
    </w:rPr>
  </w:style>
  <w:style w:type="character" w:styleId="ListLabel12">
    <w:name w:val="ListLabel 12"/>
    <w:qFormat/>
    <w:rPr>
      <w:rFonts w:cs="OpenSymbol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Wingdings"/>
    </w:rPr>
  </w:style>
  <w:style w:type="character" w:styleId="ListLabel15">
    <w:name w:val="ListLabel 15"/>
    <w:qFormat/>
    <w:rPr>
      <w:rFonts w:cs="OpenSymbol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ascii="Arial" w:hAnsi="Arial" w:cs="Wingdings"/>
      <w:sz w:val="24"/>
      <w:szCs w:val="24"/>
    </w:rPr>
  </w:style>
  <w:style w:type="character" w:styleId="ListLabel18">
    <w:name w:val="ListLabel 18"/>
    <w:qFormat/>
    <w:rPr>
      <w:rFonts w:cs="OpenSymbol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Wingdings"/>
    </w:rPr>
  </w:style>
  <w:style w:type="character" w:styleId="ListLabel21">
    <w:name w:val="ListLabel 21"/>
    <w:qFormat/>
    <w:rPr>
      <w:rFonts w:cs="OpenSymbol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Wingdings"/>
    </w:rPr>
  </w:style>
  <w:style w:type="character" w:styleId="ListLabel24">
    <w:name w:val="ListLabel 24"/>
    <w:qFormat/>
    <w:rPr>
      <w:rFonts w:cs="OpenSymbol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ascii="Arial" w:hAnsi="Arial" w:cs="Wingdings"/>
      <w:sz w:val="24"/>
      <w:szCs w:val="24"/>
    </w:rPr>
  </w:style>
  <w:style w:type="character" w:styleId="ListLabel27">
    <w:name w:val="ListLabel 27"/>
    <w:qFormat/>
    <w:rPr>
      <w:rFonts w:cs="OpenSymbol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Wingdings"/>
    </w:rPr>
  </w:style>
  <w:style w:type="character" w:styleId="ListLabel30">
    <w:name w:val="ListLabel 30"/>
    <w:qFormat/>
    <w:rPr>
      <w:rFonts w:cs="OpenSymbol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Wingdings"/>
    </w:rPr>
  </w:style>
  <w:style w:type="character" w:styleId="ListLabel33">
    <w:name w:val="ListLabel 33"/>
    <w:qFormat/>
    <w:rPr>
      <w:rFonts w:cs="OpenSymbol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eastAsia="Arial" w:cs="Arial"/>
      <w:b/>
      <w:sz w:val="24"/>
      <w:szCs w:val="24"/>
    </w:rPr>
  </w:style>
  <w:style w:type="character" w:styleId="ListLabel36">
    <w:name w:val="ListLabel 36"/>
    <w:qFormat/>
    <w:rPr>
      <w:rFonts w:ascii="Arial" w:hAnsi="Arial" w:cs="Wingdings"/>
      <w:sz w:val="24"/>
      <w:szCs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zov">
    <w:name w:val="Title"/>
    <w:basedOn w:val="Normal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al"/>
    <w:qFormat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ListParagraph">
    <w:name w:val="List Paragraph"/>
    <w:basedOn w:val="Normal"/>
    <w:uiPriority w:val="34"/>
    <w:qFormat/>
    <w:rsid w:val="00fa490b"/>
    <w:pPr>
      <w:spacing w:before="0" w:after="20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1120b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120b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LibreOffice/5.3.4.2$Windows_x86 LibreOffice_project/f82d347ccc0be322489bf7da61d7e4ad13fe2ff3</Application>
  <Pages>10</Pages>
  <Words>1582</Words>
  <Characters>10963</Characters>
  <CharactersWithSpaces>12835</CharactersWithSpaces>
  <Paragraphs>231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2018-06-22T10:43:00Z</dcterms:created>
  <dc:creator>badurova</dc:creator>
  <dc:description/>
  <dc:language>sk-SK</dc:language>
  <cp:lastModifiedBy/>
  <dcterms:modified xsi:type="dcterms:W3CDTF">2018-07-10T16:29:00Z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