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I.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>
          <w:b/>
          <w:b/>
        </w:rPr>
      </w:pPr>
      <w:r>
        <w:rPr/>
        <w:t xml:space="preserve">1.)Názov právnickej osoby: </w:t>
      </w:r>
      <w:r>
        <w:rPr>
          <w:b/>
        </w:rPr>
        <w:t>Euro Gyps Construct s.r.o.</w:t>
      </w:r>
    </w:p>
    <w:p>
      <w:pPr>
        <w:pStyle w:val="Normal"/>
        <w:rPr/>
      </w:pPr>
      <w:r>
        <w:rPr/>
        <w:t xml:space="preserve">    </w:t>
      </w:r>
      <w:r>
        <w:rPr/>
        <w:t xml:space="preserve">Sídlo právnickej osoby: </w:t>
      </w:r>
      <w:r>
        <w:rPr/>
        <w:t>ČSA 20</w:t>
      </w:r>
      <w:r>
        <w:rPr/>
        <w:t>, 974 0</w:t>
      </w:r>
      <w:r>
        <w:rPr/>
        <w:t>1</w:t>
      </w:r>
      <w:r>
        <w:rPr/>
        <w:t xml:space="preserve"> Banská Bystrica</w:t>
      </w:r>
    </w:p>
    <w:p>
      <w:pPr>
        <w:pStyle w:val="Normal"/>
        <w:rPr>
          <w:b/>
          <w:b/>
        </w:rPr>
      </w:pPr>
      <w:r>
        <w:rPr/>
        <w:t>3.)Priemerný prepočítaný počet zamestnancov</w:t>
      </w:r>
      <w:r>
        <w:rPr>
          <w:b/>
        </w:rPr>
        <w:t>:  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  <w:t>1.)Informácia, či je účtovná závierka zostavená za splnenia predpokladu, že účtovná jednotka bude nepretržite pokračovať vo svojej činnosti.</w:t>
      </w:r>
    </w:p>
    <w:p>
      <w:pPr>
        <w:pStyle w:val="Normal"/>
        <w:rPr>
          <w:b/>
          <w:b/>
        </w:rPr>
      </w:pPr>
      <w:r>
        <w:rPr>
          <w:b/>
        </w:rPr>
        <w:t>Účtovná jednotka bude pokračovať vo svojej činnosti.</w:t>
      </w:r>
    </w:p>
    <w:p>
      <w:pPr>
        <w:pStyle w:val="Normal"/>
        <w:rPr/>
      </w:pPr>
      <w:r>
        <w:rPr/>
        <w:t>2.)Spôsob oceňovania jednotlivých položiek majetku a záväzkov, a to</w:t>
      </w:r>
    </w:p>
    <w:p>
      <w:pPr>
        <w:pStyle w:val="Normal"/>
        <w:rPr/>
      </w:pPr>
      <w:r>
        <w:rPr/>
        <w:t>a)dlhodobého nehmotného majetku, dlhodobého hmotného majetku a dlhodobého finančného majetku,</w:t>
      </w:r>
    </w:p>
    <w:p>
      <w:pPr>
        <w:pStyle w:val="Normal"/>
        <w:rPr/>
      </w:pPr>
      <w:r>
        <w:rPr/>
        <w:t>b)zásob obstaraných kúpou, zásob vytvorených vlastnou činnosťou,</w:t>
      </w:r>
    </w:p>
    <w:p>
      <w:pPr>
        <w:pStyle w:val="Normal"/>
        <w:rPr/>
      </w:pPr>
      <w:r>
        <w:rPr/>
        <w:t>c)pohľadávok,</w:t>
      </w:r>
    </w:p>
    <w:p>
      <w:pPr>
        <w:pStyle w:val="Normal"/>
        <w:rPr/>
      </w:pPr>
      <w:r>
        <w:rPr/>
        <w:t>d)krátkodobého finančného majetku,</w:t>
      </w:r>
    </w:p>
    <w:p>
      <w:pPr>
        <w:pStyle w:val="Normal"/>
        <w:rPr/>
      </w:pPr>
      <w:r>
        <w:rPr/>
        <w:t>e)záväzkov vrátane rezerv, dlhopisov, pôžičiek a úverov.</w:t>
      </w:r>
    </w:p>
    <w:p>
      <w:pPr>
        <w:pStyle w:val="Normal"/>
        <w:rPr>
          <w:b/>
          <w:b/>
        </w:rPr>
      </w:pPr>
      <w:r>
        <w:rPr>
          <w:b/>
        </w:rPr>
        <w:t>Jednotlivé položky majetku sú oceňované kúpnou cenou.</w:t>
      </w:r>
    </w:p>
    <w:p>
      <w:pPr>
        <w:pStyle w:val="Normal"/>
        <w:rPr/>
      </w:pPr>
      <w:r>
        <w:rPr/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>
      <w:pPr>
        <w:pStyle w:val="Normal"/>
        <w:rPr/>
      </w:pPr>
      <w:r>
        <w:rPr>
          <w:b/>
        </w:rPr>
        <w:t>Dlhodobý hmotný investičný majetok a dlhodobý nehmotný investičný majetok je odpisovaný rovnomerne, k 31.12.201</w:t>
      </w:r>
      <w:bookmarkStart w:id="0" w:name="_GoBack"/>
      <w:bookmarkEnd w:id="0"/>
      <w:r>
        <w:rPr>
          <w:b/>
        </w:rPr>
        <w:t>7</w:t>
      </w:r>
      <w:r>
        <w:rPr>
          <w:b/>
        </w:rPr>
        <w:t xml:space="preserve"> firma neeviduje žiaden HIM.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 dopĺňajú súvahu a výkaz ziskov a strát</w:t>
      </w:r>
    </w:p>
    <w:p>
      <w:pPr>
        <w:pStyle w:val="Normal"/>
        <w:rPr/>
      </w:pPr>
      <w:r>
        <w:rPr/>
        <w:t>2.)Informácie o záväzkoch, a to:</w:t>
      </w:r>
    </w:p>
    <w:p>
      <w:pPr>
        <w:pStyle w:val="Normal"/>
        <w:rPr/>
      </w:pPr>
      <w:r>
        <w:rPr/>
        <w:t xml:space="preserve">a)celkovej sume záväzkov so zostatkovou dobou splatnosti dlhšou ako päť rokov: </w:t>
      </w:r>
      <w:r>
        <w:rPr>
          <w:b/>
        </w:rPr>
        <w:t>žiadne</w:t>
      </w:r>
    </w:p>
    <w:p>
      <w:pPr>
        <w:pStyle w:val="Normal"/>
        <w:rPr/>
      </w:pPr>
      <w:r>
        <w:rPr/>
        <w:t>4.)Informácia o orgánoch účtovnej jednotky, a to:</w:t>
      </w:r>
    </w:p>
    <w:p>
      <w:pPr>
        <w:pStyle w:val="Normal"/>
        <w:rPr/>
      </w:pPr>
      <w:r>
        <w:rPr/>
        <w:t>b)pôžičkách poskytnutých členom štatutárneho orgánu, dozorného orgánu a iného orgánu účtovnej jednotky, a to:</w:t>
      </w:r>
    </w:p>
    <w:p>
      <w:pPr>
        <w:pStyle w:val="Normal"/>
        <w:rPr/>
      </w:pPr>
      <w:r>
        <w:rPr/>
        <w:t>1.celková suma poskytnutých pôžičiek k poslednému dňu účtovného obdobia v členení za jednotlivé orgány:</w:t>
      </w:r>
    </w:p>
    <w:p>
      <w:pPr>
        <w:pStyle w:val="Normal"/>
        <w:rPr/>
      </w:pPr>
      <w:r>
        <w:rPr/>
        <w:t>2.celková suma splatených pôžičiek k poslednému dňu účtovného obdobia v členení za jednotlivé orgány:</w:t>
      </w:r>
    </w:p>
    <w:p>
      <w:pPr>
        <w:pStyle w:val="ListParagraph"/>
        <w:ind w:left="0" w:hanging="0"/>
        <w:rPr>
          <w:b/>
          <w:b/>
        </w:rPr>
      </w:pPr>
      <w:r>
        <w:rPr>
          <w:b/>
        </w:rPr>
        <w:t>Nebola poskytnutá žiadna pôžička.</w:t>
      </w:r>
    </w:p>
    <w:p>
      <w:pPr>
        <w:pStyle w:val="ListParagrap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73" w:type="dxa"/>
      <w:jc w:val="left"/>
      <w:tblInd w:w="-431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3212"/>
      <w:gridCol w:w="495"/>
      <w:gridCol w:w="372"/>
      <w:gridCol w:w="373"/>
      <w:gridCol w:w="371"/>
      <w:gridCol w:w="371"/>
      <w:gridCol w:w="372"/>
      <w:gridCol w:w="371"/>
      <w:gridCol w:w="371"/>
      <w:gridCol w:w="372"/>
      <w:gridCol w:w="483"/>
      <w:gridCol w:w="321"/>
      <w:gridCol w:w="320"/>
      <w:gridCol w:w="323"/>
      <w:gridCol w:w="320"/>
      <w:gridCol w:w="321"/>
      <w:gridCol w:w="320"/>
      <w:gridCol w:w="323"/>
      <w:gridCol w:w="320"/>
      <w:gridCol w:w="321"/>
      <w:gridCol w:w="318"/>
    </w:tblGrid>
    <w:tr>
      <w:trPr>
        <w:trHeight w:val="360" w:hRule="atLeast"/>
      </w:trPr>
      <w:tc>
        <w:tcPr>
          <w:tcW w:w="321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70" w:type="dxa"/>
          </w:tcMar>
        </w:tcPr>
        <w:p>
          <w:pPr>
            <w:pStyle w:val="Hlavika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Poznámky Úč MÚJ 3-01</w:t>
          </w:r>
        </w:p>
      </w:tc>
      <w:tc>
        <w:tcPr>
          <w:tcW w:w="4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</w:rPr>
          </w:pPr>
          <w:r>
            <w:rPr>
              <w:b/>
              <w:sz w:val="24"/>
              <w:szCs w:val="24"/>
            </w:rPr>
            <w:t>IČO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4</w:t>
          </w:r>
        </w:p>
      </w:tc>
      <w:tc>
        <w:tcPr>
          <w:tcW w:w="3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8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7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4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8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4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DIČ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2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9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32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7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9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9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6</w:t>
          </w:r>
        </w:p>
      </w:tc>
    </w:tr>
  </w:tbl>
  <w:p>
    <w:pPr>
      <w:pStyle w:val="Hlavika"/>
      <w:rPr/>
    </w:pPr>
    <w:r>
      <w:rPr/>
      <w:t xml:space="preserve"> </w:t>
    </w:r>
  </w:p>
  <w:p>
    <w:pPr>
      <w:pStyle w:val="Hlavika"/>
      <w:rPr/>
    </w:pPr>
    <w:r>
      <w:rPr/>
      <w:t xml:space="preserve"> 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07a3d"/>
    <w:pPr>
      <w:widowControl/>
      <w:bidi w:val="0"/>
      <w:spacing w:lineRule="auto" w:line="259" w:before="0" w:after="160"/>
      <w:jc w:val="left"/>
    </w:pPr>
    <w:rPr>
      <w:rFonts w:ascii="Calibri" w:hAnsi="Calibri" w:eastAsia="Calibri" w:cs="Arial" w:asciiTheme="minorHAns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a07a3d"/>
    <w:rPr>
      <w:rFonts w:ascii="Calibri" w:hAnsi="Calibri" w:eastAsia="Calibri" w:cs="Arial"/>
    </w:rPr>
  </w:style>
  <w:style w:type="character" w:styleId="Ro" w:customStyle="1">
    <w:name w:val="ro"/>
    <w:basedOn w:val="DefaultParagraphFont"/>
    <w:qFormat/>
    <w:rsid w:val="00a07a3d"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HlavikaChar"/>
    <w:uiPriority w:val="99"/>
    <w:unhideWhenUsed/>
    <w:rsid w:val="00a07a3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07a3d"/>
    <w:pPr>
      <w:spacing w:before="0" w:after="16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LibreOffice/5.3.0.3$Windows_X86_64 LibreOffice_project/7074905676c47b82bbcfbea1aeefc84afe1c50e1</Application>
  <Pages>2</Pages>
  <Words>253</Words>
  <Characters>1566</Characters>
  <CharactersWithSpaces>1778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2017-04-04T09:35:00Z</dcterms:created>
  <dc:creator>katka</dc:creator>
  <dc:description/>
  <dc:language>sk-SK</dc:language>
  <cp:lastModifiedBy/>
  <dcterms:modified xsi:type="dcterms:W3CDTF">2018-08-02T23:16:52Z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